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6"/>
        <w:ind w:left="416" w:right="1424"/>
      </w:pPr>
      <w:r>
        <w:rPr/>
        <w:t>COMPARATIVE</w:t>
      </w:r>
      <w:r>
        <w:rPr>
          <w:spacing w:val="-7"/>
        </w:rPr>
        <w:t> </w:t>
      </w:r>
      <w:r>
        <w:rPr>
          <w:i/>
        </w:rPr>
        <w:t>IN-VITRO</w:t>
      </w:r>
      <w:r>
        <w:rPr>
          <w:i/>
          <w:spacing w:val="-8"/>
        </w:rPr>
        <w:t> </w:t>
      </w:r>
      <w:r>
        <w:rPr/>
        <w:t>BIOEQUIVALENCE</w:t>
      </w:r>
      <w:r>
        <w:rPr>
          <w:spacing w:val="-8"/>
        </w:rPr>
        <w:t> </w:t>
      </w:r>
      <w:r>
        <w:rPr/>
        <w:t>STUDIES</w:t>
      </w:r>
      <w:r>
        <w:rPr>
          <w:spacing w:val="-8"/>
        </w:rPr>
        <w:t> </w:t>
      </w:r>
      <w:r>
        <w:rPr/>
        <w:t>OF</w:t>
      </w:r>
      <w:r>
        <w:rPr>
          <w:spacing w:val="-11"/>
        </w:rPr>
        <w:t> </w:t>
      </w:r>
      <w:r>
        <w:rPr/>
        <w:t>DIFFERENT SAMPLES OF TINIDAZOLE TABLETS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spacing w:before="0"/>
        <w:ind w:left="361" w:right="1424" w:firstLine="0"/>
        <w:jc w:val="center"/>
        <w:rPr>
          <w:b/>
          <w:sz w:val="24"/>
        </w:rPr>
      </w:pPr>
      <w:r>
        <w:rPr>
          <w:b/>
          <w:spacing w:val="-5"/>
          <w:sz w:val="24"/>
        </w:rPr>
        <w:t>BY</w:t>
      </w:r>
    </w:p>
    <w:p>
      <w:pPr>
        <w:pStyle w:val="BodyText"/>
        <w:rPr>
          <w:b/>
        </w:rPr>
      </w:pPr>
    </w:p>
    <w:p>
      <w:pPr>
        <w:pStyle w:val="BodyText"/>
        <w:rPr>
          <w:b/>
        </w:rPr>
      </w:pPr>
    </w:p>
    <w:p>
      <w:pPr>
        <w:spacing w:before="0"/>
        <w:ind w:left="2728" w:right="3650" w:firstLine="422"/>
        <w:jc w:val="left"/>
        <w:rPr>
          <w:b/>
          <w:sz w:val="24"/>
        </w:rPr>
      </w:pPr>
      <w:r>
        <w:rPr>
          <w:b/>
          <w:sz w:val="24"/>
        </w:rPr>
        <w:t>ABDULRAHMAN, Muntaka M.Sc.</w:t>
      </w:r>
      <w:r>
        <w:rPr>
          <w:b/>
          <w:spacing w:val="-8"/>
          <w:sz w:val="24"/>
        </w:rPr>
        <w:t> </w:t>
      </w:r>
      <w:r>
        <w:rPr>
          <w:b/>
          <w:sz w:val="24"/>
        </w:rPr>
        <w:t>/</w:t>
      </w:r>
      <w:r>
        <w:rPr>
          <w:b/>
          <w:spacing w:val="-8"/>
          <w:sz w:val="24"/>
        </w:rPr>
        <w:t> </w:t>
      </w:r>
      <w:r>
        <w:rPr>
          <w:b/>
          <w:sz w:val="24"/>
        </w:rPr>
        <w:t>Pharm.</w:t>
      </w:r>
      <w:r>
        <w:rPr>
          <w:b/>
          <w:spacing w:val="-8"/>
          <w:sz w:val="24"/>
        </w:rPr>
        <w:t> </w:t>
      </w:r>
      <w:r>
        <w:rPr>
          <w:b/>
          <w:sz w:val="24"/>
        </w:rPr>
        <w:t>Sci.</w:t>
      </w:r>
      <w:r>
        <w:rPr>
          <w:b/>
          <w:spacing w:val="-8"/>
          <w:sz w:val="24"/>
        </w:rPr>
        <w:t> </w:t>
      </w:r>
      <w:r>
        <w:rPr>
          <w:b/>
          <w:sz w:val="24"/>
        </w:rPr>
        <w:t>/20531</w:t>
      </w:r>
      <w:r>
        <w:rPr>
          <w:b/>
          <w:spacing w:val="-8"/>
          <w:sz w:val="24"/>
        </w:rPr>
        <w:t> </w:t>
      </w:r>
      <w:r>
        <w:rPr>
          <w:b/>
          <w:sz w:val="24"/>
        </w:rPr>
        <w:t>/2012-2013</w:t>
      </w:r>
    </w:p>
    <w:p>
      <w:pPr>
        <w:pStyle w:val="BodyText"/>
        <w:rPr>
          <w:b/>
        </w:rPr>
      </w:pPr>
    </w:p>
    <w:p>
      <w:pPr>
        <w:pStyle w:val="BodyText"/>
        <w:rPr>
          <w:b/>
        </w:rPr>
      </w:pPr>
    </w:p>
    <w:p>
      <w:pPr>
        <w:pStyle w:val="BodyText"/>
        <w:rPr>
          <w:b/>
        </w:rPr>
      </w:pPr>
    </w:p>
    <w:p>
      <w:pPr>
        <w:pStyle w:val="BodyText"/>
        <w:rPr>
          <w:b/>
        </w:rPr>
      </w:pPr>
    </w:p>
    <w:p>
      <w:pPr>
        <w:pStyle w:val="BodyText"/>
        <w:spacing w:before="137"/>
        <w:rPr>
          <w:b/>
        </w:rPr>
      </w:pPr>
    </w:p>
    <w:p>
      <w:pPr>
        <w:spacing w:before="0"/>
        <w:ind w:left="358" w:right="1426" w:firstLine="0"/>
        <w:jc w:val="center"/>
        <w:rPr>
          <w:b/>
          <w:sz w:val="24"/>
        </w:rPr>
      </w:pPr>
      <w:r>
        <w:rPr>
          <w:b/>
          <w:sz w:val="24"/>
        </w:rPr>
        <w:t>A</w:t>
      </w:r>
      <w:r>
        <w:rPr>
          <w:b/>
          <w:spacing w:val="-5"/>
          <w:sz w:val="24"/>
        </w:rPr>
        <w:t> </w:t>
      </w:r>
      <w:r>
        <w:rPr>
          <w:b/>
          <w:sz w:val="24"/>
        </w:rPr>
        <w:t>DISSERTATION</w:t>
      </w:r>
      <w:r>
        <w:rPr>
          <w:b/>
          <w:spacing w:val="-5"/>
          <w:sz w:val="24"/>
        </w:rPr>
        <w:t> </w:t>
      </w:r>
      <w:r>
        <w:rPr>
          <w:b/>
          <w:sz w:val="24"/>
        </w:rPr>
        <w:t>SUBMITTED</w:t>
      </w:r>
      <w:r>
        <w:rPr>
          <w:b/>
          <w:spacing w:val="-5"/>
          <w:sz w:val="24"/>
        </w:rPr>
        <w:t> </w:t>
      </w:r>
      <w:r>
        <w:rPr>
          <w:b/>
          <w:sz w:val="24"/>
        </w:rPr>
        <w:t>TO</w:t>
      </w:r>
      <w:r>
        <w:rPr>
          <w:b/>
          <w:spacing w:val="-5"/>
          <w:sz w:val="24"/>
        </w:rPr>
        <w:t> </w:t>
      </w:r>
      <w:r>
        <w:rPr>
          <w:b/>
          <w:sz w:val="24"/>
        </w:rPr>
        <w:t>THE</w:t>
      </w:r>
      <w:r>
        <w:rPr>
          <w:b/>
          <w:spacing w:val="-5"/>
          <w:sz w:val="24"/>
        </w:rPr>
        <w:t> </w:t>
      </w:r>
      <w:r>
        <w:rPr>
          <w:b/>
          <w:sz w:val="24"/>
        </w:rPr>
        <w:t>SCHOOL</w:t>
      </w:r>
      <w:r>
        <w:rPr>
          <w:b/>
          <w:spacing w:val="-5"/>
          <w:sz w:val="24"/>
        </w:rPr>
        <w:t> </w:t>
      </w:r>
      <w:r>
        <w:rPr>
          <w:b/>
          <w:sz w:val="24"/>
        </w:rPr>
        <w:t>OF</w:t>
      </w:r>
      <w:r>
        <w:rPr>
          <w:b/>
          <w:spacing w:val="-8"/>
          <w:sz w:val="24"/>
        </w:rPr>
        <w:t> </w:t>
      </w:r>
      <w:r>
        <w:rPr>
          <w:b/>
          <w:sz w:val="24"/>
        </w:rPr>
        <w:t>POST</w:t>
      </w:r>
      <w:r>
        <w:rPr>
          <w:b/>
          <w:spacing w:val="-5"/>
          <w:sz w:val="24"/>
        </w:rPr>
        <w:t> </w:t>
      </w:r>
      <w:r>
        <w:rPr>
          <w:b/>
          <w:sz w:val="24"/>
        </w:rPr>
        <w:t>GRADUATE STUDIES, AHMADU BELLO UNIVERSITY, ZARIA.</w:t>
      </w:r>
    </w:p>
    <w:p>
      <w:pPr>
        <w:pStyle w:val="BodyText"/>
        <w:rPr>
          <w:b/>
        </w:rPr>
      </w:pPr>
    </w:p>
    <w:p>
      <w:pPr>
        <w:spacing w:before="0"/>
        <w:ind w:left="358" w:right="1424" w:firstLine="0"/>
        <w:jc w:val="center"/>
        <w:rPr>
          <w:b/>
          <w:sz w:val="24"/>
        </w:rPr>
      </w:pPr>
      <w:r>
        <w:rPr>
          <w:b/>
          <w:sz w:val="24"/>
        </w:rPr>
        <w:t>IN</w:t>
      </w:r>
      <w:r>
        <w:rPr>
          <w:b/>
          <w:spacing w:val="-5"/>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THE</w:t>
      </w:r>
      <w:r>
        <w:rPr>
          <w:b/>
          <w:spacing w:val="-5"/>
          <w:sz w:val="24"/>
        </w:rPr>
        <w:t> </w:t>
      </w:r>
      <w:r>
        <w:rPr>
          <w:b/>
          <w:sz w:val="24"/>
        </w:rPr>
        <w:t>AWARD OF A</w:t>
      </w:r>
    </w:p>
    <w:p>
      <w:pPr>
        <w:spacing w:before="0"/>
        <w:ind w:left="358" w:right="1424" w:firstLine="0"/>
        <w:jc w:val="center"/>
        <w:rPr>
          <w:b/>
          <w:sz w:val="24"/>
        </w:rPr>
      </w:pPr>
      <w:r>
        <w:rPr>
          <w:b/>
          <w:sz w:val="24"/>
        </w:rPr>
        <w:t>MASTER</w:t>
      </w:r>
      <w:r>
        <w:rPr>
          <w:b/>
          <w:spacing w:val="-3"/>
          <w:sz w:val="24"/>
        </w:rPr>
        <w:t> </w:t>
      </w:r>
      <w:r>
        <w:rPr>
          <w:b/>
          <w:sz w:val="24"/>
        </w:rPr>
        <w:t>OF</w:t>
      </w:r>
      <w:r>
        <w:rPr>
          <w:b/>
          <w:spacing w:val="-4"/>
          <w:sz w:val="24"/>
        </w:rPr>
        <w:t> </w:t>
      </w:r>
      <w:r>
        <w:rPr>
          <w:b/>
          <w:sz w:val="24"/>
        </w:rPr>
        <w:t>SCIENCE</w:t>
      </w:r>
      <w:r>
        <w:rPr>
          <w:b/>
          <w:spacing w:val="2"/>
          <w:sz w:val="24"/>
        </w:rPr>
        <w:t> </w:t>
      </w:r>
      <w:r>
        <w:rPr>
          <w:b/>
          <w:sz w:val="24"/>
        </w:rPr>
        <w:t>DEGREE</w:t>
      </w:r>
      <w:r>
        <w:rPr>
          <w:b/>
          <w:spacing w:val="-1"/>
          <w:sz w:val="24"/>
        </w:rPr>
        <w:t> </w:t>
      </w:r>
      <w:r>
        <w:rPr>
          <w:b/>
          <w:sz w:val="24"/>
        </w:rPr>
        <w:t>IN</w:t>
      </w:r>
      <w:r>
        <w:rPr>
          <w:b/>
          <w:spacing w:val="-1"/>
          <w:sz w:val="24"/>
        </w:rPr>
        <w:t> </w:t>
      </w:r>
      <w:r>
        <w:rPr>
          <w:b/>
          <w:sz w:val="24"/>
        </w:rPr>
        <w:t>PHARMACEUTICAL </w:t>
      </w:r>
      <w:r>
        <w:rPr>
          <w:b/>
          <w:spacing w:val="-2"/>
          <w:sz w:val="24"/>
        </w:rPr>
        <w:t>CHEMISTRY.</w:t>
      </w:r>
    </w:p>
    <w:p>
      <w:pPr>
        <w:pStyle w:val="BodyText"/>
        <w:rPr>
          <w:b/>
        </w:rPr>
      </w:pPr>
    </w:p>
    <w:p>
      <w:pPr>
        <w:spacing w:before="0"/>
        <w:ind w:left="359" w:right="1424" w:firstLine="0"/>
        <w:jc w:val="center"/>
        <w:rPr>
          <w:b/>
          <w:sz w:val="24"/>
        </w:rPr>
      </w:pPr>
      <w:r>
        <w:rPr>
          <w:b/>
          <w:sz w:val="24"/>
        </w:rPr>
        <w:t>DEPARTMENT</w:t>
      </w:r>
      <w:r>
        <w:rPr>
          <w:b/>
          <w:spacing w:val="-8"/>
          <w:sz w:val="24"/>
        </w:rPr>
        <w:t> </w:t>
      </w:r>
      <w:r>
        <w:rPr>
          <w:b/>
          <w:sz w:val="24"/>
        </w:rPr>
        <w:t>OF</w:t>
      </w:r>
      <w:r>
        <w:rPr>
          <w:b/>
          <w:spacing w:val="-9"/>
          <w:sz w:val="24"/>
        </w:rPr>
        <w:t> </w:t>
      </w:r>
      <w:r>
        <w:rPr>
          <w:b/>
          <w:sz w:val="24"/>
        </w:rPr>
        <w:t>PHARMACEUTICAL</w:t>
      </w:r>
      <w:r>
        <w:rPr>
          <w:b/>
          <w:spacing w:val="-8"/>
          <w:sz w:val="24"/>
        </w:rPr>
        <w:t> </w:t>
      </w:r>
      <w:r>
        <w:rPr>
          <w:b/>
          <w:sz w:val="24"/>
        </w:rPr>
        <w:t>AND</w:t>
      </w:r>
      <w:r>
        <w:rPr>
          <w:b/>
          <w:spacing w:val="-9"/>
          <w:sz w:val="24"/>
        </w:rPr>
        <w:t> </w:t>
      </w:r>
      <w:r>
        <w:rPr>
          <w:b/>
          <w:sz w:val="24"/>
        </w:rPr>
        <w:t>MEDICINAL</w:t>
      </w:r>
      <w:r>
        <w:rPr>
          <w:b/>
          <w:spacing w:val="-8"/>
          <w:sz w:val="24"/>
        </w:rPr>
        <w:t> </w:t>
      </w:r>
      <w:r>
        <w:rPr>
          <w:b/>
          <w:sz w:val="24"/>
        </w:rPr>
        <w:t>CHEMISTRY, FACULTY OF PHARMACEUTICAL SCIENCE,</w:t>
      </w:r>
    </w:p>
    <w:p>
      <w:pPr>
        <w:spacing w:before="0"/>
        <w:ind w:left="359" w:right="1424" w:firstLine="0"/>
        <w:jc w:val="center"/>
        <w:rPr>
          <w:b/>
          <w:sz w:val="24"/>
        </w:rPr>
      </w:pPr>
      <w:r>
        <w:rPr>
          <w:b/>
          <w:sz w:val="24"/>
        </w:rPr>
        <w:t>AHMADU</w:t>
      </w:r>
      <w:r>
        <w:rPr>
          <w:b/>
          <w:spacing w:val="-2"/>
          <w:sz w:val="24"/>
        </w:rPr>
        <w:t> </w:t>
      </w:r>
      <w:r>
        <w:rPr>
          <w:b/>
          <w:sz w:val="24"/>
        </w:rPr>
        <w:t>BELLO</w:t>
      </w:r>
      <w:r>
        <w:rPr>
          <w:b/>
          <w:spacing w:val="-1"/>
          <w:sz w:val="24"/>
        </w:rPr>
        <w:t> </w:t>
      </w:r>
      <w:r>
        <w:rPr>
          <w:b/>
          <w:sz w:val="24"/>
        </w:rPr>
        <w:t>UNIVERSITY, ZARIA,</w:t>
      </w:r>
      <w:r>
        <w:rPr>
          <w:b/>
          <w:spacing w:val="-1"/>
          <w:sz w:val="24"/>
        </w:rPr>
        <w:t>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2"/>
        <w:rPr>
          <w:b/>
        </w:rPr>
      </w:pPr>
    </w:p>
    <w:p>
      <w:pPr>
        <w:spacing w:before="0"/>
        <w:ind w:left="358" w:right="1425" w:firstLine="0"/>
        <w:jc w:val="center"/>
        <w:rPr>
          <w:b/>
          <w:sz w:val="24"/>
        </w:rPr>
      </w:pPr>
      <w:r>
        <w:rPr>
          <w:b/>
          <w:sz w:val="24"/>
        </w:rPr>
        <w:t>FEBUARY,</w:t>
      </w:r>
      <w:r>
        <w:rPr>
          <w:b/>
          <w:spacing w:val="-5"/>
          <w:sz w:val="24"/>
        </w:rPr>
        <w:t> </w:t>
      </w:r>
      <w:r>
        <w:rPr>
          <w:b/>
          <w:spacing w:val="-4"/>
          <w:sz w:val="24"/>
        </w:rPr>
        <w:t>2017</w:t>
      </w:r>
    </w:p>
    <w:p>
      <w:pPr>
        <w:spacing w:after="0"/>
        <w:jc w:val="center"/>
        <w:rPr>
          <w:sz w:val="24"/>
        </w:rPr>
        <w:sectPr>
          <w:footerReference w:type="default" r:id="rId5"/>
          <w:type w:val="continuous"/>
          <w:pgSz w:w="12240" w:h="15840"/>
          <w:pgMar w:header="0" w:footer="1068" w:top="1360" w:bottom="1260" w:left="1420" w:right="440"/>
          <w:pgNumType w:start="1"/>
        </w:sectPr>
      </w:pPr>
    </w:p>
    <w:p>
      <w:pPr>
        <w:pStyle w:val="Heading1"/>
        <w:spacing w:before="76"/>
        <w:ind w:right="885"/>
      </w:pPr>
      <w:bookmarkStart w:name="_TOC_250083" w:id="1"/>
      <w:bookmarkEnd w:id="1"/>
      <w:r>
        <w:rPr>
          <w:spacing w:val="-2"/>
        </w:rPr>
        <w:t>DECLARATION</w:t>
      </w:r>
    </w:p>
    <w:p>
      <w:pPr>
        <w:pStyle w:val="BodyText"/>
        <w:rPr>
          <w:b/>
        </w:rPr>
      </w:pPr>
    </w:p>
    <w:p>
      <w:pPr>
        <w:pStyle w:val="BodyText"/>
        <w:spacing w:before="116"/>
        <w:rPr>
          <w:b/>
        </w:rPr>
      </w:pPr>
    </w:p>
    <w:p>
      <w:pPr>
        <w:pStyle w:val="BodyText"/>
        <w:spacing w:line="480" w:lineRule="auto"/>
        <w:ind w:left="291" w:right="1352"/>
        <w:jc w:val="both"/>
      </w:pPr>
      <w:r>
        <w:rPr/>
        <w:t>I hereby declare that the work in this dissertation titled ―Comparative </w:t>
      </w:r>
      <w:r>
        <w:rPr>
          <w:i/>
        </w:rPr>
        <w:t>In-Vitro </w:t>
      </w:r>
      <w:r>
        <w:rPr/>
        <w:t>Bioequivalence Studies of Different Samples of Tinidazole Tablets.‖ was performed by</w:t>
      </w:r>
      <w:r>
        <w:rPr>
          <w:spacing w:val="80"/>
        </w:rPr>
        <w:t> </w:t>
      </w:r>
      <w:r>
        <w:rPr/>
        <w:t>me in the Department of Pharmaceutical and Medicinal Chemistry, under the supervision of Dr. Aminu Musa and Prof. A.Y. Idris. The information derived from the literature has been duly acknowledged in the text and a list of references provided. No part of this work has been presented for another degree or diploma in any institution.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587840">
                <wp:simplePos x="0" y="0"/>
                <wp:positionH relativeFrom="page">
                  <wp:posOffset>1086916</wp:posOffset>
                </wp:positionH>
                <wp:positionV relativeFrom="paragraph">
                  <wp:posOffset>202220</wp:posOffset>
                </wp:positionV>
                <wp:extent cx="13716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371600" cy="1270"/>
                        </a:xfrm>
                        <a:custGeom>
                          <a:avLst/>
                          <a:gdLst/>
                          <a:ahLst/>
                          <a:cxnLst/>
                          <a:rect l="l" t="t" r="r" b="b"/>
                          <a:pathLst>
                            <a:path w="1371600" h="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584pt;margin-top:15.922846pt;width:108pt;height:.1pt;mso-position-horizontal-relative:page;mso-position-vertical-relative:paragraph;z-index:-15728640;mso-wrap-distance-left:0;mso-wrap-distance-right:0" id="docshape2" coordorigin="1712,318" coordsize="2160,0" path="m1712,318l3872,31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3373246</wp:posOffset>
                </wp:positionH>
                <wp:positionV relativeFrom="paragraph">
                  <wp:posOffset>202220</wp:posOffset>
                </wp:positionV>
                <wp:extent cx="14478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447800" cy="1270"/>
                        </a:xfrm>
                        <a:custGeom>
                          <a:avLst/>
                          <a:gdLst/>
                          <a:ahLst/>
                          <a:cxnLst/>
                          <a:rect l="l" t="t" r="r" b="b"/>
                          <a:pathLst>
                            <a:path w="1447800" h="0">
                              <a:moveTo>
                                <a:pt x="0" y="0"/>
                              </a:moveTo>
                              <a:lnTo>
                                <a:pt x="144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5.609985pt;margin-top:15.922846pt;width:114pt;height:.1pt;mso-position-horizontal-relative:page;mso-position-vertical-relative:paragraph;z-index:-15728128;mso-wrap-distance-left:0;mso-wrap-distance-right:0" id="docshape3" coordorigin="5312,318" coordsize="2280,0" path="m5312,318l7592,31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5202301</wp:posOffset>
                </wp:positionH>
                <wp:positionV relativeFrom="paragraph">
                  <wp:posOffset>202220</wp:posOffset>
                </wp:positionV>
                <wp:extent cx="12192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9.630005pt;margin-top:15.922846pt;width:96pt;height:.1pt;mso-position-horizontal-relative:page;mso-position-vertical-relative:paragraph;z-index:-15727616;mso-wrap-distance-left:0;mso-wrap-distance-right:0" id="docshape4" coordorigin="8193,318" coordsize="1920,0" path="m8193,318l10113,318e" filled="false" stroked="true" strokeweight=".487125pt" strokecolor="#000000">
                <v:path arrowok="t"/>
                <v:stroke dashstyle="solid"/>
                <w10:wrap type="topAndBottom"/>
              </v:shape>
            </w:pict>
          </mc:Fallback>
        </mc:AlternateContent>
      </w:r>
    </w:p>
    <w:p>
      <w:pPr>
        <w:tabs>
          <w:tab w:pos="4612" w:val="left" w:leader="none"/>
          <w:tab w:pos="7492" w:val="left" w:leader="none"/>
        </w:tabs>
        <w:spacing w:before="5"/>
        <w:ind w:left="291" w:right="2406" w:firstLine="0"/>
        <w:jc w:val="left"/>
        <w:rPr>
          <w:b/>
          <w:sz w:val="24"/>
        </w:rPr>
      </w:pPr>
      <w:r>
        <w:rPr>
          <w:b/>
          <w:sz w:val="24"/>
        </w:rPr>
        <w:t>ABDULRAHMAN, Muntaka</w:t>
        <w:tab/>
      </w:r>
      <w:r>
        <w:rPr>
          <w:b/>
          <w:spacing w:val="-2"/>
          <w:sz w:val="24"/>
        </w:rPr>
        <w:t>Signature</w:t>
      </w:r>
      <w:r>
        <w:rPr>
          <w:b/>
          <w:sz w:val="24"/>
        </w:rPr>
        <w:tab/>
      </w:r>
      <w:r>
        <w:rPr>
          <w:b/>
          <w:spacing w:val="-4"/>
          <w:sz w:val="24"/>
        </w:rPr>
        <w:t>Date </w:t>
      </w:r>
      <w:r>
        <w:rPr>
          <w:b/>
          <w:sz w:val="24"/>
        </w:rPr>
        <w:t>(M.Sc./Pharm. Sci./20531/2012-2013)</w:t>
      </w:r>
    </w:p>
    <w:p>
      <w:pPr>
        <w:spacing w:after="0"/>
        <w:jc w:val="left"/>
        <w:rPr>
          <w:sz w:val="24"/>
        </w:rPr>
        <w:sectPr>
          <w:pgSz w:w="12240" w:h="15840"/>
          <w:pgMar w:header="0" w:footer="1068" w:top="1360" w:bottom="1260" w:left="1420" w:right="440"/>
        </w:sectPr>
      </w:pPr>
    </w:p>
    <w:p>
      <w:pPr>
        <w:pStyle w:val="Heading1"/>
        <w:spacing w:before="76"/>
        <w:ind w:right="885"/>
      </w:pPr>
      <w:bookmarkStart w:name="_TOC_250082" w:id="2"/>
      <w:bookmarkEnd w:id="2"/>
      <w:r>
        <w:rPr>
          <w:spacing w:val="-2"/>
        </w:rPr>
        <w:t>CERTIFICATION</w:t>
      </w:r>
    </w:p>
    <w:p>
      <w:pPr>
        <w:pStyle w:val="BodyText"/>
        <w:rPr>
          <w:b/>
        </w:rPr>
      </w:pPr>
    </w:p>
    <w:p>
      <w:pPr>
        <w:pStyle w:val="BodyText"/>
        <w:spacing w:before="116"/>
        <w:rPr>
          <w:b/>
        </w:rPr>
      </w:pPr>
    </w:p>
    <w:p>
      <w:pPr>
        <w:pStyle w:val="BodyText"/>
        <w:spacing w:line="480" w:lineRule="auto"/>
        <w:ind w:left="291" w:right="1354"/>
        <w:jc w:val="both"/>
      </w:pPr>
      <w:r>
        <w:rPr/>
        <w:t>This dissertation titled ―Comparative </w:t>
      </w:r>
      <w:r>
        <w:rPr>
          <w:i/>
        </w:rPr>
        <w:t>In-vitro </w:t>
      </w:r>
      <w:r>
        <w:rPr/>
        <w:t>Bioequivalence Studies of Different Samples of Tinidazole Tablets.‖ meets the regulations governing the award of the degree</w:t>
      </w:r>
      <w:r>
        <w:rPr>
          <w:spacing w:val="40"/>
        </w:rPr>
        <w:t> </w:t>
      </w:r>
      <w:r>
        <w:rPr/>
        <w:t>of M.Sc. Pharmaceutical Chemistry of the Ahmadu Bello University, and is approved for its contribution to knowledge and literary presentation.</w:t>
      </w:r>
    </w:p>
    <w:p>
      <w:pPr>
        <w:pStyle w:val="BodyText"/>
        <w:rPr>
          <w:sz w:val="20"/>
        </w:rPr>
      </w:pPr>
    </w:p>
    <w:p>
      <w:pPr>
        <w:pStyle w:val="BodyText"/>
        <w:rPr>
          <w:sz w:val="20"/>
        </w:rPr>
      </w:pPr>
    </w:p>
    <w:p>
      <w:pPr>
        <w:pStyle w:val="BodyText"/>
        <w:spacing w:before="110"/>
        <w:rPr>
          <w:sz w:val="20"/>
        </w:rPr>
      </w:pPr>
      <w:r>
        <w:rPr/>
        <mc:AlternateContent>
          <mc:Choice Requires="wps">
            <w:drawing>
              <wp:anchor distT="0" distB="0" distL="0" distR="0" allowOverlap="1" layoutInCell="1" locked="0" behindDoc="1" simplePos="0" relativeHeight="487589376">
                <wp:simplePos x="0" y="0"/>
                <wp:positionH relativeFrom="page">
                  <wp:posOffset>1086916</wp:posOffset>
                </wp:positionH>
                <wp:positionV relativeFrom="paragraph">
                  <wp:posOffset>231308</wp:posOffset>
                </wp:positionV>
                <wp:extent cx="22098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209800" cy="1270"/>
                        </a:xfrm>
                        <a:custGeom>
                          <a:avLst/>
                          <a:gdLst/>
                          <a:ahLst/>
                          <a:cxnLst/>
                          <a:rect l="l" t="t" r="r" b="b"/>
                          <a:pathLst>
                            <a:path w="2209800" h="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584pt;margin-top:18.213282pt;width:174pt;height:.1pt;mso-position-horizontal-relative:page;mso-position-vertical-relative:paragraph;z-index:-15727104;mso-wrap-distance-left:0;mso-wrap-distance-right:0" id="docshape5" coordorigin="1712,364" coordsize="3480,0" path="m1712,364l5192,364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3830446</wp:posOffset>
                </wp:positionH>
                <wp:positionV relativeFrom="paragraph">
                  <wp:posOffset>231308</wp:posOffset>
                </wp:positionV>
                <wp:extent cx="10668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1.609985pt;margin-top:18.213282pt;width:84pt;height:.1pt;mso-position-horizontal-relative:page;mso-position-vertical-relative:paragraph;z-index:-15726592;mso-wrap-distance-left:0;mso-wrap-distance-right:0" id="docshape6" coordorigin="6032,364" coordsize="1680,0" path="m6032,364l7712,364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5202301</wp:posOffset>
                </wp:positionH>
                <wp:positionV relativeFrom="paragraph">
                  <wp:posOffset>231308</wp:posOffset>
                </wp:positionV>
                <wp:extent cx="12192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9.630005pt;margin-top:18.213282pt;width:96pt;height:.1pt;mso-position-horizontal-relative:page;mso-position-vertical-relative:paragraph;z-index:-15726080;mso-wrap-distance-left:0;mso-wrap-distance-right:0" id="docshape7" coordorigin="8193,364" coordsize="1920,0" path="m8193,364l10113,364e" filled="false" stroked="true" strokeweight=".487125pt" strokecolor="#000000">
                <v:path arrowok="t"/>
                <v:stroke dashstyle="solid"/>
                <w10:wrap type="topAndBottom"/>
              </v:shape>
            </w:pict>
          </mc:Fallback>
        </mc:AlternateContent>
      </w:r>
    </w:p>
    <w:p>
      <w:pPr>
        <w:tabs>
          <w:tab w:pos="4612" w:val="left" w:leader="none"/>
          <w:tab w:pos="7492" w:val="left" w:leader="none"/>
        </w:tabs>
        <w:spacing w:before="5"/>
        <w:ind w:left="291" w:right="2406" w:firstLine="0"/>
        <w:jc w:val="left"/>
        <w:rPr>
          <w:b/>
          <w:sz w:val="24"/>
        </w:rPr>
      </w:pPr>
      <w:r>
        <w:rPr>
          <w:b/>
          <w:sz w:val="24"/>
        </w:rPr>
        <w:t>(Dr. Aminu Musa)</w:t>
        <w:tab/>
      </w:r>
      <w:r>
        <w:rPr>
          <w:b/>
          <w:spacing w:val="-2"/>
          <w:sz w:val="24"/>
        </w:rPr>
        <w:t>Signature</w:t>
      </w:r>
      <w:r>
        <w:rPr>
          <w:b/>
          <w:sz w:val="24"/>
        </w:rPr>
        <w:tab/>
      </w:r>
      <w:r>
        <w:rPr>
          <w:b/>
          <w:spacing w:val="-4"/>
          <w:sz w:val="24"/>
        </w:rPr>
        <w:t>Date </w:t>
      </w:r>
      <w:r>
        <w:rPr>
          <w:b/>
          <w:sz w:val="24"/>
        </w:rPr>
        <w:t>Chairman, Supervisory Committee</w:t>
      </w:r>
    </w:p>
    <w:p>
      <w:pPr>
        <w:pStyle w:val="BodyText"/>
        <w:rPr>
          <w:b/>
          <w:sz w:val="20"/>
        </w:rPr>
      </w:pPr>
    </w:p>
    <w:p>
      <w:pPr>
        <w:pStyle w:val="BodyText"/>
        <w:rPr>
          <w:b/>
          <w:sz w:val="20"/>
        </w:rPr>
      </w:pPr>
    </w:p>
    <w:p>
      <w:pPr>
        <w:pStyle w:val="BodyText"/>
        <w:spacing w:before="104"/>
        <w:rPr>
          <w:b/>
          <w:sz w:val="20"/>
        </w:rPr>
      </w:pPr>
      <w:r>
        <w:rPr/>
        <mc:AlternateContent>
          <mc:Choice Requires="wps">
            <w:drawing>
              <wp:anchor distT="0" distB="0" distL="0" distR="0" allowOverlap="1" layoutInCell="1" locked="0" behindDoc="1" simplePos="0" relativeHeight="487590912">
                <wp:simplePos x="0" y="0"/>
                <wp:positionH relativeFrom="page">
                  <wp:posOffset>1086916</wp:posOffset>
                </wp:positionH>
                <wp:positionV relativeFrom="paragraph">
                  <wp:posOffset>227466</wp:posOffset>
                </wp:positionV>
                <wp:extent cx="22098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209800" cy="1270"/>
                        </a:xfrm>
                        <a:custGeom>
                          <a:avLst/>
                          <a:gdLst/>
                          <a:ahLst/>
                          <a:cxnLst/>
                          <a:rect l="l" t="t" r="r" b="b"/>
                          <a:pathLst>
                            <a:path w="2209800" h="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584pt;margin-top:17.910734pt;width:174pt;height:.1pt;mso-position-horizontal-relative:page;mso-position-vertical-relative:paragraph;z-index:-15725568;mso-wrap-distance-left:0;mso-wrap-distance-right:0" id="docshape8" coordorigin="1712,358" coordsize="3480,0" path="m1712,358l5192,35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3830446</wp:posOffset>
                </wp:positionH>
                <wp:positionV relativeFrom="paragraph">
                  <wp:posOffset>227466</wp:posOffset>
                </wp:positionV>
                <wp:extent cx="10668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1.609985pt;margin-top:17.910734pt;width:84pt;height:.1pt;mso-position-horizontal-relative:page;mso-position-vertical-relative:paragraph;z-index:-15725056;mso-wrap-distance-left:0;mso-wrap-distance-right:0" id="docshape9" coordorigin="6032,358" coordsize="1680,0" path="m6032,358l7712,35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5202301</wp:posOffset>
                </wp:positionH>
                <wp:positionV relativeFrom="paragraph">
                  <wp:posOffset>227466</wp:posOffset>
                </wp:positionV>
                <wp:extent cx="12192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9.630005pt;margin-top:17.910734pt;width:96pt;height:.1pt;mso-position-horizontal-relative:page;mso-position-vertical-relative:paragraph;z-index:-15724544;mso-wrap-distance-left:0;mso-wrap-distance-right:0" id="docshape10" coordorigin="8193,358" coordsize="1920,0" path="m8193,358l10113,358e" filled="false" stroked="true" strokeweight=".487125pt" strokecolor="#000000">
                <v:path arrowok="t"/>
                <v:stroke dashstyle="solid"/>
                <w10:wrap type="topAndBottom"/>
              </v:shape>
            </w:pict>
          </mc:Fallback>
        </mc:AlternateContent>
      </w:r>
    </w:p>
    <w:p>
      <w:pPr>
        <w:tabs>
          <w:tab w:pos="4612" w:val="left" w:leader="none"/>
          <w:tab w:pos="7492" w:val="left" w:leader="none"/>
        </w:tabs>
        <w:spacing w:before="5"/>
        <w:ind w:left="291" w:right="2406" w:firstLine="0"/>
        <w:jc w:val="left"/>
        <w:rPr>
          <w:b/>
          <w:sz w:val="24"/>
        </w:rPr>
      </w:pPr>
      <w:r>
        <w:rPr>
          <w:b/>
          <w:sz w:val="24"/>
        </w:rPr>
        <w:t>(Prof. A.Y. Idris)</w:t>
        <w:tab/>
      </w:r>
      <w:r>
        <w:rPr>
          <w:b/>
          <w:spacing w:val="-2"/>
          <w:sz w:val="24"/>
        </w:rPr>
        <w:t>Signature</w:t>
      </w:r>
      <w:r>
        <w:rPr>
          <w:b/>
          <w:sz w:val="24"/>
        </w:rPr>
        <w:tab/>
      </w:r>
      <w:r>
        <w:rPr>
          <w:b/>
          <w:spacing w:val="-4"/>
          <w:sz w:val="24"/>
        </w:rPr>
        <w:t>Date </w:t>
      </w:r>
      <w:r>
        <w:rPr>
          <w:b/>
          <w:sz w:val="24"/>
        </w:rPr>
        <w:t>Member, Supervisory Committee</w:t>
      </w:r>
    </w:p>
    <w:p>
      <w:pPr>
        <w:pStyle w:val="BodyText"/>
        <w:rPr>
          <w:b/>
          <w:sz w:val="20"/>
        </w:rPr>
      </w:pPr>
    </w:p>
    <w:p>
      <w:pPr>
        <w:pStyle w:val="BodyText"/>
        <w:rPr>
          <w:b/>
          <w:sz w:val="20"/>
        </w:rPr>
      </w:pPr>
    </w:p>
    <w:p>
      <w:pPr>
        <w:pStyle w:val="BodyText"/>
        <w:rPr>
          <w:b/>
          <w:sz w:val="20"/>
        </w:rPr>
      </w:pPr>
    </w:p>
    <w:p>
      <w:pPr>
        <w:pStyle w:val="BodyText"/>
        <w:spacing w:before="150"/>
        <w:rPr>
          <w:b/>
          <w:sz w:val="20"/>
        </w:rPr>
      </w:pPr>
      <w:r>
        <w:rPr/>
        <mc:AlternateContent>
          <mc:Choice Requires="wps">
            <w:drawing>
              <wp:anchor distT="0" distB="0" distL="0" distR="0" allowOverlap="1" layoutInCell="1" locked="0" behindDoc="1" simplePos="0" relativeHeight="487592448">
                <wp:simplePos x="0" y="0"/>
                <wp:positionH relativeFrom="page">
                  <wp:posOffset>1086916</wp:posOffset>
                </wp:positionH>
                <wp:positionV relativeFrom="paragraph">
                  <wp:posOffset>256942</wp:posOffset>
                </wp:positionV>
                <wp:extent cx="22098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209800" cy="1270"/>
                        </a:xfrm>
                        <a:custGeom>
                          <a:avLst/>
                          <a:gdLst/>
                          <a:ahLst/>
                          <a:cxnLst/>
                          <a:rect l="l" t="t" r="r" b="b"/>
                          <a:pathLst>
                            <a:path w="2209800" h="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584pt;margin-top:20.231718pt;width:174pt;height:.1pt;mso-position-horizontal-relative:page;mso-position-vertical-relative:paragraph;z-index:-15724032;mso-wrap-distance-left:0;mso-wrap-distance-right:0" id="docshape11" coordorigin="1712,405" coordsize="3480,0" path="m1712,405l5192,405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3830446</wp:posOffset>
                </wp:positionH>
                <wp:positionV relativeFrom="paragraph">
                  <wp:posOffset>256942</wp:posOffset>
                </wp:positionV>
                <wp:extent cx="10668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1.609985pt;margin-top:20.231718pt;width:84pt;height:.1pt;mso-position-horizontal-relative:page;mso-position-vertical-relative:paragraph;z-index:-15723520;mso-wrap-distance-left:0;mso-wrap-distance-right:0" id="docshape12" coordorigin="6032,405" coordsize="1680,0" path="m6032,405l7712,405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472">
                <wp:simplePos x="0" y="0"/>
                <wp:positionH relativeFrom="page">
                  <wp:posOffset>5202301</wp:posOffset>
                </wp:positionH>
                <wp:positionV relativeFrom="paragraph">
                  <wp:posOffset>256942</wp:posOffset>
                </wp:positionV>
                <wp:extent cx="12192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9.630005pt;margin-top:20.231718pt;width:96pt;height:.1pt;mso-position-horizontal-relative:page;mso-position-vertical-relative:paragraph;z-index:-15723008;mso-wrap-distance-left:0;mso-wrap-distance-right:0" id="docshape13" coordorigin="8193,405" coordsize="1920,0" path="m8193,405l10113,405e" filled="false" stroked="true" strokeweight=".487125pt" strokecolor="#000000">
                <v:path arrowok="t"/>
                <v:stroke dashstyle="solid"/>
                <w10:wrap type="topAndBottom"/>
              </v:shape>
            </w:pict>
          </mc:Fallback>
        </mc:AlternateContent>
      </w:r>
    </w:p>
    <w:p>
      <w:pPr>
        <w:tabs>
          <w:tab w:pos="4612" w:val="left" w:leader="none"/>
          <w:tab w:pos="7492" w:val="left" w:leader="none"/>
        </w:tabs>
        <w:spacing w:before="5"/>
        <w:ind w:left="291" w:right="2406" w:firstLine="0"/>
        <w:jc w:val="left"/>
        <w:rPr>
          <w:b/>
          <w:sz w:val="24"/>
        </w:rPr>
      </w:pPr>
      <w:r>
        <w:rPr>
          <w:b/>
          <w:sz w:val="24"/>
        </w:rPr>
        <w:t>(Prof. A. M. Musa)</w:t>
        <w:tab/>
      </w:r>
      <w:r>
        <w:rPr>
          <w:b/>
          <w:spacing w:val="-2"/>
          <w:sz w:val="24"/>
        </w:rPr>
        <w:t>Signature</w:t>
      </w:r>
      <w:r>
        <w:rPr>
          <w:b/>
          <w:sz w:val="24"/>
        </w:rPr>
        <w:tab/>
      </w:r>
      <w:r>
        <w:rPr>
          <w:b/>
          <w:spacing w:val="-4"/>
          <w:sz w:val="24"/>
        </w:rPr>
        <w:t>Date </w:t>
      </w:r>
      <w:r>
        <w:rPr>
          <w:b/>
          <w:sz w:val="24"/>
        </w:rPr>
        <w:t>Head of Department</w:t>
      </w:r>
    </w:p>
    <w:p>
      <w:pPr>
        <w:pStyle w:val="BodyText"/>
        <w:rPr>
          <w:b/>
          <w:sz w:val="20"/>
        </w:rPr>
      </w:pPr>
    </w:p>
    <w:p>
      <w:pPr>
        <w:pStyle w:val="BodyText"/>
        <w:rPr>
          <w:b/>
          <w:sz w:val="20"/>
        </w:rPr>
      </w:pPr>
    </w:p>
    <w:p>
      <w:pPr>
        <w:pStyle w:val="BodyText"/>
        <w:rPr>
          <w:b/>
          <w:sz w:val="20"/>
        </w:rPr>
      </w:pPr>
    </w:p>
    <w:p>
      <w:pPr>
        <w:pStyle w:val="BodyText"/>
        <w:spacing w:before="150"/>
        <w:rPr>
          <w:b/>
          <w:sz w:val="20"/>
        </w:rPr>
      </w:pPr>
      <w:r>
        <w:rPr/>
        <mc:AlternateContent>
          <mc:Choice Requires="wps">
            <w:drawing>
              <wp:anchor distT="0" distB="0" distL="0" distR="0" allowOverlap="1" layoutInCell="1" locked="0" behindDoc="1" simplePos="0" relativeHeight="487593984">
                <wp:simplePos x="0" y="0"/>
                <wp:positionH relativeFrom="page">
                  <wp:posOffset>1086916</wp:posOffset>
                </wp:positionH>
                <wp:positionV relativeFrom="paragraph">
                  <wp:posOffset>256688</wp:posOffset>
                </wp:positionV>
                <wp:extent cx="220980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2209800" cy="1270"/>
                        </a:xfrm>
                        <a:custGeom>
                          <a:avLst/>
                          <a:gdLst/>
                          <a:ahLst/>
                          <a:cxnLst/>
                          <a:rect l="l" t="t" r="r" b="b"/>
                          <a:pathLst>
                            <a:path w="2209800" h="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584pt;margin-top:20.211699pt;width:174pt;height:.1pt;mso-position-horizontal-relative:page;mso-position-vertical-relative:paragraph;z-index:-15722496;mso-wrap-distance-left:0;mso-wrap-distance-right:0" id="docshape14" coordorigin="1712,404" coordsize="3480,0" path="m1712,404l5192,404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4496">
                <wp:simplePos x="0" y="0"/>
                <wp:positionH relativeFrom="page">
                  <wp:posOffset>3830446</wp:posOffset>
                </wp:positionH>
                <wp:positionV relativeFrom="paragraph">
                  <wp:posOffset>256688</wp:posOffset>
                </wp:positionV>
                <wp:extent cx="10668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1.609985pt;margin-top:20.211699pt;width:84pt;height:.1pt;mso-position-horizontal-relative:page;mso-position-vertical-relative:paragraph;z-index:-15721984;mso-wrap-distance-left:0;mso-wrap-distance-right:0" id="docshape15" coordorigin="6032,404" coordsize="1680,0" path="m6032,404l7712,404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5202301</wp:posOffset>
                </wp:positionH>
                <wp:positionV relativeFrom="paragraph">
                  <wp:posOffset>256688</wp:posOffset>
                </wp:positionV>
                <wp:extent cx="121920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9.630005pt;margin-top:20.211699pt;width:96pt;height:.1pt;mso-position-horizontal-relative:page;mso-position-vertical-relative:paragraph;z-index:-15721472;mso-wrap-distance-left:0;mso-wrap-distance-right:0" id="docshape16" coordorigin="8193,404" coordsize="1920,0" path="m8193,404l10113,404e" filled="false" stroked="true" strokeweight=".487125pt" strokecolor="#000000">
                <v:path arrowok="t"/>
                <v:stroke dashstyle="solid"/>
                <w10:wrap type="topAndBottom"/>
              </v:shape>
            </w:pict>
          </mc:Fallback>
        </mc:AlternateContent>
      </w:r>
    </w:p>
    <w:p>
      <w:pPr>
        <w:tabs>
          <w:tab w:pos="4612" w:val="left" w:leader="none"/>
          <w:tab w:pos="7492" w:val="left" w:leader="none"/>
        </w:tabs>
        <w:spacing w:before="5"/>
        <w:ind w:left="291" w:right="2406" w:firstLine="0"/>
        <w:jc w:val="left"/>
        <w:rPr>
          <w:b/>
          <w:sz w:val="24"/>
        </w:rPr>
      </w:pPr>
      <w:r>
        <w:rPr>
          <w:b/>
          <w:sz w:val="24"/>
        </w:rPr>
        <w:t>(Prof. K. Bala)</w:t>
        <w:tab/>
      </w:r>
      <w:r>
        <w:rPr>
          <w:b/>
          <w:spacing w:val="-2"/>
          <w:sz w:val="24"/>
        </w:rPr>
        <w:t>Signature</w:t>
      </w:r>
      <w:r>
        <w:rPr>
          <w:b/>
          <w:sz w:val="24"/>
        </w:rPr>
        <w:tab/>
      </w:r>
      <w:r>
        <w:rPr>
          <w:b/>
          <w:spacing w:val="-4"/>
          <w:sz w:val="24"/>
        </w:rPr>
        <w:t>Date </w:t>
      </w:r>
      <w:r>
        <w:rPr>
          <w:b/>
          <w:sz w:val="24"/>
        </w:rPr>
        <w:t>Dean, School of Postgraduate Studies</w:t>
      </w:r>
    </w:p>
    <w:p>
      <w:pPr>
        <w:spacing w:after="0"/>
        <w:jc w:val="left"/>
        <w:rPr>
          <w:sz w:val="24"/>
        </w:rPr>
        <w:sectPr>
          <w:pgSz w:w="12240" w:h="15840"/>
          <w:pgMar w:header="0" w:footer="1068" w:top="1360" w:bottom="1260" w:left="1420" w:right="440"/>
        </w:sectPr>
      </w:pPr>
    </w:p>
    <w:p>
      <w:pPr>
        <w:pStyle w:val="Heading1"/>
        <w:spacing w:before="76"/>
        <w:ind w:left="3400"/>
        <w:jc w:val="left"/>
      </w:pPr>
      <w:bookmarkStart w:name="_TOC_250081" w:id="3"/>
      <w:bookmarkEnd w:id="3"/>
      <w:r>
        <w:rPr>
          <w:spacing w:val="-2"/>
        </w:rPr>
        <w:t>ACKNOWLEDGEMENT</w:t>
      </w:r>
    </w:p>
    <w:p>
      <w:pPr>
        <w:pStyle w:val="BodyText"/>
        <w:spacing w:before="236"/>
        <w:rPr>
          <w:b/>
        </w:rPr>
      </w:pPr>
    </w:p>
    <w:p>
      <w:pPr>
        <w:pStyle w:val="BodyText"/>
        <w:spacing w:line="480" w:lineRule="auto"/>
        <w:ind w:left="291" w:right="1177"/>
        <w:jc w:val="both"/>
      </w:pPr>
      <w:r>
        <w:rPr/>
        <w:t>In the name of Allah, the most Beneficent, the most Merciful. All praise be to Allah, the almighty creator, whom we worship and beseech for help. Nothing on earth nor heaven can be attainable without His due knowledge and permission, for He is Omniscient, Omnipotent and Eternal. May the peace and blessing of Allah (SWT) be upon his last messenger, our beloved prophet Mohammed (SAW), his families and companions in general, ameen.</w:t>
      </w:r>
    </w:p>
    <w:p>
      <w:pPr>
        <w:pStyle w:val="BodyText"/>
        <w:spacing w:line="480" w:lineRule="auto" w:before="1"/>
        <w:ind w:left="291" w:right="1173"/>
        <w:jc w:val="both"/>
      </w:pPr>
      <w:r>
        <w:rPr/>
        <w:t>―Honour</w:t>
      </w:r>
      <w:r>
        <w:rPr>
          <w:spacing w:val="-8"/>
        </w:rPr>
        <w:t> </w:t>
      </w:r>
      <w:r>
        <w:rPr/>
        <w:t>is</w:t>
      </w:r>
      <w:r>
        <w:rPr>
          <w:spacing w:val="-4"/>
        </w:rPr>
        <w:t> </w:t>
      </w:r>
      <w:r>
        <w:rPr/>
        <w:t>given</w:t>
      </w:r>
      <w:r>
        <w:rPr>
          <w:spacing w:val="-5"/>
        </w:rPr>
        <w:t> </w:t>
      </w:r>
      <w:r>
        <w:rPr/>
        <w:t>to</w:t>
      </w:r>
      <w:r>
        <w:rPr>
          <w:spacing w:val="-6"/>
        </w:rPr>
        <w:t> </w:t>
      </w:r>
      <w:r>
        <w:rPr/>
        <w:t>whom</w:t>
      </w:r>
      <w:r>
        <w:rPr>
          <w:spacing w:val="-6"/>
        </w:rPr>
        <w:t> </w:t>
      </w:r>
      <w:r>
        <w:rPr/>
        <w:t>honour</w:t>
      </w:r>
      <w:r>
        <w:rPr>
          <w:spacing w:val="-7"/>
        </w:rPr>
        <w:t> </w:t>
      </w:r>
      <w:r>
        <w:rPr/>
        <w:t>is</w:t>
      </w:r>
      <w:r>
        <w:rPr>
          <w:spacing w:val="-6"/>
        </w:rPr>
        <w:t> </w:t>
      </w:r>
      <w:r>
        <w:rPr/>
        <w:t>due‖,</w:t>
      </w:r>
      <w:r>
        <w:rPr>
          <w:spacing w:val="-4"/>
        </w:rPr>
        <w:t> </w:t>
      </w:r>
      <w:r>
        <w:rPr/>
        <w:t>my</w:t>
      </w:r>
      <w:r>
        <w:rPr>
          <w:spacing w:val="-9"/>
        </w:rPr>
        <w:t> </w:t>
      </w:r>
      <w:r>
        <w:rPr/>
        <w:t>utmost</w:t>
      </w:r>
      <w:r>
        <w:rPr>
          <w:spacing w:val="-6"/>
        </w:rPr>
        <w:t> </w:t>
      </w:r>
      <w:r>
        <w:rPr/>
        <w:t>thanks</w:t>
      </w:r>
      <w:r>
        <w:rPr>
          <w:spacing w:val="-7"/>
        </w:rPr>
        <w:t> </w:t>
      </w:r>
      <w:r>
        <w:rPr/>
        <w:t>and</w:t>
      </w:r>
      <w:r>
        <w:rPr>
          <w:spacing w:val="-6"/>
        </w:rPr>
        <w:t> </w:t>
      </w:r>
      <w:r>
        <w:rPr/>
        <w:t>profound</w:t>
      </w:r>
      <w:r>
        <w:rPr>
          <w:spacing w:val="-6"/>
        </w:rPr>
        <w:t> </w:t>
      </w:r>
      <w:r>
        <w:rPr/>
        <w:t>gratitude</w:t>
      </w:r>
      <w:r>
        <w:rPr>
          <w:spacing w:val="-4"/>
        </w:rPr>
        <w:t> </w:t>
      </w:r>
      <w:r>
        <w:rPr/>
        <w:t>goes</w:t>
      </w:r>
      <w:r>
        <w:rPr>
          <w:spacing w:val="-6"/>
        </w:rPr>
        <w:t> </w:t>
      </w:r>
      <w:r>
        <w:rPr/>
        <w:t>to my brother and my mentor Dr Aminu Musa, who supervised the whole research work and supported me throughout the program, may Allah reward him abundantly. My sincere appreciation</w:t>
      </w:r>
      <w:r>
        <w:rPr>
          <w:spacing w:val="-1"/>
        </w:rPr>
        <w:t> </w:t>
      </w:r>
      <w:r>
        <w:rPr/>
        <w:t>also goes</w:t>
      </w:r>
      <w:r>
        <w:rPr>
          <w:spacing w:val="-1"/>
        </w:rPr>
        <w:t> </w:t>
      </w:r>
      <w:r>
        <w:rPr/>
        <w:t>to Prof.</w:t>
      </w:r>
      <w:r>
        <w:rPr>
          <w:spacing w:val="-1"/>
        </w:rPr>
        <w:t> </w:t>
      </w:r>
      <w:r>
        <w:rPr/>
        <w:t>A.Y Idris for</w:t>
      </w:r>
      <w:r>
        <w:rPr>
          <w:spacing w:val="-3"/>
        </w:rPr>
        <w:t> </w:t>
      </w:r>
      <w:r>
        <w:rPr/>
        <w:t>his concern, motivation,</w:t>
      </w:r>
      <w:r>
        <w:rPr>
          <w:spacing w:val="-1"/>
        </w:rPr>
        <w:t> </w:t>
      </w:r>
      <w:r>
        <w:rPr/>
        <w:t>support</w:t>
      </w:r>
      <w:r>
        <w:rPr>
          <w:spacing w:val="-1"/>
        </w:rPr>
        <w:t> </w:t>
      </w:r>
      <w:r>
        <w:rPr/>
        <w:t>and assistance, may Allah reward him. To Prof. Aliyu Musa, Dr Magaji, and Dr MI Abdullahi, I thank you so much for your contributions and the various roles you played toward the success of this program. May Allah reward you abundantly. You will all be remembered forever.</w:t>
      </w:r>
    </w:p>
    <w:p>
      <w:pPr>
        <w:pStyle w:val="BodyText"/>
        <w:spacing w:line="480" w:lineRule="auto" w:before="1"/>
        <w:ind w:left="291" w:right="1172"/>
        <w:jc w:val="both"/>
      </w:pPr>
      <w:r>
        <w:rPr/>
        <w:t>I also acknowledge the contributions of my parents, colleagues, friends, Malam Umar, Malam Nuhu, Malam Abdulrashid, Salis Auwal, Amina Jega¸ Nasir Ibrahim, Jibril, Simon BG, Aminu Isah, Inuwa, Hussain, Aminu, Abdulrashid Umar, Safyan, Lila and so on.</w:t>
      </w:r>
    </w:p>
    <w:p>
      <w:pPr>
        <w:pStyle w:val="BodyText"/>
        <w:spacing w:line="480" w:lineRule="auto"/>
        <w:ind w:left="291" w:right="1175"/>
      </w:pPr>
      <w:r>
        <w:rPr/>
        <w:t>Finally,</w:t>
      </w:r>
      <w:r>
        <w:rPr>
          <w:spacing w:val="24"/>
        </w:rPr>
        <w:t> </w:t>
      </w:r>
      <w:r>
        <w:rPr/>
        <w:t>I thank</w:t>
      </w:r>
      <w:r>
        <w:rPr>
          <w:spacing w:val="20"/>
        </w:rPr>
        <w:t> </w:t>
      </w:r>
      <w:r>
        <w:rPr/>
        <w:t>and</w:t>
      </w:r>
      <w:r>
        <w:rPr>
          <w:spacing w:val="22"/>
        </w:rPr>
        <w:t> </w:t>
      </w:r>
      <w:r>
        <w:rPr/>
        <w:t>praise</w:t>
      </w:r>
      <w:r>
        <w:rPr>
          <w:spacing w:val="19"/>
        </w:rPr>
        <w:t> </w:t>
      </w:r>
      <w:r>
        <w:rPr/>
        <w:t>Allah</w:t>
      </w:r>
      <w:r>
        <w:rPr>
          <w:spacing w:val="19"/>
        </w:rPr>
        <w:t> </w:t>
      </w:r>
      <w:r>
        <w:rPr/>
        <w:t>for</w:t>
      </w:r>
      <w:r>
        <w:rPr>
          <w:spacing w:val="19"/>
        </w:rPr>
        <w:t> </w:t>
      </w:r>
      <w:r>
        <w:rPr/>
        <w:t>making it</w:t>
      </w:r>
      <w:r>
        <w:rPr>
          <w:spacing w:val="21"/>
        </w:rPr>
        <w:t> </w:t>
      </w:r>
      <w:r>
        <w:rPr/>
        <w:t>possible</w:t>
      </w:r>
      <w:r>
        <w:rPr>
          <w:spacing w:val="19"/>
        </w:rPr>
        <w:t> </w:t>
      </w:r>
      <w:r>
        <w:rPr/>
        <w:t>for me</w:t>
      </w:r>
      <w:r>
        <w:rPr>
          <w:spacing w:val="22"/>
        </w:rPr>
        <w:t> </w:t>
      </w:r>
      <w:r>
        <w:rPr/>
        <w:t>and</w:t>
      </w:r>
      <w:r>
        <w:rPr>
          <w:spacing w:val="20"/>
        </w:rPr>
        <w:t> </w:t>
      </w:r>
      <w:r>
        <w:rPr/>
        <w:t>providing me</w:t>
      </w:r>
      <w:r>
        <w:rPr>
          <w:spacing w:val="22"/>
        </w:rPr>
        <w:t> </w:t>
      </w:r>
      <w:r>
        <w:rPr/>
        <w:t>with</w:t>
      </w:r>
      <w:r>
        <w:rPr>
          <w:spacing w:val="20"/>
        </w:rPr>
        <w:t> </w:t>
      </w:r>
      <w:r>
        <w:rPr/>
        <w:t>the sufficient</w:t>
      </w:r>
      <w:r>
        <w:rPr>
          <w:spacing w:val="80"/>
        </w:rPr>
        <w:t> </w:t>
      </w:r>
      <w:r>
        <w:rPr/>
        <w:t>health</w:t>
      </w:r>
      <w:r>
        <w:rPr>
          <w:spacing w:val="80"/>
        </w:rPr>
        <w:t> </w:t>
      </w:r>
      <w:r>
        <w:rPr/>
        <w:t>and</w:t>
      </w:r>
      <w:r>
        <w:rPr>
          <w:spacing w:val="80"/>
        </w:rPr>
        <w:t> </w:t>
      </w:r>
      <w:r>
        <w:rPr/>
        <w:t>material</w:t>
      </w:r>
      <w:r>
        <w:rPr>
          <w:spacing w:val="80"/>
        </w:rPr>
        <w:t> </w:t>
      </w:r>
      <w:r>
        <w:rPr/>
        <w:t>resources</w:t>
      </w:r>
      <w:r>
        <w:rPr>
          <w:spacing w:val="80"/>
        </w:rPr>
        <w:t> </w:t>
      </w:r>
      <w:r>
        <w:rPr/>
        <w:t>I</w:t>
      </w:r>
      <w:r>
        <w:rPr>
          <w:spacing w:val="80"/>
        </w:rPr>
        <w:t> </w:t>
      </w:r>
      <w:r>
        <w:rPr/>
        <w:t>require</w:t>
      </w:r>
      <w:r>
        <w:rPr>
          <w:spacing w:val="80"/>
        </w:rPr>
        <w:t> </w:t>
      </w:r>
      <w:r>
        <w:rPr/>
        <w:t>throughout</w:t>
      </w:r>
      <w:r>
        <w:rPr>
          <w:spacing w:val="80"/>
        </w:rPr>
        <w:t> </w:t>
      </w:r>
      <w:r>
        <w:rPr/>
        <w:t>the</w:t>
      </w:r>
      <w:r>
        <w:rPr>
          <w:spacing w:val="80"/>
        </w:rPr>
        <w:t> </w:t>
      </w:r>
      <w:r>
        <w:rPr/>
        <w:t>time</w:t>
      </w:r>
      <w:r>
        <w:rPr>
          <w:spacing w:val="80"/>
        </w:rPr>
        <w:t> </w:t>
      </w:r>
      <w:r>
        <w:rPr/>
        <w:t>frame</w:t>
      </w:r>
      <w:r>
        <w:rPr>
          <w:spacing w:val="80"/>
        </w:rPr>
        <w:t> </w:t>
      </w:r>
      <w:r>
        <w:rPr/>
        <w:t>of</w:t>
      </w:r>
      <w:r>
        <w:rPr>
          <w:spacing w:val="80"/>
        </w:rPr>
        <w:t> </w:t>
      </w:r>
      <w:r>
        <w:rPr/>
        <w:t>this program which is unfortunately the most troubling, most challenging and most expensive encounter</w:t>
      </w:r>
      <w:r>
        <w:rPr>
          <w:spacing w:val="37"/>
        </w:rPr>
        <w:t> </w:t>
      </w:r>
      <w:r>
        <w:rPr/>
        <w:t>in</w:t>
      </w:r>
      <w:r>
        <w:rPr>
          <w:spacing w:val="39"/>
        </w:rPr>
        <w:t> </w:t>
      </w:r>
      <w:r>
        <w:rPr/>
        <w:t>my</w:t>
      </w:r>
      <w:r>
        <w:rPr>
          <w:spacing w:val="33"/>
        </w:rPr>
        <w:t> </w:t>
      </w:r>
      <w:r>
        <w:rPr/>
        <w:t>life</w:t>
      </w:r>
      <w:r>
        <w:rPr>
          <w:spacing w:val="37"/>
        </w:rPr>
        <w:t> </w:t>
      </w:r>
      <w:r>
        <w:rPr/>
        <w:t>so</w:t>
      </w:r>
      <w:r>
        <w:rPr>
          <w:spacing w:val="40"/>
        </w:rPr>
        <w:t> </w:t>
      </w:r>
      <w:r>
        <w:rPr/>
        <w:t>far.</w:t>
      </w:r>
      <w:r>
        <w:rPr>
          <w:spacing w:val="37"/>
        </w:rPr>
        <w:t> </w:t>
      </w:r>
      <w:r>
        <w:rPr/>
        <w:t>To</w:t>
      </w:r>
      <w:r>
        <w:rPr>
          <w:spacing w:val="40"/>
        </w:rPr>
        <w:t> </w:t>
      </w:r>
      <w:r>
        <w:rPr/>
        <w:t>my</w:t>
      </w:r>
      <w:r>
        <w:rPr>
          <w:spacing w:val="33"/>
        </w:rPr>
        <w:t> </w:t>
      </w:r>
      <w:r>
        <w:rPr/>
        <w:t>late</w:t>
      </w:r>
      <w:r>
        <w:rPr>
          <w:spacing w:val="38"/>
        </w:rPr>
        <w:t> </w:t>
      </w:r>
      <w:r>
        <w:rPr/>
        <w:t>sister,</w:t>
      </w:r>
      <w:r>
        <w:rPr>
          <w:spacing w:val="40"/>
        </w:rPr>
        <w:t> </w:t>
      </w:r>
      <w:r>
        <w:rPr/>
        <w:t>Aisha</w:t>
      </w:r>
      <w:r>
        <w:rPr>
          <w:spacing w:val="37"/>
        </w:rPr>
        <w:t> </w:t>
      </w:r>
      <w:r>
        <w:rPr/>
        <w:t>Nakano</w:t>
      </w:r>
      <w:r>
        <w:rPr>
          <w:spacing w:val="40"/>
        </w:rPr>
        <w:t> </w:t>
      </w:r>
      <w:r>
        <w:rPr/>
        <w:t>who</w:t>
      </w:r>
      <w:r>
        <w:rPr>
          <w:spacing w:val="38"/>
        </w:rPr>
        <w:t> </w:t>
      </w:r>
      <w:r>
        <w:rPr/>
        <w:t>died</w:t>
      </w:r>
      <w:r>
        <w:rPr>
          <w:spacing w:val="40"/>
        </w:rPr>
        <w:t> </w:t>
      </w:r>
      <w:r>
        <w:rPr/>
        <w:t>from</w:t>
      </w:r>
      <w:r>
        <w:rPr>
          <w:spacing w:val="39"/>
        </w:rPr>
        <w:t> </w:t>
      </w:r>
      <w:r>
        <w:rPr/>
        <w:t>sickle</w:t>
      </w:r>
      <w:r>
        <w:rPr>
          <w:spacing w:val="40"/>
        </w:rPr>
        <w:t> </w:t>
      </w:r>
      <w:r>
        <w:rPr/>
        <w:t>cell crises,</w:t>
      </w:r>
      <w:r>
        <w:rPr>
          <w:spacing w:val="40"/>
        </w:rPr>
        <w:t> </w:t>
      </w:r>
      <w:r>
        <w:rPr/>
        <w:t>may</w:t>
      </w:r>
      <w:r>
        <w:rPr>
          <w:spacing w:val="40"/>
        </w:rPr>
        <w:t> </w:t>
      </w:r>
      <w:r>
        <w:rPr/>
        <w:t>Allah</w:t>
      </w:r>
      <w:r>
        <w:rPr>
          <w:spacing w:val="40"/>
        </w:rPr>
        <w:t> </w:t>
      </w:r>
      <w:r>
        <w:rPr/>
        <w:t>grant</w:t>
      </w:r>
      <w:r>
        <w:rPr>
          <w:spacing w:val="40"/>
        </w:rPr>
        <w:t> </w:t>
      </w:r>
      <w:r>
        <w:rPr/>
        <w:t>you</w:t>
      </w:r>
      <w:r>
        <w:rPr>
          <w:spacing w:val="40"/>
        </w:rPr>
        <w:t> </w:t>
      </w:r>
      <w:r>
        <w:rPr/>
        <w:t>His</w:t>
      </w:r>
      <w:r>
        <w:rPr>
          <w:spacing w:val="40"/>
        </w:rPr>
        <w:t> </w:t>
      </w:r>
      <w:r>
        <w:rPr/>
        <w:t>paradise.</w:t>
      </w:r>
      <w:r>
        <w:rPr>
          <w:spacing w:val="40"/>
        </w:rPr>
        <w:t> </w:t>
      </w:r>
      <w:r>
        <w:rPr/>
        <w:t>You</w:t>
      </w:r>
      <w:r>
        <w:rPr>
          <w:spacing w:val="40"/>
        </w:rPr>
        <w:t> </w:t>
      </w:r>
      <w:r>
        <w:rPr/>
        <w:t>will</w:t>
      </w:r>
      <w:r>
        <w:rPr>
          <w:spacing w:val="40"/>
        </w:rPr>
        <w:t> </w:t>
      </w:r>
      <w:r>
        <w:rPr/>
        <w:t>be</w:t>
      </w:r>
      <w:r>
        <w:rPr>
          <w:spacing w:val="40"/>
        </w:rPr>
        <w:t> </w:t>
      </w:r>
      <w:r>
        <w:rPr/>
        <w:t>remembered</w:t>
      </w:r>
      <w:r>
        <w:rPr>
          <w:spacing w:val="40"/>
        </w:rPr>
        <w:t> </w:t>
      </w:r>
      <w:r>
        <w:rPr/>
        <w:t>among</w:t>
      </w:r>
      <w:r>
        <w:rPr>
          <w:spacing w:val="40"/>
        </w:rPr>
        <w:t> </w:t>
      </w:r>
      <w:r>
        <w:rPr/>
        <w:t>the</w:t>
      </w:r>
      <w:r>
        <w:rPr>
          <w:spacing w:val="40"/>
        </w:rPr>
        <w:t> </w:t>
      </w:r>
      <w:r>
        <w:rPr/>
        <w:t>historic moments that make life interesting</w:t>
      </w:r>
    </w:p>
    <w:p>
      <w:pPr>
        <w:spacing w:after="0" w:line="480" w:lineRule="auto"/>
        <w:sectPr>
          <w:pgSz w:w="12240" w:h="15840"/>
          <w:pgMar w:header="0" w:footer="1068" w:top="1360" w:bottom="1260" w:left="1420" w:right="440"/>
        </w:sectPr>
      </w:pPr>
    </w:p>
    <w:p>
      <w:pPr>
        <w:pStyle w:val="Heading1"/>
        <w:spacing w:before="76"/>
        <w:ind w:right="882"/>
      </w:pPr>
      <w:bookmarkStart w:name="_TOC_250080" w:id="4"/>
      <w:bookmarkEnd w:id="4"/>
      <w:r>
        <w:rPr>
          <w:spacing w:val="-2"/>
        </w:rPr>
        <w:t>ABSTRACT</w:t>
      </w:r>
    </w:p>
    <w:p>
      <w:pPr>
        <w:pStyle w:val="BodyText"/>
        <w:spacing w:before="116"/>
        <w:rPr>
          <w:b/>
        </w:rPr>
      </w:pPr>
    </w:p>
    <w:p>
      <w:pPr>
        <w:pStyle w:val="BodyText"/>
        <w:spacing w:line="480" w:lineRule="auto"/>
        <w:ind w:left="291" w:right="1352"/>
        <w:jc w:val="both"/>
      </w:pPr>
      <w:r>
        <w:rPr/>
        <w:t>Health care professionals are faced with a large number of multisource products from which therapeutically equivalent products are being selected for various reasons. Consequently, an increased availability and use of generic products has been seen during the last four decades. Like most drugs, various brands of tinidazole tablets are available in Nigeria. This research was aimed at conducting an </w:t>
      </w:r>
      <w:r>
        <w:rPr>
          <w:i/>
        </w:rPr>
        <w:t>in-vitro </w:t>
      </w:r>
      <w:r>
        <w:rPr/>
        <w:t>bioequivalence studies on different samples of tinidazole tablets using simulated dissolution profiles. Four tablet samples of different brands of tinidazole were randomly purchased from major pharmaceutical shops within Kaduna</w:t>
      </w:r>
      <w:r>
        <w:rPr>
          <w:spacing w:val="-1"/>
        </w:rPr>
        <w:t> </w:t>
      </w:r>
      <w:r>
        <w:rPr/>
        <w:t>metropolis and coded A, B, C and D. Quality</w:t>
      </w:r>
      <w:r>
        <w:rPr>
          <w:spacing w:val="-3"/>
        </w:rPr>
        <w:t> </w:t>
      </w:r>
      <w:r>
        <w:rPr/>
        <w:t>control studies were conducted on each of the samples in accordance to standard procedures. Three UV spectrophotometric methods for the determination of tinidazole in simulated gastric, intestinal and blood pH were developed and validated. </w:t>
      </w:r>
      <w:r>
        <w:rPr>
          <w:i/>
        </w:rPr>
        <w:t>In vitro </w:t>
      </w:r>
      <w:r>
        <w:rPr/>
        <w:t>bioavailability study was then carried out using the dissolution test in the three media on each of the four samples.</w:t>
      </w:r>
      <w:r>
        <w:rPr>
          <w:spacing w:val="40"/>
        </w:rPr>
        <w:t> </w:t>
      </w:r>
      <w:r>
        <w:rPr/>
        <w:t>Bioavailability and bioequivalence of the various samples of tinidazole were studied using the </w:t>
      </w:r>
      <w:r>
        <w:rPr>
          <w:i/>
        </w:rPr>
        <w:t>in vitro- in vivo </w:t>
      </w:r>
      <w:r>
        <w:rPr/>
        <w:t>correlation (IVIVC) studies. The results of the studies indicated that the four tablet samples of tinidazole passed the weight uniformity test and the percentage friability test, but the disintegration test revealed that three out the four samples (including the innovator product, sample C) disintegrated in less than 15 minutes, except sample B which showed a non-uniform pattern of disintegration and failed to disintegrate even after 15 minutes. The three developed spectrophometric methods for the determination of tinidazole in simulated gastric, intestinal and blood pH were found to be linear in the ranges of 10-60, 2.5-40, and 5-50 µg/mL respectively. The regression equations</w:t>
      </w:r>
      <w:r>
        <w:rPr>
          <w:spacing w:val="44"/>
        </w:rPr>
        <w:t> </w:t>
      </w:r>
      <w:r>
        <w:rPr/>
        <w:t>of</w:t>
      </w:r>
      <w:r>
        <w:rPr>
          <w:spacing w:val="46"/>
        </w:rPr>
        <w:t> </w:t>
      </w:r>
      <w:r>
        <w:rPr/>
        <w:t>their</w:t>
      </w:r>
      <w:r>
        <w:rPr>
          <w:spacing w:val="46"/>
        </w:rPr>
        <w:t> </w:t>
      </w:r>
      <w:r>
        <w:rPr/>
        <w:t>calibration</w:t>
      </w:r>
      <w:r>
        <w:rPr>
          <w:spacing w:val="46"/>
        </w:rPr>
        <w:t> </w:t>
      </w:r>
      <w:r>
        <w:rPr/>
        <w:t>graphs</w:t>
      </w:r>
      <w:r>
        <w:rPr>
          <w:spacing w:val="49"/>
        </w:rPr>
        <w:t> </w:t>
      </w:r>
      <w:r>
        <w:rPr/>
        <w:t>and</w:t>
      </w:r>
      <w:r>
        <w:rPr>
          <w:spacing w:val="46"/>
        </w:rPr>
        <w:t> </w:t>
      </w:r>
      <w:r>
        <w:rPr/>
        <w:t>correlation</w:t>
      </w:r>
      <w:r>
        <w:rPr>
          <w:spacing w:val="45"/>
        </w:rPr>
        <w:t> </w:t>
      </w:r>
      <w:r>
        <w:rPr/>
        <w:t>coefficient</w:t>
      </w:r>
      <w:r>
        <w:rPr>
          <w:spacing w:val="47"/>
        </w:rPr>
        <w:t> </w:t>
      </w:r>
      <w:r>
        <w:rPr/>
        <w:t>were</w:t>
      </w:r>
      <w:r>
        <w:rPr>
          <w:spacing w:val="45"/>
        </w:rPr>
        <w:t> </w:t>
      </w:r>
      <w:r>
        <w:rPr/>
        <w:t>found</w:t>
      </w:r>
      <w:r>
        <w:rPr>
          <w:spacing w:val="46"/>
        </w:rPr>
        <w:t> </w:t>
      </w:r>
      <w:r>
        <w:rPr/>
        <w:t>to</w:t>
      </w:r>
      <w:r>
        <w:rPr>
          <w:spacing w:val="47"/>
        </w:rPr>
        <w:t> </w:t>
      </w:r>
      <w:r>
        <w:rPr/>
        <w:t>be</w:t>
      </w:r>
      <w:r>
        <w:rPr>
          <w:spacing w:val="48"/>
        </w:rPr>
        <w:t> </w:t>
      </w:r>
      <w:r>
        <w:rPr/>
        <w:t>y</w:t>
      </w:r>
      <w:r>
        <w:rPr>
          <w:spacing w:val="41"/>
        </w:rPr>
        <w:t> </w:t>
      </w:r>
      <w:r>
        <w:rPr>
          <w:spacing w:val="-10"/>
        </w:rPr>
        <w:t>=</w:t>
      </w:r>
    </w:p>
    <w:p>
      <w:pPr>
        <w:spacing w:after="0" w:line="480" w:lineRule="auto"/>
        <w:jc w:val="both"/>
        <w:sectPr>
          <w:pgSz w:w="12240" w:h="15840"/>
          <w:pgMar w:header="0" w:footer="1068" w:top="1360" w:bottom="1260" w:left="1420" w:right="440"/>
        </w:sectPr>
      </w:pPr>
    </w:p>
    <w:p>
      <w:pPr>
        <w:pStyle w:val="BodyText"/>
        <w:spacing w:before="72"/>
        <w:ind w:left="291"/>
        <w:jc w:val="both"/>
      </w:pPr>
      <w:r>
        <w:rPr/>
        <w:t>0.0263x</w:t>
      </w:r>
      <w:r>
        <w:rPr>
          <w:spacing w:val="20"/>
        </w:rPr>
        <w:t> </w:t>
      </w:r>
      <w:r>
        <w:rPr/>
        <w:t>-</w:t>
      </w:r>
      <w:r>
        <w:rPr>
          <w:spacing w:val="18"/>
        </w:rPr>
        <w:t> </w:t>
      </w:r>
      <w:r>
        <w:rPr/>
        <w:t>0.035</w:t>
      </w:r>
      <w:r>
        <w:rPr>
          <w:spacing w:val="18"/>
        </w:rPr>
        <w:t> </w:t>
      </w:r>
      <w:r>
        <w:rPr/>
        <w:t>and</w:t>
      </w:r>
      <w:r>
        <w:rPr>
          <w:spacing w:val="17"/>
        </w:rPr>
        <w:t> </w:t>
      </w:r>
      <w:r>
        <w:rPr/>
        <w:t>0.998,</w:t>
      </w:r>
      <w:r>
        <w:rPr>
          <w:spacing w:val="21"/>
        </w:rPr>
        <w:t> </w:t>
      </w:r>
      <w:r>
        <w:rPr/>
        <w:t>y</w:t>
      </w:r>
      <w:r>
        <w:rPr>
          <w:spacing w:val="15"/>
        </w:rPr>
        <w:t> </w:t>
      </w:r>
      <w:r>
        <w:rPr/>
        <w:t>=</w:t>
      </w:r>
      <w:r>
        <w:rPr>
          <w:spacing w:val="17"/>
        </w:rPr>
        <w:t> </w:t>
      </w:r>
      <w:r>
        <w:rPr/>
        <w:t>0.027x</w:t>
      </w:r>
      <w:r>
        <w:rPr>
          <w:spacing w:val="21"/>
        </w:rPr>
        <w:t> </w:t>
      </w:r>
      <w:r>
        <w:rPr/>
        <w:t>+</w:t>
      </w:r>
      <w:r>
        <w:rPr>
          <w:spacing w:val="18"/>
        </w:rPr>
        <w:t> </w:t>
      </w:r>
      <w:r>
        <w:rPr/>
        <w:t>0.057</w:t>
      </w:r>
      <w:r>
        <w:rPr>
          <w:spacing w:val="17"/>
        </w:rPr>
        <w:t> </w:t>
      </w:r>
      <w:r>
        <w:rPr/>
        <w:t>and</w:t>
      </w:r>
      <w:r>
        <w:rPr>
          <w:spacing w:val="18"/>
        </w:rPr>
        <w:t> </w:t>
      </w:r>
      <w:r>
        <w:rPr/>
        <w:t>0.998;</w:t>
      </w:r>
      <w:r>
        <w:rPr>
          <w:spacing w:val="21"/>
        </w:rPr>
        <w:t> </w:t>
      </w:r>
      <w:r>
        <w:rPr/>
        <w:t>y</w:t>
      </w:r>
      <w:r>
        <w:rPr>
          <w:spacing w:val="13"/>
        </w:rPr>
        <w:t> </w:t>
      </w:r>
      <w:r>
        <w:rPr/>
        <w:t>=</w:t>
      </w:r>
      <w:r>
        <w:rPr>
          <w:spacing w:val="18"/>
        </w:rPr>
        <w:t> </w:t>
      </w:r>
      <w:r>
        <w:rPr/>
        <w:t>0.029x</w:t>
      </w:r>
      <w:r>
        <w:rPr>
          <w:spacing w:val="24"/>
        </w:rPr>
        <w:t> </w:t>
      </w:r>
      <w:r>
        <w:rPr/>
        <w:t>-</w:t>
      </w:r>
      <w:r>
        <w:rPr>
          <w:spacing w:val="17"/>
        </w:rPr>
        <w:t> </w:t>
      </w:r>
      <w:r>
        <w:rPr/>
        <w:t>0.014</w:t>
      </w:r>
      <w:r>
        <w:rPr>
          <w:spacing w:val="18"/>
        </w:rPr>
        <w:t> </w:t>
      </w:r>
      <w:r>
        <w:rPr/>
        <w:t>and</w:t>
      </w:r>
      <w:r>
        <w:rPr>
          <w:spacing w:val="18"/>
        </w:rPr>
        <w:t> </w:t>
      </w:r>
      <w:r>
        <w:rPr>
          <w:spacing w:val="-2"/>
        </w:rPr>
        <w:t>0.994</w:t>
      </w:r>
    </w:p>
    <w:p>
      <w:pPr>
        <w:pStyle w:val="BodyText"/>
      </w:pPr>
    </w:p>
    <w:p>
      <w:pPr>
        <w:pStyle w:val="BodyText"/>
        <w:spacing w:line="480" w:lineRule="auto"/>
        <w:ind w:left="291" w:right="1352"/>
        <w:jc w:val="both"/>
      </w:pPr>
      <w:r>
        <w:rPr/>
        <w:t>for the simulated gastric, intestinal and blood pHs respectively. The bioavailabilities of all the four samples as measured using IVIVC studies were found to be 100 % in simulated blood pH. The bioavailabilities of brands A, B, C and D in simulated gastric pH were found to be 66.5, 85.8, 92.7 and 72.24 % respectively. In simulated intestinal pH, the bioavailabilities were 79.79, 90.57, 78.99, and 71.07 % for samples A, B, C and D respectively. The bioequivalence of samples A, B and D as a measure of similarity factor (</w:t>
      </w:r>
      <w:r>
        <w:rPr>
          <w:i/>
        </w:rPr>
        <w:t>f</w:t>
      </w:r>
      <w:r>
        <w:rPr>
          <w:i/>
          <w:vertAlign w:val="subscript"/>
        </w:rPr>
        <w:t>2</w:t>
      </w:r>
      <w:r>
        <w:rPr>
          <w:vertAlign w:val="baseline"/>
        </w:rPr>
        <w:t>) with respect to sample C (the innovator product) showed differences in bioavailability patterns which indicate the four tablet samples of tinidazole are not bioequivalent and cannot be used interchangeably. This is because none of the other three samples reach the similarity level of at least 50 % when compared to the innovator sample.</w:t>
      </w:r>
    </w:p>
    <w:p>
      <w:pPr>
        <w:pStyle w:val="BodyText"/>
        <w:spacing w:before="3"/>
      </w:pPr>
    </w:p>
    <w:p>
      <w:pPr>
        <w:pStyle w:val="BodyText"/>
        <w:spacing w:line="480" w:lineRule="auto" w:before="1"/>
        <w:ind w:left="291" w:right="1354"/>
        <w:jc w:val="both"/>
      </w:pPr>
      <w:r>
        <w:rPr/>
        <w:t>In conclusion, quality control parameters of the four tablet samples of tinidazole studied were established</w:t>
      </w:r>
      <w:r>
        <w:rPr>
          <w:spacing w:val="-2"/>
        </w:rPr>
        <w:t> </w:t>
      </w:r>
      <w:r>
        <w:rPr/>
        <w:t>and</w:t>
      </w:r>
      <w:r>
        <w:rPr>
          <w:spacing w:val="-1"/>
        </w:rPr>
        <w:t> </w:t>
      </w:r>
      <w:r>
        <w:rPr/>
        <w:t>from</w:t>
      </w:r>
      <w:r>
        <w:rPr>
          <w:spacing w:val="-1"/>
        </w:rPr>
        <w:t> </w:t>
      </w:r>
      <w:r>
        <w:rPr/>
        <w:t>the </w:t>
      </w:r>
      <w:r>
        <w:rPr>
          <w:i/>
        </w:rPr>
        <w:t>in</w:t>
      </w:r>
      <w:r>
        <w:rPr>
          <w:i/>
          <w:spacing w:val="-1"/>
        </w:rPr>
        <w:t> </w:t>
      </w:r>
      <w:r>
        <w:rPr>
          <w:i/>
        </w:rPr>
        <w:t>vitro </w:t>
      </w:r>
      <w:r>
        <w:rPr/>
        <w:t>bioequivalent</w:t>
      </w:r>
      <w:r>
        <w:rPr>
          <w:spacing w:val="-1"/>
        </w:rPr>
        <w:t> </w:t>
      </w:r>
      <w:r>
        <w:rPr/>
        <w:t>studies, the</w:t>
      </w:r>
      <w:r>
        <w:rPr>
          <w:spacing w:val="-2"/>
        </w:rPr>
        <w:t> </w:t>
      </w:r>
      <w:r>
        <w:rPr/>
        <w:t>four</w:t>
      </w:r>
      <w:r>
        <w:rPr>
          <w:spacing w:val="-2"/>
        </w:rPr>
        <w:t> </w:t>
      </w:r>
      <w:r>
        <w:rPr/>
        <w:t>samples</w:t>
      </w:r>
      <w:r>
        <w:rPr>
          <w:spacing w:val="-1"/>
        </w:rPr>
        <w:t> </w:t>
      </w:r>
      <w:r>
        <w:rPr/>
        <w:t>of</w:t>
      </w:r>
      <w:r>
        <w:rPr>
          <w:spacing w:val="-2"/>
        </w:rPr>
        <w:t> </w:t>
      </w:r>
      <w:r>
        <w:rPr/>
        <w:t>tinidazole tablets are not bioequivalent.</w:t>
      </w:r>
    </w:p>
    <w:p>
      <w:pPr>
        <w:spacing w:after="0" w:line="480" w:lineRule="auto"/>
        <w:jc w:val="both"/>
        <w:sectPr>
          <w:pgSz w:w="12240" w:h="15840"/>
          <w:pgMar w:header="0" w:footer="1068" w:top="1360" w:bottom="1260" w:left="1420" w:right="440"/>
        </w:sectPr>
      </w:pPr>
    </w:p>
    <w:p>
      <w:pPr>
        <w:pStyle w:val="Heading1"/>
        <w:spacing w:before="76"/>
        <w:ind w:left="3364"/>
        <w:jc w:val="left"/>
      </w:pPr>
      <w:r>
        <w:rPr/>
        <w:t>TABLE OF</w:t>
      </w:r>
      <w:r>
        <w:rPr>
          <w:spacing w:val="-3"/>
        </w:rPr>
        <w:t> </w:t>
      </w:r>
      <w:r>
        <w:rPr>
          <w:spacing w:val="-2"/>
        </w:rPr>
        <w:t>CONTENTS</w:t>
      </w:r>
    </w:p>
    <w:p>
      <w:pPr>
        <w:spacing w:after="0"/>
        <w:jc w:val="left"/>
        <w:sectPr>
          <w:pgSz w:w="12240" w:h="15840"/>
          <w:pgMar w:header="0" w:footer="1068" w:top="1360" w:bottom="1966" w:left="1420" w:right="440"/>
        </w:sectPr>
      </w:pPr>
    </w:p>
    <w:sdt>
      <w:sdtPr>
        <w:docPartObj>
          <w:docPartGallery w:val="Table of Contents"/>
          <w:docPartUnique/>
        </w:docPartObj>
      </w:sdtPr>
      <w:sdtEndPr/>
      <w:sdtContent>
        <w:p>
          <w:pPr>
            <w:pStyle w:val="TOC2"/>
            <w:tabs>
              <w:tab w:pos="9024" w:val="right" w:leader="dot"/>
            </w:tabs>
            <w:spacing w:before="277"/>
          </w:pPr>
          <w:hyperlink w:history="true" w:anchor="_TOC_250083">
            <w:r>
              <w:rPr>
                <w:spacing w:val="-2"/>
              </w:rPr>
              <w:t>DECLARATION</w:t>
            </w:r>
            <w:r>
              <w:rPr/>
              <w:tab/>
            </w:r>
            <w:r>
              <w:rPr>
                <w:spacing w:val="-5"/>
              </w:rPr>
              <w:t>ii</w:t>
            </w:r>
          </w:hyperlink>
        </w:p>
        <w:p>
          <w:pPr>
            <w:pStyle w:val="TOC2"/>
            <w:tabs>
              <w:tab w:pos="9026" w:val="right" w:leader="dot"/>
            </w:tabs>
          </w:pPr>
          <w:hyperlink w:history="true" w:anchor="_TOC_250082">
            <w:r>
              <w:rPr>
                <w:spacing w:val="-2"/>
              </w:rPr>
              <w:t>CERTIFICATION</w:t>
            </w:r>
            <w:r>
              <w:rPr/>
              <w:tab/>
            </w:r>
            <w:r>
              <w:rPr>
                <w:spacing w:val="-5"/>
              </w:rPr>
              <w:t>iii</w:t>
            </w:r>
          </w:hyperlink>
        </w:p>
        <w:p>
          <w:pPr>
            <w:pStyle w:val="TOC2"/>
            <w:tabs>
              <w:tab w:pos="9024" w:val="right" w:leader="dot"/>
            </w:tabs>
          </w:pPr>
          <w:hyperlink w:history="true" w:anchor="_TOC_250081">
            <w:r>
              <w:rPr>
                <w:spacing w:val="-2"/>
              </w:rPr>
              <w:t>ACKNOWLEDGEMENT</w:t>
            </w:r>
            <w:r>
              <w:rPr/>
              <w:tab/>
            </w:r>
            <w:r>
              <w:rPr>
                <w:spacing w:val="-5"/>
              </w:rPr>
              <w:t>iv</w:t>
            </w:r>
          </w:hyperlink>
        </w:p>
        <w:p>
          <w:pPr>
            <w:pStyle w:val="TOC2"/>
            <w:tabs>
              <w:tab w:pos="9024" w:val="right" w:leader="dot"/>
            </w:tabs>
          </w:pPr>
          <w:hyperlink w:history="true" w:anchor="_TOC_250080">
            <w:r>
              <w:rPr>
                <w:spacing w:val="-2"/>
              </w:rPr>
              <w:t>ABSTRACT</w:t>
            </w:r>
            <w:r>
              <w:rPr/>
              <w:tab/>
            </w:r>
            <w:r>
              <w:rPr>
                <w:spacing w:val="-10"/>
              </w:rPr>
              <w:t>v</w:t>
            </w:r>
          </w:hyperlink>
        </w:p>
        <w:p>
          <w:pPr>
            <w:pStyle w:val="TOC2"/>
            <w:tabs>
              <w:tab w:pos="9023" w:val="right" w:leader="dot"/>
            </w:tabs>
          </w:pPr>
          <w:r>
            <w:rPr/>
            <w:t>TABLE OF</w:t>
          </w:r>
          <w:r>
            <w:rPr>
              <w:spacing w:val="-3"/>
            </w:rPr>
            <w:t> </w:t>
          </w:r>
          <w:r>
            <w:rPr>
              <w:spacing w:val="-2"/>
            </w:rPr>
            <w:t>CONTENT</w:t>
          </w:r>
          <w:r>
            <w:rPr/>
            <w:tab/>
          </w:r>
          <w:r>
            <w:rPr>
              <w:spacing w:val="-5"/>
            </w:rPr>
            <w:t>vii</w:t>
          </w:r>
        </w:p>
        <w:p>
          <w:pPr>
            <w:pStyle w:val="TOC2"/>
            <w:tabs>
              <w:tab w:pos="9023" w:val="right" w:leader="dot"/>
            </w:tabs>
          </w:pPr>
          <w:hyperlink w:history="true" w:anchor="_TOC_250079">
            <w:r>
              <w:rPr/>
              <w:t>LIST OF</w:t>
            </w:r>
            <w:r>
              <w:rPr>
                <w:spacing w:val="-3"/>
              </w:rPr>
              <w:t> </w:t>
            </w:r>
            <w:r>
              <w:rPr>
                <w:spacing w:val="-2"/>
              </w:rPr>
              <w:t>TABLES</w:t>
            </w:r>
            <w:r>
              <w:rPr/>
              <w:tab/>
            </w:r>
            <w:r>
              <w:rPr>
                <w:spacing w:val="-5"/>
              </w:rPr>
              <w:t>xi</w:t>
            </w:r>
          </w:hyperlink>
        </w:p>
        <w:p>
          <w:pPr>
            <w:pStyle w:val="TOC2"/>
            <w:tabs>
              <w:tab w:pos="9023" w:val="right" w:leader="dot"/>
            </w:tabs>
            <w:spacing w:before="277"/>
          </w:pPr>
          <w:hyperlink w:history="true" w:anchor="_TOC_250078">
            <w:r>
              <w:rPr/>
              <w:t>LIST OF</w:t>
            </w:r>
            <w:r>
              <w:rPr>
                <w:spacing w:val="-3"/>
              </w:rPr>
              <w:t> </w:t>
            </w:r>
            <w:r>
              <w:rPr>
                <w:spacing w:val="-2"/>
              </w:rPr>
              <w:t>FIGURES</w:t>
            </w:r>
            <w:r>
              <w:rPr/>
              <w:tab/>
            </w:r>
            <w:r>
              <w:rPr>
                <w:spacing w:val="-5"/>
              </w:rPr>
              <w:t>xii</w:t>
            </w:r>
          </w:hyperlink>
        </w:p>
        <w:p>
          <w:pPr>
            <w:pStyle w:val="TOC2"/>
            <w:tabs>
              <w:tab w:pos="9023" w:val="right" w:leader="dot"/>
            </w:tabs>
          </w:pPr>
          <w:hyperlink w:history="true" w:anchor="_TOC_250077">
            <w:r>
              <w:rPr>
                <w:spacing w:val="-2"/>
              </w:rPr>
              <w:t>ABBREVIATIONS</w:t>
            </w:r>
            <w:r>
              <w:rPr/>
              <w:tab/>
            </w:r>
            <w:r>
              <w:rPr>
                <w:spacing w:val="-5"/>
              </w:rPr>
              <w:t>xiv</w:t>
            </w:r>
          </w:hyperlink>
        </w:p>
        <w:p>
          <w:pPr>
            <w:pStyle w:val="TOC1"/>
            <w:tabs>
              <w:tab w:pos="9024" w:val="right" w:leader="dot"/>
            </w:tabs>
          </w:pPr>
          <w:hyperlink w:history="true" w:anchor="_TOC_250076">
            <w:r>
              <w:rPr/>
              <w:t>CHAPTER</w:t>
            </w:r>
            <w:r>
              <w:rPr>
                <w:spacing w:val="-4"/>
              </w:rPr>
              <w:t> </w:t>
            </w:r>
            <w:r>
              <w:rPr>
                <w:spacing w:val="-5"/>
              </w:rPr>
              <w:t>ONE</w:t>
            </w:r>
            <w:r>
              <w:rPr/>
              <w:tab/>
            </w:r>
            <w:r>
              <w:rPr>
                <w:spacing w:val="-10"/>
              </w:rPr>
              <w:t>1</w:t>
            </w:r>
          </w:hyperlink>
        </w:p>
        <w:p>
          <w:pPr>
            <w:pStyle w:val="TOC1"/>
            <w:numPr>
              <w:ilvl w:val="1"/>
              <w:numId w:val="1"/>
            </w:numPr>
            <w:tabs>
              <w:tab w:pos="752" w:val="left" w:leader="none"/>
              <w:tab w:pos="9024" w:val="right" w:leader="dot"/>
            </w:tabs>
            <w:spacing w:line="240" w:lineRule="auto" w:before="276" w:after="0"/>
            <w:ind w:left="752" w:right="0" w:hanging="360"/>
            <w:jc w:val="left"/>
          </w:pPr>
          <w:hyperlink w:history="true" w:anchor="_TOC_250075">
            <w:r>
              <w:rPr>
                <w:spacing w:val="-2"/>
              </w:rPr>
              <w:t>INTRODUCTION</w:t>
            </w:r>
            <w:r>
              <w:rPr/>
              <w:tab/>
            </w:r>
            <w:r>
              <w:rPr>
                <w:spacing w:val="-10"/>
              </w:rPr>
              <w:t>1</w:t>
            </w:r>
          </w:hyperlink>
        </w:p>
        <w:p>
          <w:pPr>
            <w:pStyle w:val="TOC4"/>
            <w:numPr>
              <w:ilvl w:val="1"/>
              <w:numId w:val="1"/>
            </w:numPr>
            <w:tabs>
              <w:tab w:pos="903" w:val="left" w:leader="none"/>
              <w:tab w:pos="9024" w:val="right" w:leader="dot"/>
            </w:tabs>
            <w:spacing w:line="240" w:lineRule="auto" w:before="271" w:after="0"/>
            <w:ind w:left="903" w:right="0" w:hanging="360"/>
            <w:jc w:val="left"/>
          </w:pPr>
          <w:hyperlink w:history="true" w:anchor="_TOC_250074">
            <w:r>
              <w:rPr>
                <w:spacing w:val="-2"/>
              </w:rPr>
              <w:t>Bioequivalence</w:t>
            </w:r>
            <w:r>
              <w:rPr/>
              <w:tab/>
            </w:r>
            <w:r>
              <w:rPr>
                <w:spacing w:val="-10"/>
              </w:rPr>
              <w:t>3</w:t>
            </w:r>
          </w:hyperlink>
        </w:p>
        <w:p>
          <w:pPr>
            <w:pStyle w:val="TOC4"/>
            <w:numPr>
              <w:ilvl w:val="1"/>
              <w:numId w:val="1"/>
            </w:numPr>
            <w:tabs>
              <w:tab w:pos="1023" w:val="left" w:leader="none"/>
              <w:tab w:pos="9024" w:val="right" w:leader="dot"/>
            </w:tabs>
            <w:spacing w:line="240" w:lineRule="auto" w:before="276" w:after="0"/>
            <w:ind w:left="1023" w:right="0" w:hanging="480"/>
            <w:jc w:val="left"/>
          </w:pPr>
          <w:hyperlink w:history="true" w:anchor="_TOC_250073">
            <w:r>
              <w:rPr>
                <w:spacing w:val="-2"/>
              </w:rPr>
              <w:t>Pharmacokinetics</w:t>
            </w:r>
            <w:r>
              <w:rPr/>
              <w:tab/>
            </w:r>
            <w:r>
              <w:rPr>
                <w:spacing w:val="-10"/>
              </w:rPr>
              <w:t>6</w:t>
            </w:r>
          </w:hyperlink>
        </w:p>
        <w:p>
          <w:pPr>
            <w:pStyle w:val="TOC3"/>
            <w:numPr>
              <w:ilvl w:val="2"/>
              <w:numId w:val="1"/>
            </w:numPr>
            <w:tabs>
              <w:tab w:pos="932" w:val="left" w:leader="none"/>
              <w:tab w:pos="9024" w:val="right" w:leader="dot"/>
            </w:tabs>
            <w:spacing w:line="240" w:lineRule="auto" w:before="276" w:after="0"/>
            <w:ind w:left="932" w:right="0" w:hanging="540"/>
            <w:jc w:val="left"/>
          </w:pPr>
          <w:hyperlink w:history="true" w:anchor="_TOC_250072">
            <w:r>
              <w:rPr>
                <w:spacing w:val="-2"/>
              </w:rPr>
              <w:t>Bioavailability</w:t>
            </w:r>
            <w:r>
              <w:rPr/>
              <w:tab/>
            </w:r>
            <w:r>
              <w:rPr>
                <w:spacing w:val="-10"/>
              </w:rPr>
              <w:t>6</w:t>
            </w:r>
          </w:hyperlink>
        </w:p>
        <w:p>
          <w:pPr>
            <w:pStyle w:val="TOC3"/>
            <w:numPr>
              <w:ilvl w:val="2"/>
              <w:numId w:val="1"/>
            </w:numPr>
            <w:tabs>
              <w:tab w:pos="932" w:val="left" w:leader="none"/>
              <w:tab w:pos="9024" w:val="right" w:leader="dot"/>
            </w:tabs>
            <w:spacing w:line="240" w:lineRule="auto" w:before="276" w:after="0"/>
            <w:ind w:left="932" w:right="0" w:hanging="540"/>
            <w:jc w:val="left"/>
          </w:pPr>
          <w:hyperlink w:history="true" w:anchor="_TOC_250071">
            <w:r>
              <w:rPr>
                <w:spacing w:val="-2"/>
              </w:rPr>
              <w:t>Absorption</w:t>
            </w:r>
            <w:r>
              <w:rPr/>
              <w:tab/>
            </w:r>
            <w:r>
              <w:rPr>
                <w:spacing w:val="-10"/>
              </w:rPr>
              <w:t>7</w:t>
            </w:r>
          </w:hyperlink>
        </w:p>
        <w:p>
          <w:pPr>
            <w:pStyle w:val="TOC3"/>
            <w:numPr>
              <w:ilvl w:val="2"/>
              <w:numId w:val="1"/>
            </w:numPr>
            <w:tabs>
              <w:tab w:pos="932" w:val="left" w:leader="none"/>
              <w:tab w:pos="9024" w:val="right" w:leader="dot"/>
            </w:tabs>
            <w:spacing w:line="240" w:lineRule="auto" w:before="276" w:after="0"/>
            <w:ind w:left="932" w:right="0" w:hanging="540"/>
            <w:jc w:val="left"/>
          </w:pPr>
          <w:hyperlink w:history="true" w:anchor="_TOC_250070">
            <w:r>
              <w:rPr>
                <w:spacing w:val="-2"/>
              </w:rPr>
              <w:t>Distribution</w:t>
            </w:r>
            <w:r>
              <w:rPr/>
              <w:tab/>
            </w:r>
            <w:r>
              <w:rPr>
                <w:spacing w:val="-10"/>
              </w:rPr>
              <w:t>8</w:t>
            </w:r>
          </w:hyperlink>
        </w:p>
        <w:p>
          <w:pPr>
            <w:pStyle w:val="TOC3"/>
            <w:numPr>
              <w:ilvl w:val="2"/>
              <w:numId w:val="1"/>
            </w:numPr>
            <w:tabs>
              <w:tab w:pos="932" w:val="left" w:leader="none"/>
              <w:tab w:pos="9024" w:val="right" w:leader="dot"/>
            </w:tabs>
            <w:spacing w:line="240" w:lineRule="auto" w:before="276" w:after="0"/>
            <w:ind w:left="932" w:right="0" w:hanging="540"/>
            <w:jc w:val="left"/>
          </w:pPr>
          <w:hyperlink w:history="true" w:anchor="_TOC_250069">
            <w:r>
              <w:rPr>
                <w:spacing w:val="-2"/>
              </w:rPr>
              <w:t>Metabolism</w:t>
            </w:r>
            <w:r>
              <w:rPr/>
              <w:tab/>
            </w:r>
            <w:r>
              <w:rPr>
                <w:spacing w:val="-10"/>
              </w:rPr>
              <w:t>8</w:t>
            </w:r>
          </w:hyperlink>
        </w:p>
        <w:p>
          <w:pPr>
            <w:pStyle w:val="TOC3"/>
            <w:numPr>
              <w:ilvl w:val="2"/>
              <w:numId w:val="1"/>
            </w:numPr>
            <w:tabs>
              <w:tab w:pos="932" w:val="left" w:leader="none"/>
              <w:tab w:pos="9024" w:val="right" w:leader="dot"/>
            </w:tabs>
            <w:spacing w:line="240" w:lineRule="auto" w:before="276" w:after="0"/>
            <w:ind w:left="932" w:right="0" w:hanging="540"/>
            <w:jc w:val="left"/>
          </w:pPr>
          <w:hyperlink w:history="true" w:anchor="_TOC_250068">
            <w:r>
              <w:rPr>
                <w:spacing w:val="-2"/>
              </w:rPr>
              <w:t>Excretion</w:t>
            </w:r>
            <w:r>
              <w:rPr/>
              <w:tab/>
            </w:r>
            <w:r>
              <w:rPr>
                <w:spacing w:val="-5"/>
              </w:rPr>
              <w:t>10</w:t>
            </w:r>
          </w:hyperlink>
        </w:p>
        <w:p>
          <w:pPr>
            <w:pStyle w:val="TOC4"/>
            <w:numPr>
              <w:ilvl w:val="1"/>
              <w:numId w:val="1"/>
            </w:numPr>
            <w:tabs>
              <w:tab w:pos="903" w:val="left" w:leader="none"/>
              <w:tab w:pos="9024" w:val="right" w:leader="dot"/>
            </w:tabs>
            <w:spacing w:line="240" w:lineRule="auto" w:before="276" w:after="0"/>
            <w:ind w:left="903" w:right="0" w:hanging="360"/>
            <w:jc w:val="left"/>
          </w:pPr>
          <w:hyperlink w:history="true" w:anchor="_TOC_250067">
            <w:r>
              <w:rPr/>
              <w:t>Theoretical</w:t>
            </w:r>
            <w:r>
              <w:rPr>
                <w:spacing w:val="-3"/>
              </w:rPr>
              <w:t> </w:t>
            </w:r>
            <w:r>
              <w:rPr>
                <w:spacing w:val="-2"/>
              </w:rPr>
              <w:t>Framework</w:t>
            </w:r>
            <w:r>
              <w:rPr/>
              <w:tab/>
            </w:r>
            <w:r>
              <w:rPr>
                <w:spacing w:val="-7"/>
              </w:rPr>
              <w:t>11</w:t>
            </w:r>
          </w:hyperlink>
        </w:p>
        <w:p>
          <w:pPr>
            <w:pStyle w:val="TOC4"/>
            <w:numPr>
              <w:ilvl w:val="1"/>
              <w:numId w:val="1"/>
            </w:numPr>
            <w:tabs>
              <w:tab w:pos="903" w:val="left" w:leader="none"/>
              <w:tab w:pos="9024" w:val="right" w:leader="dot"/>
            </w:tabs>
            <w:spacing w:line="240" w:lineRule="auto" w:before="277" w:after="0"/>
            <w:ind w:left="903" w:right="0" w:hanging="360"/>
            <w:jc w:val="left"/>
          </w:pPr>
          <w:hyperlink w:history="true" w:anchor="_TOC_250066">
            <w:r>
              <w:rPr/>
              <w:t>Statement</w:t>
            </w:r>
            <w:r>
              <w:rPr>
                <w:spacing w:val="-1"/>
              </w:rPr>
              <w:t> </w:t>
            </w:r>
            <w:r>
              <w:rPr/>
              <w:t>of</w:t>
            </w:r>
            <w:r>
              <w:rPr>
                <w:spacing w:val="-2"/>
              </w:rPr>
              <w:t> </w:t>
            </w:r>
            <w:r>
              <w:rPr/>
              <w:t>Research </w:t>
            </w:r>
            <w:r>
              <w:rPr>
                <w:spacing w:val="-2"/>
              </w:rPr>
              <w:t>Problem</w:t>
            </w:r>
            <w:r>
              <w:rPr/>
              <w:tab/>
            </w:r>
            <w:r>
              <w:rPr>
                <w:spacing w:val="-5"/>
              </w:rPr>
              <w:t>12</w:t>
            </w:r>
          </w:hyperlink>
        </w:p>
        <w:p>
          <w:pPr>
            <w:pStyle w:val="TOC4"/>
            <w:numPr>
              <w:ilvl w:val="1"/>
              <w:numId w:val="1"/>
            </w:numPr>
            <w:tabs>
              <w:tab w:pos="903" w:val="left" w:leader="none"/>
              <w:tab w:pos="9024" w:val="right" w:leader="dot"/>
            </w:tabs>
            <w:spacing w:line="240" w:lineRule="auto" w:before="276" w:after="0"/>
            <w:ind w:left="903" w:right="0" w:hanging="360"/>
            <w:jc w:val="left"/>
          </w:pPr>
          <w:hyperlink w:history="true" w:anchor="_TOC_250065">
            <w:r>
              <w:rPr/>
              <w:t>Justification</w:t>
            </w:r>
            <w:r>
              <w:rPr>
                <w:spacing w:val="-1"/>
              </w:rPr>
              <w:t> </w:t>
            </w:r>
            <w:r>
              <w:rPr/>
              <w:t>of</w:t>
            </w:r>
            <w:r>
              <w:rPr>
                <w:spacing w:val="-2"/>
              </w:rPr>
              <w:t> Studies</w:t>
            </w:r>
            <w:r>
              <w:rPr/>
              <w:tab/>
            </w:r>
            <w:r>
              <w:rPr>
                <w:spacing w:val="-5"/>
              </w:rPr>
              <w:t>13</w:t>
            </w:r>
          </w:hyperlink>
        </w:p>
        <w:p>
          <w:pPr>
            <w:pStyle w:val="TOC4"/>
            <w:numPr>
              <w:ilvl w:val="1"/>
              <w:numId w:val="1"/>
            </w:numPr>
            <w:tabs>
              <w:tab w:pos="903" w:val="left" w:leader="none"/>
              <w:tab w:pos="9024" w:val="right" w:leader="dot"/>
            </w:tabs>
            <w:spacing w:line="240" w:lineRule="auto" w:before="276" w:after="0"/>
            <w:ind w:left="903" w:right="0" w:hanging="360"/>
            <w:jc w:val="left"/>
          </w:pPr>
          <w:hyperlink w:history="true" w:anchor="_TOC_250064">
            <w:r>
              <w:rPr/>
              <w:t>Aim</w:t>
            </w:r>
            <w:r>
              <w:rPr>
                <w:spacing w:val="-1"/>
              </w:rPr>
              <w:t> </w:t>
            </w:r>
            <w:r>
              <w:rPr/>
              <w:t>and</w:t>
            </w:r>
            <w:r>
              <w:rPr>
                <w:spacing w:val="-1"/>
              </w:rPr>
              <w:t> </w:t>
            </w:r>
            <w:r>
              <w:rPr/>
              <w:t>Objectives</w:t>
            </w:r>
            <w:r>
              <w:rPr>
                <w:spacing w:val="1"/>
              </w:rPr>
              <w:t> </w:t>
            </w:r>
            <w:r>
              <w:rPr/>
              <w:t>of</w:t>
            </w:r>
            <w:r>
              <w:rPr>
                <w:spacing w:val="-2"/>
              </w:rPr>
              <w:t> </w:t>
            </w:r>
            <w:r>
              <w:rPr/>
              <w:t>the </w:t>
            </w:r>
            <w:r>
              <w:rPr>
                <w:spacing w:val="-2"/>
              </w:rPr>
              <w:t>Research</w:t>
            </w:r>
            <w:r>
              <w:rPr/>
              <w:tab/>
            </w:r>
            <w:r>
              <w:rPr>
                <w:spacing w:val="-5"/>
              </w:rPr>
              <w:t>13</w:t>
            </w:r>
          </w:hyperlink>
        </w:p>
        <w:p>
          <w:pPr>
            <w:pStyle w:val="TOC3"/>
            <w:numPr>
              <w:ilvl w:val="2"/>
              <w:numId w:val="1"/>
            </w:numPr>
            <w:tabs>
              <w:tab w:pos="932" w:val="left" w:leader="none"/>
              <w:tab w:pos="9024" w:val="right" w:leader="dot"/>
            </w:tabs>
            <w:spacing w:line="240" w:lineRule="auto" w:before="276" w:after="20"/>
            <w:ind w:left="932" w:right="0" w:hanging="540"/>
            <w:jc w:val="left"/>
          </w:pPr>
          <w:hyperlink w:history="true" w:anchor="_TOC_250063">
            <w:r>
              <w:rPr>
                <w:spacing w:val="-5"/>
              </w:rPr>
              <w:t>Aim</w:t>
            </w:r>
            <w:r>
              <w:rPr/>
              <w:tab/>
            </w:r>
            <w:r>
              <w:rPr>
                <w:spacing w:val="-5"/>
              </w:rPr>
              <w:t>13</w:t>
            </w:r>
          </w:hyperlink>
        </w:p>
        <w:p>
          <w:pPr>
            <w:pStyle w:val="TOC3"/>
            <w:numPr>
              <w:ilvl w:val="2"/>
              <w:numId w:val="1"/>
            </w:numPr>
            <w:tabs>
              <w:tab w:pos="932" w:val="left" w:leader="none"/>
              <w:tab w:pos="9024" w:val="right" w:leader="dot"/>
            </w:tabs>
            <w:spacing w:line="240" w:lineRule="auto" w:before="72" w:after="0"/>
            <w:ind w:left="932" w:right="0" w:hanging="540"/>
            <w:jc w:val="left"/>
          </w:pPr>
          <w:hyperlink w:history="true" w:anchor="_TOC_250062">
            <w:r>
              <w:rPr>
                <w:spacing w:val="-2"/>
              </w:rPr>
              <w:t>Objectives</w:t>
            </w:r>
            <w:r>
              <w:rPr/>
              <w:tab/>
            </w:r>
            <w:r>
              <w:rPr>
                <w:spacing w:val="-5"/>
              </w:rPr>
              <w:t>14</w:t>
            </w:r>
          </w:hyperlink>
        </w:p>
        <w:p>
          <w:pPr>
            <w:pStyle w:val="TOC4"/>
            <w:numPr>
              <w:ilvl w:val="1"/>
              <w:numId w:val="1"/>
            </w:numPr>
            <w:tabs>
              <w:tab w:pos="903" w:val="left" w:leader="none"/>
              <w:tab w:pos="9024" w:val="right" w:leader="dot"/>
            </w:tabs>
            <w:spacing w:line="240" w:lineRule="auto" w:before="276" w:after="0"/>
            <w:ind w:left="903" w:right="0" w:hanging="360"/>
            <w:jc w:val="left"/>
          </w:pPr>
          <w:hyperlink w:history="true" w:anchor="_TOC_250061">
            <w:r>
              <w:rPr>
                <w:spacing w:val="-2"/>
              </w:rPr>
              <w:t>Hypothesis</w:t>
            </w:r>
            <w:r>
              <w:rPr/>
              <w:tab/>
            </w:r>
            <w:r>
              <w:rPr>
                <w:spacing w:val="-5"/>
              </w:rPr>
              <w:t>14</w:t>
            </w:r>
          </w:hyperlink>
        </w:p>
        <w:p>
          <w:pPr>
            <w:pStyle w:val="TOC1"/>
            <w:tabs>
              <w:tab w:pos="9024" w:val="right" w:leader="dot"/>
            </w:tabs>
            <w:spacing w:before="281"/>
          </w:pPr>
          <w:hyperlink w:history="true" w:anchor="_TOC_250060">
            <w:r>
              <w:rPr/>
              <w:t>CHAPTER</w:t>
            </w:r>
            <w:r>
              <w:rPr>
                <w:spacing w:val="-4"/>
              </w:rPr>
              <w:t> </w:t>
            </w:r>
            <w:r>
              <w:rPr>
                <w:spacing w:val="-5"/>
              </w:rPr>
              <w:t>TWO</w:t>
            </w:r>
            <w:r>
              <w:rPr/>
              <w:tab/>
            </w:r>
            <w:r>
              <w:rPr>
                <w:spacing w:val="-5"/>
              </w:rPr>
              <w:t>15</w:t>
            </w:r>
          </w:hyperlink>
        </w:p>
        <w:p>
          <w:pPr>
            <w:pStyle w:val="TOC1"/>
            <w:numPr>
              <w:ilvl w:val="1"/>
              <w:numId w:val="2"/>
            </w:numPr>
            <w:tabs>
              <w:tab w:pos="752" w:val="left" w:leader="none"/>
              <w:tab w:pos="9024" w:val="right" w:leader="dot"/>
            </w:tabs>
            <w:spacing w:line="240" w:lineRule="auto" w:before="276" w:after="0"/>
            <w:ind w:left="752" w:right="0" w:hanging="360"/>
            <w:jc w:val="left"/>
          </w:pPr>
          <w:hyperlink w:history="true" w:anchor="_TOC_250059">
            <w:r>
              <w:rPr/>
              <w:t>LITERATURE</w:t>
            </w:r>
            <w:r>
              <w:rPr>
                <w:spacing w:val="-2"/>
              </w:rPr>
              <w:t> REVIEW</w:t>
            </w:r>
            <w:r>
              <w:rPr/>
              <w:tab/>
            </w:r>
            <w:r>
              <w:rPr>
                <w:spacing w:val="-5"/>
              </w:rPr>
              <w:t>15</w:t>
            </w:r>
          </w:hyperlink>
        </w:p>
        <w:p>
          <w:pPr>
            <w:pStyle w:val="TOC4"/>
            <w:numPr>
              <w:ilvl w:val="1"/>
              <w:numId w:val="2"/>
            </w:numPr>
            <w:tabs>
              <w:tab w:pos="903" w:val="left" w:leader="none"/>
              <w:tab w:pos="9024" w:val="right" w:leader="dot"/>
            </w:tabs>
            <w:spacing w:line="240" w:lineRule="auto" w:before="271" w:after="0"/>
            <w:ind w:left="903" w:right="0" w:hanging="360"/>
            <w:jc w:val="left"/>
          </w:pPr>
          <w:hyperlink w:history="true" w:anchor="_TOC_250058">
            <w:r>
              <w:rPr/>
              <w:t>General</w:t>
            </w:r>
            <w:r>
              <w:rPr>
                <w:spacing w:val="-2"/>
              </w:rPr>
              <w:t> </w:t>
            </w:r>
            <w:r>
              <w:rPr/>
              <w:t>Properties</w:t>
            </w:r>
            <w:r>
              <w:rPr>
                <w:spacing w:val="-1"/>
              </w:rPr>
              <w:t> </w:t>
            </w:r>
            <w:r>
              <w:rPr/>
              <w:t>of</w:t>
            </w:r>
            <w:r>
              <w:rPr>
                <w:spacing w:val="-1"/>
              </w:rPr>
              <w:t> </w:t>
            </w:r>
            <w:r>
              <w:rPr>
                <w:spacing w:val="-2"/>
              </w:rPr>
              <w:t>Tinidazole</w:t>
            </w:r>
            <w:r>
              <w:rPr/>
              <w:tab/>
            </w:r>
            <w:r>
              <w:rPr>
                <w:spacing w:val="-5"/>
              </w:rPr>
              <w:t>15</w:t>
            </w:r>
          </w:hyperlink>
        </w:p>
        <w:p>
          <w:pPr>
            <w:pStyle w:val="TOC4"/>
            <w:numPr>
              <w:ilvl w:val="1"/>
              <w:numId w:val="2"/>
            </w:numPr>
            <w:tabs>
              <w:tab w:pos="1023" w:val="left" w:leader="none"/>
              <w:tab w:pos="9024" w:val="right" w:leader="dot"/>
            </w:tabs>
            <w:spacing w:line="240" w:lineRule="auto" w:before="276" w:after="0"/>
            <w:ind w:left="1023" w:right="0" w:hanging="480"/>
            <w:jc w:val="left"/>
          </w:pPr>
          <w:hyperlink w:history="true" w:anchor="_TOC_250057">
            <w:r>
              <w:rPr/>
              <w:t>5-Nitro</w:t>
            </w:r>
            <w:r>
              <w:rPr>
                <w:spacing w:val="-3"/>
              </w:rPr>
              <w:t> </w:t>
            </w:r>
            <w:r>
              <w:rPr/>
              <w:t>Imidazole</w:t>
            </w:r>
            <w:r>
              <w:rPr>
                <w:spacing w:val="-2"/>
              </w:rPr>
              <w:t> Derivatives</w:t>
            </w:r>
            <w:r>
              <w:rPr/>
              <w:tab/>
            </w:r>
            <w:r>
              <w:rPr>
                <w:spacing w:val="-5"/>
              </w:rPr>
              <w:t>16</w:t>
            </w:r>
          </w:hyperlink>
        </w:p>
        <w:p>
          <w:pPr>
            <w:pStyle w:val="TOC4"/>
            <w:numPr>
              <w:ilvl w:val="1"/>
              <w:numId w:val="3"/>
            </w:numPr>
            <w:tabs>
              <w:tab w:pos="963" w:val="left" w:leader="none"/>
              <w:tab w:pos="9024" w:val="right" w:leader="dot"/>
            </w:tabs>
            <w:spacing w:line="240" w:lineRule="auto" w:before="276" w:after="0"/>
            <w:ind w:left="963" w:right="0" w:hanging="420"/>
            <w:jc w:val="left"/>
          </w:pPr>
          <w:hyperlink w:history="true" w:anchor="_TOC_250056">
            <w:r>
              <w:rPr>
                <w:spacing w:val="-2"/>
              </w:rPr>
              <w:t>Tinidazole</w:t>
            </w:r>
            <w:r>
              <w:rPr/>
              <w:tab/>
            </w:r>
            <w:r>
              <w:rPr>
                <w:spacing w:val="-5"/>
              </w:rPr>
              <w:t>18</w:t>
            </w:r>
          </w:hyperlink>
        </w:p>
        <w:p>
          <w:pPr>
            <w:pStyle w:val="TOC3"/>
            <w:numPr>
              <w:ilvl w:val="2"/>
              <w:numId w:val="3"/>
            </w:numPr>
            <w:tabs>
              <w:tab w:pos="932" w:val="left" w:leader="none"/>
              <w:tab w:pos="9024" w:val="right" w:leader="dot"/>
            </w:tabs>
            <w:spacing w:line="240" w:lineRule="auto" w:before="277" w:after="0"/>
            <w:ind w:left="932" w:right="0" w:hanging="540"/>
            <w:jc w:val="left"/>
          </w:pPr>
          <w:hyperlink w:history="true" w:anchor="_TOC_250055">
            <w:r>
              <w:rPr/>
              <w:t>Pharmacokinetics</w:t>
            </w:r>
            <w:r>
              <w:rPr>
                <w:spacing w:val="-2"/>
              </w:rPr>
              <w:t> </w:t>
            </w:r>
            <w:r>
              <w:rPr/>
              <w:t>and</w:t>
            </w:r>
            <w:r>
              <w:rPr>
                <w:spacing w:val="-1"/>
              </w:rPr>
              <w:t> </w:t>
            </w:r>
            <w:r>
              <w:rPr/>
              <w:t>bioavailability</w:t>
            </w:r>
            <w:r>
              <w:rPr>
                <w:spacing w:val="-5"/>
              </w:rPr>
              <w:t> </w:t>
            </w:r>
            <w:r>
              <w:rPr/>
              <w:t>of</w:t>
            </w:r>
            <w:r>
              <w:rPr>
                <w:spacing w:val="-1"/>
              </w:rPr>
              <w:t> </w:t>
            </w:r>
            <w:r>
              <w:rPr>
                <w:spacing w:val="-2"/>
              </w:rPr>
              <w:t>tinidazole</w:t>
            </w:r>
            <w:r>
              <w:rPr/>
              <w:tab/>
            </w:r>
            <w:r>
              <w:rPr>
                <w:spacing w:val="-5"/>
              </w:rPr>
              <w:t>18</w:t>
            </w:r>
          </w:hyperlink>
        </w:p>
        <w:p>
          <w:pPr>
            <w:pStyle w:val="TOC3"/>
            <w:numPr>
              <w:ilvl w:val="2"/>
              <w:numId w:val="3"/>
            </w:numPr>
            <w:tabs>
              <w:tab w:pos="932" w:val="left" w:leader="none"/>
              <w:tab w:pos="9024" w:val="right" w:leader="dot"/>
            </w:tabs>
            <w:spacing w:line="240" w:lineRule="auto" w:before="276" w:after="0"/>
            <w:ind w:left="932" w:right="0" w:hanging="540"/>
            <w:jc w:val="left"/>
          </w:pPr>
          <w:hyperlink w:history="true" w:anchor="_TOC_250054">
            <w:r>
              <w:rPr/>
              <w:t>Methods</w:t>
            </w:r>
            <w:r>
              <w:rPr>
                <w:spacing w:val="-2"/>
              </w:rPr>
              <w:t> </w:t>
            </w:r>
            <w:r>
              <w:rPr/>
              <w:t>of assessing</w:t>
            </w:r>
            <w:r>
              <w:rPr>
                <w:spacing w:val="-3"/>
              </w:rPr>
              <w:t> </w:t>
            </w:r>
            <w:r>
              <w:rPr/>
              <w:t>bioavailability</w:t>
            </w:r>
            <w:r>
              <w:rPr>
                <w:spacing w:val="-4"/>
              </w:rPr>
              <w:t> </w:t>
            </w:r>
            <w:r>
              <w:rPr/>
              <w:t>of</w:t>
            </w:r>
            <w:r>
              <w:rPr>
                <w:spacing w:val="1"/>
              </w:rPr>
              <w:t> </w:t>
            </w:r>
            <w:r>
              <w:rPr>
                <w:spacing w:val="-2"/>
              </w:rPr>
              <w:t>tinidazole</w:t>
            </w:r>
            <w:r>
              <w:rPr/>
              <w:tab/>
            </w:r>
            <w:r>
              <w:rPr>
                <w:spacing w:val="-5"/>
              </w:rPr>
              <w:t>19</w:t>
            </w:r>
          </w:hyperlink>
        </w:p>
        <w:p>
          <w:pPr>
            <w:pStyle w:val="TOC3"/>
            <w:numPr>
              <w:ilvl w:val="2"/>
              <w:numId w:val="3"/>
            </w:numPr>
            <w:tabs>
              <w:tab w:pos="932" w:val="left" w:leader="none"/>
              <w:tab w:pos="9024" w:val="right" w:leader="dot"/>
            </w:tabs>
            <w:spacing w:line="240" w:lineRule="auto" w:before="276" w:after="0"/>
            <w:ind w:left="932" w:right="0" w:hanging="540"/>
            <w:jc w:val="left"/>
          </w:pPr>
          <w:hyperlink w:history="true" w:anchor="_TOC_250053">
            <w:r>
              <w:rPr/>
              <w:t>Analytical</w:t>
            </w:r>
            <w:r>
              <w:rPr>
                <w:spacing w:val="-4"/>
              </w:rPr>
              <w:t> </w:t>
            </w:r>
            <w:r>
              <w:rPr/>
              <w:t>methods</w:t>
            </w:r>
            <w:r>
              <w:rPr>
                <w:spacing w:val="-2"/>
              </w:rPr>
              <w:t> </w:t>
            </w:r>
            <w:r>
              <w:rPr/>
              <w:t>of</w:t>
            </w:r>
            <w:r>
              <w:rPr>
                <w:spacing w:val="-2"/>
              </w:rPr>
              <w:t> </w:t>
            </w:r>
            <w:r>
              <w:rPr/>
              <w:t>analysing</w:t>
            </w:r>
            <w:r>
              <w:rPr>
                <w:spacing w:val="-4"/>
              </w:rPr>
              <w:t> </w:t>
            </w:r>
            <w:r>
              <w:rPr>
                <w:spacing w:val="-2"/>
              </w:rPr>
              <w:t>tinidazole</w:t>
            </w:r>
            <w:r>
              <w:rPr/>
              <w:tab/>
            </w:r>
            <w:r>
              <w:rPr>
                <w:spacing w:val="-5"/>
              </w:rPr>
              <w:t>22</w:t>
            </w:r>
          </w:hyperlink>
        </w:p>
        <w:p>
          <w:pPr>
            <w:pStyle w:val="TOC4"/>
            <w:numPr>
              <w:ilvl w:val="1"/>
              <w:numId w:val="4"/>
            </w:numPr>
            <w:tabs>
              <w:tab w:pos="903" w:val="left" w:leader="none"/>
              <w:tab w:pos="9024" w:val="right" w:leader="dot"/>
            </w:tabs>
            <w:spacing w:line="240" w:lineRule="auto" w:before="276" w:after="0"/>
            <w:ind w:left="903" w:right="0" w:hanging="360"/>
            <w:jc w:val="left"/>
          </w:pPr>
          <w:hyperlink w:history="true" w:anchor="_TOC_250052">
            <w:r>
              <w:rPr/>
              <w:t>Biopharmaceutics</w:t>
            </w:r>
            <w:r>
              <w:rPr>
                <w:spacing w:val="-4"/>
              </w:rPr>
              <w:t> </w:t>
            </w:r>
            <w:r>
              <w:rPr/>
              <w:t>Classification</w:t>
            </w:r>
            <w:r>
              <w:rPr>
                <w:spacing w:val="-3"/>
              </w:rPr>
              <w:t> </w:t>
            </w:r>
            <w:r>
              <w:rPr/>
              <w:t>System</w:t>
            </w:r>
            <w:r>
              <w:rPr>
                <w:spacing w:val="-3"/>
              </w:rPr>
              <w:t> </w:t>
            </w:r>
            <w:r>
              <w:rPr>
                <w:spacing w:val="-2"/>
              </w:rPr>
              <w:t>(BCS)</w:t>
            </w:r>
            <w:r>
              <w:rPr/>
              <w:tab/>
            </w:r>
            <w:r>
              <w:rPr>
                <w:spacing w:val="-5"/>
              </w:rPr>
              <w:t>28</w:t>
            </w:r>
          </w:hyperlink>
        </w:p>
        <w:p>
          <w:pPr>
            <w:pStyle w:val="TOC3"/>
            <w:numPr>
              <w:ilvl w:val="2"/>
              <w:numId w:val="4"/>
            </w:numPr>
            <w:tabs>
              <w:tab w:pos="992" w:val="left" w:leader="none"/>
              <w:tab w:pos="9024" w:val="right" w:leader="dot"/>
            </w:tabs>
            <w:spacing w:line="240" w:lineRule="auto" w:before="276" w:after="0"/>
            <w:ind w:left="992" w:right="0" w:hanging="600"/>
            <w:jc w:val="left"/>
          </w:pPr>
          <w:hyperlink w:history="true" w:anchor="_TOC_250051">
            <w:r>
              <w:rPr/>
              <w:t>Class</w:t>
            </w:r>
            <w:r>
              <w:rPr>
                <w:spacing w:val="2"/>
              </w:rPr>
              <w:t> </w:t>
            </w:r>
            <w:r>
              <w:rPr>
                <w:spacing w:val="-10"/>
              </w:rPr>
              <w:t>I</w:t>
            </w:r>
            <w:r>
              <w:rPr/>
              <w:tab/>
            </w:r>
            <w:r>
              <w:rPr>
                <w:spacing w:val="-5"/>
              </w:rPr>
              <w:t>30</w:t>
            </w:r>
          </w:hyperlink>
        </w:p>
        <w:p>
          <w:pPr>
            <w:pStyle w:val="TOC3"/>
            <w:numPr>
              <w:ilvl w:val="2"/>
              <w:numId w:val="4"/>
            </w:numPr>
            <w:tabs>
              <w:tab w:pos="992" w:val="left" w:leader="none"/>
              <w:tab w:pos="9024" w:val="right" w:leader="dot"/>
            </w:tabs>
            <w:spacing w:line="240" w:lineRule="auto" w:before="276" w:after="0"/>
            <w:ind w:left="992" w:right="0" w:hanging="600"/>
            <w:jc w:val="left"/>
          </w:pPr>
          <w:hyperlink w:history="true" w:anchor="_TOC_250050">
            <w:r>
              <w:rPr/>
              <w:t>Class</w:t>
            </w:r>
            <w:r>
              <w:rPr>
                <w:spacing w:val="2"/>
              </w:rPr>
              <w:t> </w:t>
            </w:r>
            <w:r>
              <w:rPr>
                <w:spacing w:val="-5"/>
              </w:rPr>
              <w:t>II</w:t>
            </w:r>
            <w:r>
              <w:rPr/>
              <w:tab/>
            </w:r>
            <w:r>
              <w:rPr>
                <w:spacing w:val="-5"/>
              </w:rPr>
              <w:t>30</w:t>
            </w:r>
          </w:hyperlink>
        </w:p>
        <w:p>
          <w:pPr>
            <w:pStyle w:val="TOC3"/>
            <w:numPr>
              <w:ilvl w:val="2"/>
              <w:numId w:val="4"/>
            </w:numPr>
            <w:tabs>
              <w:tab w:pos="992" w:val="left" w:leader="none"/>
              <w:tab w:pos="9024" w:val="right" w:leader="dot"/>
            </w:tabs>
            <w:spacing w:line="240" w:lineRule="auto" w:before="276" w:after="0"/>
            <w:ind w:left="992" w:right="0" w:hanging="600"/>
            <w:jc w:val="left"/>
          </w:pPr>
          <w:hyperlink w:history="true" w:anchor="_TOC_250049">
            <w:r>
              <w:rPr/>
              <w:t>Class</w:t>
            </w:r>
            <w:r>
              <w:rPr>
                <w:spacing w:val="2"/>
              </w:rPr>
              <w:t> </w:t>
            </w:r>
            <w:r>
              <w:rPr>
                <w:spacing w:val="-5"/>
              </w:rPr>
              <w:t>III</w:t>
            </w:r>
            <w:r>
              <w:rPr/>
              <w:tab/>
            </w:r>
            <w:r>
              <w:rPr>
                <w:spacing w:val="-5"/>
              </w:rPr>
              <w:t>30</w:t>
            </w:r>
          </w:hyperlink>
        </w:p>
        <w:p>
          <w:pPr>
            <w:pStyle w:val="TOC3"/>
            <w:numPr>
              <w:ilvl w:val="2"/>
              <w:numId w:val="5"/>
            </w:numPr>
            <w:tabs>
              <w:tab w:pos="932" w:val="left" w:leader="none"/>
              <w:tab w:pos="9024" w:val="right" w:leader="dot"/>
            </w:tabs>
            <w:spacing w:line="240" w:lineRule="auto" w:before="276" w:after="0"/>
            <w:ind w:left="932" w:right="0" w:hanging="540"/>
            <w:jc w:val="left"/>
          </w:pPr>
          <w:hyperlink w:history="true" w:anchor="_TOC_250048">
            <w:r>
              <w:rPr/>
              <w:t>Class</w:t>
            </w:r>
            <w:r>
              <w:rPr>
                <w:spacing w:val="2"/>
              </w:rPr>
              <w:t> </w:t>
            </w:r>
            <w:r>
              <w:rPr>
                <w:spacing w:val="-5"/>
              </w:rPr>
              <w:t>IV</w:t>
            </w:r>
            <w:r>
              <w:rPr/>
              <w:tab/>
            </w:r>
            <w:r>
              <w:rPr>
                <w:spacing w:val="-5"/>
              </w:rPr>
              <w:t>31</w:t>
            </w:r>
          </w:hyperlink>
        </w:p>
        <w:p>
          <w:pPr>
            <w:pStyle w:val="TOC3"/>
            <w:numPr>
              <w:ilvl w:val="2"/>
              <w:numId w:val="6"/>
            </w:numPr>
            <w:tabs>
              <w:tab w:pos="934" w:val="left" w:leader="none"/>
              <w:tab w:pos="9024" w:val="right" w:leader="dot"/>
            </w:tabs>
            <w:spacing w:line="240" w:lineRule="auto" w:before="276" w:after="0"/>
            <w:ind w:left="934" w:right="0" w:hanging="542"/>
            <w:jc w:val="left"/>
          </w:pPr>
          <w:hyperlink w:history="true" w:anchor="_TOC_250047">
            <w:r>
              <w:rPr/>
              <w:t>Intrinsic</w:t>
            </w:r>
            <w:r>
              <w:rPr>
                <w:spacing w:val="-7"/>
              </w:rPr>
              <w:t> </w:t>
            </w:r>
            <w:r>
              <w:rPr>
                <w:spacing w:val="-2"/>
              </w:rPr>
              <w:t>dissolution</w:t>
            </w:r>
            <w:r>
              <w:rPr/>
              <w:tab/>
            </w:r>
            <w:r>
              <w:rPr>
                <w:spacing w:val="-5"/>
              </w:rPr>
              <w:t>32</w:t>
            </w:r>
          </w:hyperlink>
        </w:p>
        <w:p>
          <w:pPr>
            <w:pStyle w:val="TOC4"/>
            <w:tabs>
              <w:tab w:pos="9024" w:val="right" w:leader="dot"/>
            </w:tabs>
            <w:ind w:left="543" w:firstLine="0"/>
          </w:pPr>
          <w:hyperlink w:history="true" w:anchor="_TOC_250046">
            <w:r>
              <w:rPr/>
              <w:t>2.6</w:t>
            </w:r>
            <w:r>
              <w:rPr>
                <w:spacing w:val="-1"/>
              </w:rPr>
              <w:t> </w:t>
            </w:r>
            <w:r>
              <w:rPr>
                <w:i/>
              </w:rPr>
              <w:t>In Vivo</w:t>
            </w:r>
            <w:r>
              <w:rPr>
                <w:i/>
                <w:spacing w:val="-1"/>
              </w:rPr>
              <w:t> </w:t>
            </w:r>
            <w:r>
              <w:rPr/>
              <w:t>Quality</w:t>
            </w:r>
            <w:r>
              <w:rPr>
                <w:spacing w:val="-4"/>
              </w:rPr>
              <w:t> </w:t>
            </w:r>
            <w:r>
              <w:rPr/>
              <w:t>Assessment of Drug</w:t>
            </w:r>
            <w:r>
              <w:rPr>
                <w:spacing w:val="-2"/>
              </w:rPr>
              <w:t> Products</w:t>
            </w:r>
            <w:r>
              <w:rPr/>
              <w:tab/>
            </w:r>
            <w:r>
              <w:rPr>
                <w:spacing w:val="-5"/>
              </w:rPr>
              <w:t>38</w:t>
            </w:r>
          </w:hyperlink>
        </w:p>
        <w:p>
          <w:pPr>
            <w:pStyle w:val="TOC1"/>
            <w:tabs>
              <w:tab w:pos="9024" w:val="right" w:leader="dot"/>
            </w:tabs>
            <w:spacing w:before="281"/>
          </w:pPr>
          <w:hyperlink w:history="true" w:anchor="_TOC_250045">
            <w:r>
              <w:rPr/>
              <w:t>CHAPTER</w:t>
            </w:r>
            <w:r>
              <w:rPr>
                <w:spacing w:val="-4"/>
              </w:rPr>
              <w:t> </w:t>
            </w:r>
            <w:r>
              <w:rPr>
                <w:spacing w:val="-2"/>
              </w:rPr>
              <w:t>THREE</w:t>
            </w:r>
            <w:r>
              <w:rPr/>
              <w:tab/>
            </w:r>
            <w:r>
              <w:rPr>
                <w:spacing w:val="-5"/>
              </w:rPr>
              <w:t>40</w:t>
            </w:r>
          </w:hyperlink>
        </w:p>
        <w:p>
          <w:pPr>
            <w:pStyle w:val="TOC1"/>
            <w:numPr>
              <w:ilvl w:val="1"/>
              <w:numId w:val="7"/>
            </w:numPr>
            <w:tabs>
              <w:tab w:pos="752" w:val="left" w:leader="none"/>
              <w:tab w:pos="9024" w:val="right" w:leader="dot"/>
            </w:tabs>
            <w:spacing w:line="240" w:lineRule="auto" w:before="276" w:after="0"/>
            <w:ind w:left="752" w:right="0" w:hanging="360"/>
            <w:jc w:val="left"/>
          </w:pPr>
          <w:hyperlink w:history="true" w:anchor="_TOC_250044">
            <w:r>
              <w:rPr/>
              <w:t>MATERIALS</w:t>
            </w:r>
            <w:r>
              <w:rPr>
                <w:spacing w:val="-2"/>
              </w:rPr>
              <w:t> </w:t>
            </w:r>
            <w:r>
              <w:rPr/>
              <w:t>AND</w:t>
            </w:r>
            <w:r>
              <w:rPr>
                <w:spacing w:val="-1"/>
              </w:rPr>
              <w:t> </w:t>
            </w:r>
            <w:r>
              <w:rPr>
                <w:spacing w:val="-2"/>
              </w:rPr>
              <w:t>METHOD</w:t>
            </w:r>
            <w:r>
              <w:rPr/>
              <w:tab/>
            </w:r>
            <w:r>
              <w:rPr>
                <w:spacing w:val="-5"/>
              </w:rPr>
              <w:t>40</w:t>
            </w:r>
          </w:hyperlink>
        </w:p>
        <w:p>
          <w:pPr>
            <w:pStyle w:val="TOC4"/>
            <w:numPr>
              <w:ilvl w:val="1"/>
              <w:numId w:val="7"/>
            </w:numPr>
            <w:tabs>
              <w:tab w:pos="903" w:val="left" w:leader="none"/>
              <w:tab w:pos="9024" w:val="right" w:leader="dot"/>
            </w:tabs>
            <w:spacing w:line="240" w:lineRule="auto" w:before="272" w:after="0"/>
            <w:ind w:left="903" w:right="0" w:hanging="360"/>
            <w:jc w:val="left"/>
          </w:pPr>
          <w:hyperlink w:history="true" w:anchor="_TOC_250043">
            <w:r>
              <w:rPr>
                <w:spacing w:val="-2"/>
              </w:rPr>
              <w:t>Materials</w:t>
            </w:r>
            <w:r>
              <w:rPr/>
              <w:tab/>
            </w:r>
            <w:r>
              <w:rPr>
                <w:spacing w:val="-5"/>
              </w:rPr>
              <w:t>40</w:t>
            </w:r>
          </w:hyperlink>
        </w:p>
        <w:p>
          <w:pPr>
            <w:pStyle w:val="TOC3"/>
            <w:numPr>
              <w:ilvl w:val="2"/>
              <w:numId w:val="7"/>
            </w:numPr>
            <w:tabs>
              <w:tab w:pos="1112" w:val="left" w:leader="none"/>
              <w:tab w:pos="9024" w:val="right" w:leader="dot"/>
            </w:tabs>
            <w:spacing w:line="240" w:lineRule="auto" w:before="276" w:after="0"/>
            <w:ind w:left="1112" w:right="0" w:hanging="720"/>
            <w:jc w:val="left"/>
          </w:pPr>
          <w:hyperlink w:history="true" w:anchor="_TOC_250042">
            <w:r>
              <w:rPr>
                <w:spacing w:val="-2"/>
              </w:rPr>
              <w:t>Drugs</w:t>
            </w:r>
            <w:r>
              <w:rPr/>
              <w:tab/>
            </w:r>
            <w:r>
              <w:rPr>
                <w:spacing w:val="-5"/>
              </w:rPr>
              <w:t>40</w:t>
            </w:r>
          </w:hyperlink>
        </w:p>
        <w:p>
          <w:pPr>
            <w:pStyle w:val="TOC3"/>
            <w:numPr>
              <w:ilvl w:val="2"/>
              <w:numId w:val="7"/>
            </w:numPr>
            <w:tabs>
              <w:tab w:pos="932" w:val="left" w:leader="none"/>
              <w:tab w:pos="9024" w:val="right" w:leader="dot"/>
            </w:tabs>
            <w:spacing w:line="240" w:lineRule="auto" w:before="276" w:after="0"/>
            <w:ind w:left="932" w:right="0" w:hanging="540"/>
            <w:jc w:val="left"/>
          </w:pPr>
          <w:hyperlink w:history="true" w:anchor="_TOC_250041">
            <w:r>
              <w:rPr/>
              <w:t>Glass</w:t>
            </w:r>
            <w:r>
              <w:rPr>
                <w:spacing w:val="-1"/>
              </w:rPr>
              <w:t> </w:t>
            </w:r>
            <w:r>
              <w:rPr/>
              <w:t>wares</w:t>
            </w:r>
            <w:r>
              <w:rPr>
                <w:spacing w:val="-1"/>
              </w:rPr>
              <w:t> </w:t>
            </w:r>
            <w:r>
              <w:rPr/>
              <w:t>and</w:t>
            </w:r>
            <w:r>
              <w:rPr>
                <w:spacing w:val="-1"/>
              </w:rPr>
              <w:t> </w:t>
            </w:r>
            <w:r>
              <w:rPr>
                <w:spacing w:val="-2"/>
              </w:rPr>
              <w:t>accessories</w:t>
            </w:r>
            <w:r>
              <w:rPr/>
              <w:tab/>
            </w:r>
            <w:r>
              <w:rPr>
                <w:spacing w:val="-5"/>
              </w:rPr>
              <w:t>40</w:t>
            </w:r>
          </w:hyperlink>
        </w:p>
        <w:p>
          <w:pPr>
            <w:pStyle w:val="TOC3"/>
            <w:numPr>
              <w:ilvl w:val="2"/>
              <w:numId w:val="7"/>
            </w:numPr>
            <w:tabs>
              <w:tab w:pos="932" w:val="left" w:leader="none"/>
              <w:tab w:pos="9024" w:val="right" w:leader="dot"/>
            </w:tabs>
            <w:spacing w:line="240" w:lineRule="auto" w:before="276" w:after="20"/>
            <w:ind w:left="932" w:right="0" w:hanging="540"/>
            <w:jc w:val="left"/>
          </w:pPr>
          <w:hyperlink w:history="true" w:anchor="_TOC_250040">
            <w:r>
              <w:rPr>
                <w:spacing w:val="-2"/>
              </w:rPr>
              <w:t>Equipment</w:t>
            </w:r>
            <w:r>
              <w:rPr/>
              <w:tab/>
            </w:r>
            <w:r>
              <w:rPr>
                <w:spacing w:val="-5"/>
              </w:rPr>
              <w:t>40</w:t>
            </w:r>
          </w:hyperlink>
        </w:p>
        <w:p>
          <w:pPr>
            <w:pStyle w:val="TOC3"/>
            <w:numPr>
              <w:ilvl w:val="2"/>
              <w:numId w:val="7"/>
            </w:numPr>
            <w:tabs>
              <w:tab w:pos="1112" w:val="left" w:leader="none"/>
              <w:tab w:pos="9024" w:val="right" w:leader="dot"/>
            </w:tabs>
            <w:spacing w:line="240" w:lineRule="auto" w:before="72" w:after="0"/>
            <w:ind w:left="1112" w:right="0" w:hanging="720"/>
            <w:jc w:val="left"/>
          </w:pPr>
          <w:hyperlink w:history="true" w:anchor="_TOC_250039">
            <w:r>
              <w:rPr>
                <w:spacing w:val="-2"/>
              </w:rPr>
              <w:t>Reagents</w:t>
            </w:r>
            <w:r>
              <w:rPr/>
              <w:tab/>
            </w:r>
            <w:r>
              <w:rPr>
                <w:spacing w:val="-5"/>
              </w:rPr>
              <w:t>41</w:t>
            </w:r>
          </w:hyperlink>
        </w:p>
        <w:p>
          <w:pPr>
            <w:pStyle w:val="TOC4"/>
            <w:numPr>
              <w:ilvl w:val="1"/>
              <w:numId w:val="7"/>
            </w:numPr>
            <w:tabs>
              <w:tab w:pos="903" w:val="left" w:leader="none"/>
              <w:tab w:pos="9024" w:val="right" w:leader="dot"/>
            </w:tabs>
            <w:spacing w:line="240" w:lineRule="auto" w:before="276" w:after="0"/>
            <w:ind w:left="903" w:right="0" w:hanging="360"/>
            <w:jc w:val="left"/>
          </w:pPr>
          <w:hyperlink w:history="true" w:anchor="_TOC_250038">
            <w:r>
              <w:rPr>
                <w:spacing w:val="-2"/>
              </w:rPr>
              <w:t>Methods</w:t>
            </w:r>
            <w:r>
              <w:rPr/>
              <w:tab/>
            </w:r>
            <w:r>
              <w:rPr>
                <w:spacing w:val="-5"/>
              </w:rPr>
              <w:t>42</w:t>
            </w:r>
          </w:hyperlink>
        </w:p>
        <w:p>
          <w:pPr>
            <w:pStyle w:val="TOC3"/>
            <w:numPr>
              <w:ilvl w:val="2"/>
              <w:numId w:val="7"/>
            </w:numPr>
            <w:tabs>
              <w:tab w:pos="1112" w:val="left" w:leader="none"/>
              <w:tab w:pos="9024" w:val="right" w:leader="dot"/>
            </w:tabs>
            <w:spacing w:line="240" w:lineRule="auto" w:before="276" w:after="0"/>
            <w:ind w:left="1112" w:right="0" w:hanging="720"/>
            <w:jc w:val="left"/>
          </w:pPr>
          <w:hyperlink w:history="true" w:anchor="_TOC_250037">
            <w:r>
              <w:rPr/>
              <w:t>Quality</w:t>
            </w:r>
            <w:r>
              <w:rPr>
                <w:spacing w:val="-6"/>
              </w:rPr>
              <w:t> </w:t>
            </w:r>
            <w:r>
              <w:rPr/>
              <w:t>control</w:t>
            </w:r>
            <w:r>
              <w:rPr>
                <w:spacing w:val="-1"/>
              </w:rPr>
              <w:t> </w:t>
            </w:r>
            <w:r>
              <w:rPr/>
              <w:t>studies of tinidazole</w:t>
            </w:r>
            <w:r>
              <w:rPr>
                <w:spacing w:val="-1"/>
              </w:rPr>
              <w:t> </w:t>
            </w:r>
            <w:r>
              <w:rPr/>
              <w:t>tablets and</w:t>
            </w:r>
            <w:r>
              <w:rPr>
                <w:spacing w:val="-1"/>
              </w:rPr>
              <w:t> </w:t>
            </w:r>
            <w:r>
              <w:rPr/>
              <w:t>standard </w:t>
            </w:r>
            <w:r>
              <w:rPr>
                <w:spacing w:val="-2"/>
              </w:rPr>
              <w:t>powder</w:t>
            </w:r>
            <w:r>
              <w:rPr/>
              <w:tab/>
            </w:r>
            <w:r>
              <w:rPr>
                <w:spacing w:val="-5"/>
              </w:rPr>
              <w:t>42</w:t>
            </w:r>
          </w:hyperlink>
        </w:p>
        <w:p>
          <w:pPr>
            <w:pStyle w:val="TOC3"/>
            <w:numPr>
              <w:ilvl w:val="2"/>
              <w:numId w:val="7"/>
            </w:numPr>
            <w:tabs>
              <w:tab w:pos="932" w:val="left" w:leader="none"/>
              <w:tab w:pos="9024" w:val="right" w:leader="dot"/>
            </w:tabs>
            <w:spacing w:line="240" w:lineRule="auto" w:before="276" w:after="0"/>
            <w:ind w:left="932" w:right="0" w:hanging="540"/>
            <w:jc w:val="left"/>
          </w:pPr>
          <w:hyperlink w:history="true" w:anchor="_TOC_250036">
            <w:r>
              <w:rPr/>
              <w:t>UV</w:t>
            </w:r>
            <w:r>
              <w:rPr>
                <w:spacing w:val="-2"/>
              </w:rPr>
              <w:t> </w:t>
            </w:r>
            <w:r>
              <w:rPr/>
              <w:t>Spectrophotometric</w:t>
            </w:r>
            <w:r>
              <w:rPr>
                <w:spacing w:val="-1"/>
              </w:rPr>
              <w:t> </w:t>
            </w:r>
            <w:r>
              <w:rPr/>
              <w:t>methods</w:t>
            </w:r>
            <w:r>
              <w:rPr>
                <w:spacing w:val="-1"/>
              </w:rPr>
              <w:t> </w:t>
            </w:r>
            <w:r>
              <w:rPr>
                <w:spacing w:val="-2"/>
              </w:rPr>
              <w:t>development</w:t>
            </w:r>
            <w:r>
              <w:rPr/>
              <w:tab/>
            </w:r>
            <w:r>
              <w:rPr>
                <w:spacing w:val="-5"/>
              </w:rPr>
              <w:t>45</w:t>
            </w:r>
          </w:hyperlink>
        </w:p>
        <w:p>
          <w:pPr>
            <w:pStyle w:val="TOC3"/>
            <w:numPr>
              <w:ilvl w:val="2"/>
              <w:numId w:val="7"/>
            </w:numPr>
            <w:tabs>
              <w:tab w:pos="932" w:val="left" w:leader="none"/>
              <w:tab w:pos="9024" w:val="right" w:leader="dot"/>
            </w:tabs>
            <w:spacing w:line="240" w:lineRule="auto" w:before="276" w:after="0"/>
            <w:ind w:left="932" w:right="0" w:hanging="540"/>
            <w:jc w:val="left"/>
          </w:pPr>
          <w:hyperlink w:history="true" w:anchor="_TOC_250035">
            <w:r>
              <w:rPr/>
              <w:t>Validation</w:t>
            </w:r>
            <w:r>
              <w:rPr>
                <w:spacing w:val="-2"/>
              </w:rPr>
              <w:t> </w:t>
            </w:r>
            <w:r>
              <w:rPr/>
              <w:t>of</w:t>
            </w:r>
            <w:r>
              <w:rPr>
                <w:spacing w:val="-3"/>
              </w:rPr>
              <w:t> </w:t>
            </w:r>
            <w:r>
              <w:rPr/>
              <w:t>the</w:t>
            </w:r>
            <w:r>
              <w:rPr>
                <w:spacing w:val="-1"/>
              </w:rPr>
              <w:t> </w:t>
            </w:r>
            <w:r>
              <w:rPr/>
              <w:t>developed</w:t>
            </w:r>
            <w:r>
              <w:rPr>
                <w:spacing w:val="-1"/>
              </w:rPr>
              <w:t> </w:t>
            </w:r>
            <w:r>
              <w:rPr/>
              <w:t>analytical</w:t>
            </w:r>
            <w:r>
              <w:rPr>
                <w:spacing w:val="-1"/>
              </w:rPr>
              <w:t> </w:t>
            </w:r>
            <w:r>
              <w:rPr>
                <w:spacing w:val="-2"/>
              </w:rPr>
              <w:t>methods</w:t>
            </w:r>
            <w:r>
              <w:rPr/>
              <w:tab/>
            </w:r>
            <w:r>
              <w:rPr>
                <w:spacing w:val="-5"/>
              </w:rPr>
              <w:t>46</w:t>
            </w:r>
          </w:hyperlink>
        </w:p>
        <w:p>
          <w:pPr>
            <w:pStyle w:val="TOC3"/>
            <w:numPr>
              <w:ilvl w:val="2"/>
              <w:numId w:val="7"/>
            </w:numPr>
            <w:tabs>
              <w:tab w:pos="932" w:val="left" w:leader="none"/>
              <w:tab w:pos="9024" w:val="right" w:leader="dot"/>
            </w:tabs>
            <w:spacing w:line="240" w:lineRule="auto" w:before="276" w:after="0"/>
            <w:ind w:left="932" w:right="0" w:hanging="540"/>
            <w:jc w:val="left"/>
          </w:pPr>
          <w:hyperlink w:history="true" w:anchor="_TOC_250034">
            <w:r>
              <w:rPr/>
              <w:t>Bioequivalence</w:t>
            </w:r>
            <w:r>
              <w:rPr>
                <w:spacing w:val="-4"/>
              </w:rPr>
              <w:t> </w:t>
            </w:r>
            <w:r>
              <w:rPr/>
              <w:t>and</w:t>
            </w:r>
            <w:r>
              <w:rPr>
                <w:spacing w:val="1"/>
              </w:rPr>
              <w:t> </w:t>
            </w:r>
            <w:r>
              <w:rPr/>
              <w:t>bioavailability</w:t>
            </w:r>
            <w:r>
              <w:rPr>
                <w:spacing w:val="-5"/>
              </w:rPr>
              <w:t> </w:t>
            </w:r>
            <w:r>
              <w:rPr/>
              <w:t>of the</w:t>
            </w:r>
            <w:r>
              <w:rPr>
                <w:spacing w:val="-3"/>
              </w:rPr>
              <w:t> </w:t>
            </w:r>
            <w:r>
              <w:rPr/>
              <w:t>samples of</w:t>
            </w:r>
            <w:r>
              <w:rPr>
                <w:spacing w:val="-1"/>
              </w:rPr>
              <w:t> </w:t>
            </w:r>
            <w:r>
              <w:rPr/>
              <w:t>tinidazole </w:t>
            </w:r>
            <w:r>
              <w:rPr>
                <w:spacing w:val="-2"/>
              </w:rPr>
              <w:t>tablets</w:t>
            </w:r>
            <w:r>
              <w:rPr/>
              <w:tab/>
            </w:r>
            <w:r>
              <w:rPr>
                <w:spacing w:val="-5"/>
              </w:rPr>
              <w:t>47</w:t>
            </w:r>
          </w:hyperlink>
        </w:p>
        <w:p>
          <w:pPr>
            <w:pStyle w:val="TOC1"/>
            <w:tabs>
              <w:tab w:pos="9024" w:val="right" w:leader="dot"/>
            </w:tabs>
            <w:spacing w:before="281"/>
          </w:pPr>
          <w:hyperlink w:history="true" w:anchor="_TOC_250033">
            <w:r>
              <w:rPr/>
              <w:t>CHAPTER</w:t>
            </w:r>
            <w:r>
              <w:rPr>
                <w:spacing w:val="-5"/>
              </w:rPr>
              <w:t> </w:t>
            </w:r>
            <w:r>
              <w:rPr>
                <w:spacing w:val="-4"/>
              </w:rPr>
              <w:t>FOUR</w:t>
            </w:r>
            <w:r>
              <w:rPr/>
              <w:tab/>
            </w:r>
            <w:r>
              <w:rPr>
                <w:spacing w:val="-7"/>
              </w:rPr>
              <w:t>49</w:t>
            </w:r>
          </w:hyperlink>
        </w:p>
        <w:p>
          <w:pPr>
            <w:pStyle w:val="TOC1"/>
            <w:numPr>
              <w:ilvl w:val="1"/>
              <w:numId w:val="8"/>
            </w:numPr>
            <w:tabs>
              <w:tab w:pos="752" w:val="left" w:leader="none"/>
              <w:tab w:pos="9024" w:val="right" w:leader="dot"/>
            </w:tabs>
            <w:spacing w:line="240" w:lineRule="auto" w:before="277" w:after="0"/>
            <w:ind w:left="752" w:right="0" w:hanging="360"/>
            <w:jc w:val="left"/>
          </w:pPr>
          <w:hyperlink w:history="true" w:anchor="_TOC_250032">
            <w:r>
              <w:rPr>
                <w:spacing w:val="-2"/>
              </w:rPr>
              <w:t>RESULTS</w:t>
            </w:r>
            <w:r>
              <w:rPr/>
              <w:tab/>
            </w:r>
            <w:r>
              <w:rPr>
                <w:spacing w:val="-5"/>
              </w:rPr>
              <w:t>49</w:t>
            </w:r>
          </w:hyperlink>
        </w:p>
        <w:p>
          <w:pPr>
            <w:pStyle w:val="TOC4"/>
            <w:numPr>
              <w:ilvl w:val="1"/>
              <w:numId w:val="8"/>
            </w:numPr>
            <w:tabs>
              <w:tab w:pos="903" w:val="left" w:leader="none"/>
              <w:tab w:pos="9024" w:val="right" w:leader="dot"/>
            </w:tabs>
            <w:spacing w:line="240" w:lineRule="auto" w:before="271" w:after="0"/>
            <w:ind w:left="903" w:right="0" w:hanging="360"/>
            <w:jc w:val="left"/>
          </w:pPr>
          <w:hyperlink w:history="true" w:anchor="_TOC_250031">
            <w:r>
              <w:rPr/>
              <w:t>Collection</w:t>
            </w:r>
            <w:r>
              <w:rPr>
                <w:spacing w:val="-2"/>
              </w:rPr>
              <w:t> </w:t>
            </w:r>
            <w:r>
              <w:rPr/>
              <w:t>and</w:t>
            </w:r>
            <w:r>
              <w:rPr>
                <w:spacing w:val="-1"/>
              </w:rPr>
              <w:t> </w:t>
            </w:r>
            <w:r>
              <w:rPr/>
              <w:t>Quality</w:t>
            </w:r>
            <w:r>
              <w:rPr>
                <w:spacing w:val="-3"/>
              </w:rPr>
              <w:t> </w:t>
            </w:r>
            <w:r>
              <w:rPr/>
              <w:t>Control</w:t>
            </w:r>
            <w:r>
              <w:rPr>
                <w:spacing w:val="-1"/>
              </w:rPr>
              <w:t> </w:t>
            </w:r>
            <w:r>
              <w:rPr/>
              <w:t>of</w:t>
            </w:r>
            <w:r>
              <w:rPr>
                <w:spacing w:val="-1"/>
              </w:rPr>
              <w:t> </w:t>
            </w:r>
            <w:r>
              <w:rPr>
                <w:spacing w:val="-2"/>
              </w:rPr>
              <w:t>Samples</w:t>
            </w:r>
            <w:r>
              <w:rPr/>
              <w:tab/>
            </w:r>
            <w:r>
              <w:rPr>
                <w:spacing w:val="-5"/>
              </w:rPr>
              <w:t>49</w:t>
            </w:r>
          </w:hyperlink>
        </w:p>
        <w:p>
          <w:pPr>
            <w:pStyle w:val="TOC3"/>
            <w:numPr>
              <w:ilvl w:val="2"/>
              <w:numId w:val="8"/>
            </w:numPr>
            <w:tabs>
              <w:tab w:pos="932" w:val="left" w:leader="none"/>
              <w:tab w:pos="9024" w:val="right" w:leader="dot"/>
            </w:tabs>
            <w:spacing w:line="240" w:lineRule="auto" w:before="276" w:after="0"/>
            <w:ind w:left="932" w:right="0" w:hanging="540"/>
            <w:jc w:val="left"/>
          </w:pPr>
          <w:hyperlink w:history="true" w:anchor="_TOC_250030">
            <w:r>
              <w:rPr>
                <w:spacing w:val="-2"/>
              </w:rPr>
              <w:t>Samples</w:t>
            </w:r>
            <w:r>
              <w:rPr/>
              <w:tab/>
            </w:r>
            <w:r>
              <w:rPr>
                <w:spacing w:val="-5"/>
              </w:rPr>
              <w:t>49</w:t>
            </w:r>
          </w:hyperlink>
        </w:p>
        <w:p>
          <w:pPr>
            <w:pStyle w:val="TOC3"/>
            <w:numPr>
              <w:ilvl w:val="2"/>
              <w:numId w:val="8"/>
            </w:numPr>
            <w:tabs>
              <w:tab w:pos="934" w:val="left" w:leader="none"/>
              <w:tab w:pos="9024" w:val="right" w:leader="dot"/>
            </w:tabs>
            <w:spacing w:line="240" w:lineRule="auto" w:before="276" w:after="0"/>
            <w:ind w:left="934" w:right="0" w:hanging="542"/>
            <w:jc w:val="left"/>
          </w:pPr>
          <w:hyperlink w:history="true" w:anchor="_TOC_250029">
            <w:r>
              <w:rPr/>
              <w:t>Identification</w:t>
            </w:r>
            <w:r>
              <w:rPr>
                <w:spacing w:val="-4"/>
              </w:rPr>
              <w:t> </w:t>
            </w:r>
            <w:r>
              <w:rPr/>
              <w:t>of</w:t>
            </w:r>
            <w:r>
              <w:rPr>
                <w:spacing w:val="-2"/>
              </w:rPr>
              <w:t> </w:t>
            </w:r>
            <w:r>
              <w:rPr/>
              <w:t>tinidazole</w:t>
            </w:r>
            <w:r>
              <w:rPr>
                <w:spacing w:val="-1"/>
              </w:rPr>
              <w:t> </w:t>
            </w:r>
            <w:r>
              <w:rPr/>
              <w:t>in</w:t>
            </w:r>
            <w:r>
              <w:rPr>
                <w:spacing w:val="-1"/>
              </w:rPr>
              <w:t> </w:t>
            </w:r>
            <w:r>
              <w:rPr/>
              <w:t>tablet</w:t>
            </w:r>
            <w:r>
              <w:rPr>
                <w:spacing w:val="-2"/>
              </w:rPr>
              <w:t> </w:t>
            </w:r>
            <w:r>
              <w:rPr/>
              <w:t>sample</w:t>
            </w:r>
            <w:r>
              <w:rPr>
                <w:spacing w:val="-2"/>
              </w:rPr>
              <w:t> </w:t>
            </w:r>
            <w:r>
              <w:rPr/>
              <w:t>and</w:t>
            </w:r>
            <w:r>
              <w:rPr>
                <w:spacing w:val="-1"/>
              </w:rPr>
              <w:t> </w:t>
            </w:r>
            <w:r>
              <w:rPr/>
              <w:t>standard</w:t>
            </w:r>
            <w:r>
              <w:rPr>
                <w:spacing w:val="2"/>
              </w:rPr>
              <w:t> </w:t>
            </w:r>
            <w:r>
              <w:rPr>
                <w:spacing w:val="-2"/>
              </w:rPr>
              <w:t>powder</w:t>
            </w:r>
            <w:r>
              <w:rPr/>
              <w:tab/>
            </w:r>
            <w:r>
              <w:rPr>
                <w:spacing w:val="-5"/>
              </w:rPr>
              <w:t>50</w:t>
            </w:r>
          </w:hyperlink>
        </w:p>
        <w:p>
          <w:pPr>
            <w:pStyle w:val="TOC3"/>
            <w:numPr>
              <w:ilvl w:val="1"/>
              <w:numId w:val="8"/>
            </w:numPr>
            <w:tabs>
              <w:tab w:pos="752" w:val="left" w:leader="none"/>
              <w:tab w:pos="9024" w:val="right" w:leader="dot"/>
            </w:tabs>
            <w:spacing w:line="240" w:lineRule="auto" w:before="276" w:after="0"/>
            <w:ind w:left="752" w:right="0" w:hanging="360"/>
            <w:jc w:val="left"/>
          </w:pPr>
          <w:hyperlink w:history="true" w:anchor="_TOC_250028">
            <w:r>
              <w:rPr/>
              <w:t>Assay</w:t>
            </w:r>
            <w:r>
              <w:rPr>
                <w:spacing w:val="-6"/>
              </w:rPr>
              <w:t> </w:t>
            </w:r>
            <w:r>
              <w:rPr/>
              <w:t>of Tinidazole</w:t>
            </w:r>
            <w:r>
              <w:rPr>
                <w:spacing w:val="1"/>
              </w:rPr>
              <w:t> </w:t>
            </w:r>
            <w:r>
              <w:rPr/>
              <w:t>in Tablets</w:t>
            </w:r>
            <w:r>
              <w:rPr>
                <w:spacing w:val="-1"/>
              </w:rPr>
              <w:t> </w:t>
            </w:r>
            <w:r>
              <w:rPr/>
              <w:t>and Pure</w:t>
            </w:r>
            <w:r>
              <w:rPr>
                <w:spacing w:val="-1"/>
              </w:rPr>
              <w:t> </w:t>
            </w:r>
            <w:r>
              <w:rPr/>
              <w:t>Standard </w:t>
            </w:r>
            <w:r>
              <w:rPr>
                <w:spacing w:val="-2"/>
              </w:rPr>
              <w:t>Powder.</w:t>
            </w:r>
            <w:r>
              <w:rPr/>
              <w:tab/>
            </w:r>
            <w:r>
              <w:rPr>
                <w:spacing w:val="-5"/>
              </w:rPr>
              <w:t>51</w:t>
            </w:r>
          </w:hyperlink>
        </w:p>
        <w:p>
          <w:pPr>
            <w:pStyle w:val="TOC3"/>
            <w:numPr>
              <w:ilvl w:val="2"/>
              <w:numId w:val="8"/>
            </w:numPr>
            <w:tabs>
              <w:tab w:pos="932" w:val="left" w:leader="none"/>
              <w:tab w:pos="9024" w:val="right" w:leader="dot"/>
            </w:tabs>
            <w:spacing w:line="240" w:lineRule="auto" w:before="276" w:after="0"/>
            <w:ind w:left="932" w:right="0" w:hanging="540"/>
            <w:jc w:val="left"/>
          </w:pPr>
          <w:hyperlink w:history="true" w:anchor="_TOC_250027">
            <w:r>
              <w:rPr>
                <w:spacing w:val="-2"/>
              </w:rPr>
              <w:t>Assay</w:t>
            </w:r>
            <w:r>
              <w:rPr/>
              <w:tab/>
            </w:r>
            <w:r>
              <w:rPr>
                <w:spacing w:val="-5"/>
              </w:rPr>
              <w:t>51</w:t>
            </w:r>
          </w:hyperlink>
        </w:p>
        <w:p>
          <w:pPr>
            <w:pStyle w:val="TOC4"/>
            <w:numPr>
              <w:ilvl w:val="1"/>
              <w:numId w:val="8"/>
            </w:numPr>
            <w:tabs>
              <w:tab w:pos="903" w:val="left" w:leader="none"/>
              <w:tab w:pos="9024" w:val="right" w:leader="dot"/>
            </w:tabs>
            <w:spacing w:line="240" w:lineRule="auto" w:before="276" w:after="0"/>
            <w:ind w:left="903" w:right="0" w:hanging="360"/>
            <w:jc w:val="left"/>
          </w:pPr>
          <w:hyperlink w:history="true" w:anchor="_TOC_250026">
            <w:r>
              <w:rPr/>
              <w:t>Quality</w:t>
            </w:r>
            <w:r>
              <w:rPr>
                <w:spacing w:val="-5"/>
              </w:rPr>
              <w:t> </w:t>
            </w:r>
            <w:r>
              <w:rPr/>
              <w:t>Control </w:t>
            </w:r>
            <w:r>
              <w:rPr>
                <w:spacing w:val="-2"/>
              </w:rPr>
              <w:t>Studies</w:t>
            </w:r>
            <w:r>
              <w:rPr/>
              <w:tab/>
            </w:r>
            <w:r>
              <w:rPr>
                <w:spacing w:val="-5"/>
              </w:rPr>
              <w:t>52</w:t>
            </w:r>
          </w:hyperlink>
        </w:p>
        <w:p>
          <w:pPr>
            <w:pStyle w:val="TOC3"/>
            <w:numPr>
              <w:ilvl w:val="2"/>
              <w:numId w:val="8"/>
            </w:numPr>
            <w:tabs>
              <w:tab w:pos="931" w:val="left" w:leader="none"/>
              <w:tab w:pos="9024" w:val="right" w:leader="dot"/>
            </w:tabs>
            <w:spacing w:line="240" w:lineRule="auto" w:before="276" w:after="0"/>
            <w:ind w:left="931" w:right="0" w:hanging="539"/>
            <w:jc w:val="left"/>
          </w:pPr>
          <w:hyperlink w:history="true" w:anchor="_TOC_250025">
            <w:r>
              <w:rPr/>
              <w:t>Weight</w:t>
            </w:r>
            <w:r>
              <w:rPr>
                <w:spacing w:val="-2"/>
              </w:rPr>
              <w:t> variation:</w:t>
            </w:r>
            <w:r>
              <w:rPr/>
              <w:tab/>
            </w:r>
            <w:r>
              <w:rPr>
                <w:spacing w:val="-5"/>
              </w:rPr>
              <w:t>52</w:t>
            </w:r>
          </w:hyperlink>
        </w:p>
        <w:p>
          <w:pPr>
            <w:pStyle w:val="TOC3"/>
            <w:numPr>
              <w:ilvl w:val="2"/>
              <w:numId w:val="8"/>
            </w:numPr>
            <w:tabs>
              <w:tab w:pos="932" w:val="left" w:leader="none"/>
              <w:tab w:pos="9024" w:val="right" w:leader="dot"/>
            </w:tabs>
            <w:spacing w:line="240" w:lineRule="auto" w:before="276" w:after="0"/>
            <w:ind w:left="932" w:right="0" w:hanging="540"/>
            <w:jc w:val="left"/>
          </w:pPr>
          <w:hyperlink w:history="true" w:anchor="_TOC_250024">
            <w:r>
              <w:rPr>
                <w:spacing w:val="-2"/>
              </w:rPr>
              <w:t>Friability</w:t>
            </w:r>
            <w:r>
              <w:rPr/>
              <w:tab/>
            </w:r>
            <w:r>
              <w:rPr>
                <w:spacing w:val="-5"/>
              </w:rPr>
              <w:t>53</w:t>
            </w:r>
          </w:hyperlink>
        </w:p>
        <w:p>
          <w:pPr>
            <w:pStyle w:val="TOC3"/>
            <w:numPr>
              <w:ilvl w:val="2"/>
              <w:numId w:val="8"/>
            </w:numPr>
            <w:tabs>
              <w:tab w:pos="932" w:val="left" w:leader="none"/>
              <w:tab w:pos="9024" w:val="right" w:leader="dot"/>
            </w:tabs>
            <w:spacing w:line="240" w:lineRule="auto" w:before="276" w:after="0"/>
            <w:ind w:left="932" w:right="0" w:hanging="540"/>
            <w:jc w:val="left"/>
          </w:pPr>
          <w:hyperlink w:history="true" w:anchor="_TOC_250023">
            <w:r>
              <w:rPr/>
              <w:t>Disintegration</w:t>
            </w:r>
            <w:r>
              <w:rPr>
                <w:spacing w:val="-3"/>
              </w:rPr>
              <w:t> </w:t>
            </w:r>
            <w:r>
              <w:rPr>
                <w:spacing w:val="-4"/>
              </w:rPr>
              <w:t>test</w:t>
            </w:r>
            <w:r>
              <w:rPr/>
              <w:tab/>
            </w:r>
            <w:r>
              <w:rPr>
                <w:spacing w:val="-7"/>
              </w:rPr>
              <w:t>54</w:t>
            </w:r>
          </w:hyperlink>
        </w:p>
        <w:p>
          <w:pPr>
            <w:pStyle w:val="TOC3"/>
            <w:numPr>
              <w:ilvl w:val="1"/>
              <w:numId w:val="8"/>
            </w:numPr>
            <w:tabs>
              <w:tab w:pos="751" w:val="left" w:leader="none"/>
              <w:tab w:pos="9024" w:val="right" w:leader="dot"/>
            </w:tabs>
            <w:spacing w:line="240" w:lineRule="auto" w:before="276" w:after="0"/>
            <w:ind w:left="751" w:right="0" w:hanging="359"/>
            <w:jc w:val="left"/>
          </w:pPr>
          <w:hyperlink w:history="true" w:anchor="_TOC_250022">
            <w:r>
              <w:rPr/>
              <w:t>Analytical</w:t>
            </w:r>
            <w:r>
              <w:rPr>
                <w:spacing w:val="-3"/>
              </w:rPr>
              <w:t> </w:t>
            </w:r>
            <w:r>
              <w:rPr/>
              <w:t>Methods </w:t>
            </w:r>
            <w:r>
              <w:rPr>
                <w:spacing w:val="-2"/>
              </w:rPr>
              <w:t>Development</w:t>
            </w:r>
            <w:r>
              <w:rPr/>
              <w:tab/>
            </w:r>
            <w:r>
              <w:rPr>
                <w:spacing w:val="-5"/>
              </w:rPr>
              <w:t>55</w:t>
            </w:r>
          </w:hyperlink>
        </w:p>
        <w:p>
          <w:pPr>
            <w:pStyle w:val="TOC3"/>
            <w:numPr>
              <w:ilvl w:val="2"/>
              <w:numId w:val="8"/>
            </w:numPr>
            <w:tabs>
              <w:tab w:pos="932" w:val="left" w:leader="none"/>
              <w:tab w:pos="9024" w:val="right" w:leader="dot"/>
            </w:tabs>
            <w:spacing w:line="240" w:lineRule="auto" w:before="276" w:after="0"/>
            <w:ind w:left="932" w:right="0" w:hanging="540"/>
            <w:jc w:val="left"/>
          </w:pPr>
          <w:hyperlink w:history="true" w:anchor="_TOC_250021">
            <w:r>
              <w:rPr/>
              <w:t>Wavelength</w:t>
            </w:r>
            <w:r>
              <w:rPr>
                <w:spacing w:val="-1"/>
              </w:rPr>
              <w:t> </w:t>
            </w:r>
            <w:r>
              <w:rPr/>
              <w:t>of maximum </w:t>
            </w:r>
            <w:r>
              <w:rPr>
                <w:spacing w:val="-2"/>
              </w:rPr>
              <w:t>absorption</w:t>
            </w:r>
            <w:r>
              <w:rPr/>
              <w:tab/>
            </w:r>
            <w:r>
              <w:rPr>
                <w:spacing w:val="-5"/>
              </w:rPr>
              <w:t>55</w:t>
            </w:r>
          </w:hyperlink>
        </w:p>
        <w:p>
          <w:pPr>
            <w:pStyle w:val="TOC3"/>
            <w:numPr>
              <w:ilvl w:val="2"/>
              <w:numId w:val="8"/>
            </w:numPr>
            <w:tabs>
              <w:tab w:pos="872" w:val="left" w:leader="none"/>
              <w:tab w:pos="9024" w:val="right" w:leader="dot"/>
            </w:tabs>
            <w:spacing w:line="240" w:lineRule="auto" w:before="277" w:after="0"/>
            <w:ind w:left="872" w:right="0" w:hanging="480"/>
            <w:jc w:val="left"/>
          </w:pPr>
          <w:hyperlink w:history="true" w:anchor="_TOC_250020">
            <w:r>
              <w:rPr/>
              <w:t>:</w:t>
            </w:r>
            <w:r>
              <w:rPr>
                <w:spacing w:val="1"/>
              </w:rPr>
              <w:t> </w:t>
            </w:r>
            <w:r>
              <w:rPr/>
              <w:t>Linearity</w:t>
            </w:r>
            <w:r>
              <w:rPr>
                <w:spacing w:val="-5"/>
              </w:rPr>
              <w:t> </w:t>
            </w:r>
            <w:r>
              <w:rPr/>
              <w:t>of</w:t>
            </w:r>
            <w:r>
              <w:rPr>
                <w:spacing w:val="-1"/>
              </w:rPr>
              <w:t> </w:t>
            </w:r>
            <w:r>
              <w:rPr/>
              <w:t>the</w:t>
            </w:r>
            <w:r>
              <w:rPr>
                <w:spacing w:val="-2"/>
              </w:rPr>
              <w:t> methods</w:t>
            </w:r>
            <w:r>
              <w:rPr/>
              <w:tab/>
            </w:r>
            <w:r>
              <w:rPr>
                <w:spacing w:val="-5"/>
              </w:rPr>
              <w:t>59</w:t>
            </w:r>
          </w:hyperlink>
        </w:p>
        <w:p>
          <w:pPr>
            <w:pStyle w:val="TOC5"/>
            <w:numPr>
              <w:ilvl w:val="1"/>
              <w:numId w:val="8"/>
            </w:numPr>
            <w:tabs>
              <w:tab w:pos="902" w:val="left" w:leader="none"/>
              <w:tab w:pos="9024" w:val="right" w:leader="dot"/>
            </w:tabs>
            <w:spacing w:line="240" w:lineRule="auto" w:before="276" w:after="0"/>
            <w:ind w:left="902" w:right="0" w:hanging="359"/>
            <w:jc w:val="left"/>
            <w:rPr>
              <w:b w:val="0"/>
              <w:i w:val="0"/>
              <w:sz w:val="24"/>
            </w:rPr>
          </w:pPr>
          <w:r>
            <w:rPr>
              <w:b w:val="0"/>
              <w:sz w:val="24"/>
            </w:rPr>
            <w:t>In</w:t>
          </w:r>
          <w:r>
            <w:rPr>
              <w:b w:val="0"/>
              <w:spacing w:val="-2"/>
              <w:sz w:val="24"/>
            </w:rPr>
            <w:t> </w:t>
          </w:r>
          <w:r>
            <w:rPr>
              <w:b w:val="0"/>
              <w:sz w:val="24"/>
            </w:rPr>
            <w:t>Vitro</w:t>
          </w:r>
          <w:r>
            <w:rPr>
              <w:b w:val="0"/>
              <w:spacing w:val="-1"/>
              <w:sz w:val="24"/>
            </w:rPr>
            <w:t> </w:t>
          </w:r>
          <w:r>
            <w:rPr>
              <w:b w:val="0"/>
              <w:i w:val="0"/>
              <w:sz w:val="24"/>
            </w:rPr>
            <w:t>Bioavailability</w:t>
          </w:r>
          <w:r>
            <w:rPr>
              <w:b w:val="0"/>
              <w:i w:val="0"/>
              <w:spacing w:val="-5"/>
              <w:sz w:val="24"/>
            </w:rPr>
            <w:t> </w:t>
          </w:r>
          <w:r>
            <w:rPr>
              <w:b w:val="0"/>
              <w:i w:val="0"/>
              <w:spacing w:val="-2"/>
              <w:sz w:val="24"/>
            </w:rPr>
            <w:t>Studies</w:t>
          </w:r>
          <w:r>
            <w:rPr>
              <w:b w:val="0"/>
              <w:i w:val="0"/>
              <w:sz w:val="24"/>
            </w:rPr>
            <w:tab/>
          </w:r>
          <w:r>
            <w:rPr>
              <w:b w:val="0"/>
              <w:i w:val="0"/>
              <w:spacing w:val="-5"/>
              <w:sz w:val="24"/>
            </w:rPr>
            <w:t>66</w:t>
          </w:r>
        </w:p>
        <w:p>
          <w:pPr>
            <w:pStyle w:val="TOC5"/>
            <w:numPr>
              <w:ilvl w:val="1"/>
              <w:numId w:val="8"/>
            </w:numPr>
            <w:tabs>
              <w:tab w:pos="902" w:val="left" w:leader="none"/>
              <w:tab w:pos="9024" w:val="right" w:leader="dot"/>
            </w:tabs>
            <w:spacing w:line="240" w:lineRule="auto" w:before="276" w:after="0"/>
            <w:ind w:left="902" w:right="0" w:hanging="359"/>
            <w:jc w:val="left"/>
            <w:rPr>
              <w:b w:val="0"/>
              <w:i w:val="0"/>
              <w:sz w:val="24"/>
            </w:rPr>
          </w:pPr>
          <w:r>
            <w:rPr>
              <w:b w:val="0"/>
              <w:sz w:val="24"/>
            </w:rPr>
            <w:t>In</w:t>
          </w:r>
          <w:r>
            <w:rPr>
              <w:b w:val="0"/>
              <w:spacing w:val="-2"/>
              <w:sz w:val="24"/>
            </w:rPr>
            <w:t> </w:t>
          </w:r>
          <w:r>
            <w:rPr>
              <w:b w:val="0"/>
              <w:sz w:val="24"/>
            </w:rPr>
            <w:t>vitro-In</w:t>
          </w:r>
          <w:r>
            <w:rPr>
              <w:b w:val="0"/>
              <w:spacing w:val="-3"/>
              <w:sz w:val="24"/>
            </w:rPr>
            <w:t> </w:t>
          </w:r>
          <w:r>
            <w:rPr>
              <w:b w:val="0"/>
              <w:sz w:val="24"/>
            </w:rPr>
            <w:t>vivo</w:t>
          </w:r>
          <w:r>
            <w:rPr>
              <w:b w:val="0"/>
              <w:spacing w:val="-2"/>
              <w:sz w:val="24"/>
            </w:rPr>
            <w:t> </w:t>
          </w:r>
          <w:r>
            <w:rPr>
              <w:b w:val="0"/>
              <w:i w:val="0"/>
              <w:sz w:val="24"/>
            </w:rPr>
            <w:t>Correlation</w:t>
          </w:r>
          <w:r>
            <w:rPr>
              <w:b w:val="0"/>
              <w:i w:val="0"/>
              <w:spacing w:val="-2"/>
              <w:sz w:val="24"/>
            </w:rPr>
            <w:t> </w:t>
          </w:r>
          <w:r>
            <w:rPr>
              <w:b w:val="0"/>
              <w:i w:val="0"/>
              <w:sz w:val="24"/>
            </w:rPr>
            <w:t>(IVIVC)</w:t>
          </w:r>
          <w:r>
            <w:rPr>
              <w:b w:val="0"/>
              <w:i w:val="0"/>
              <w:spacing w:val="-2"/>
              <w:sz w:val="24"/>
            </w:rPr>
            <w:t> Studies</w:t>
          </w:r>
          <w:r>
            <w:rPr>
              <w:b w:val="0"/>
              <w:i w:val="0"/>
              <w:sz w:val="24"/>
            </w:rPr>
            <w:tab/>
          </w:r>
          <w:r>
            <w:rPr>
              <w:b w:val="0"/>
              <w:i w:val="0"/>
              <w:spacing w:val="-5"/>
              <w:sz w:val="24"/>
            </w:rPr>
            <w:t>66</w:t>
          </w:r>
        </w:p>
        <w:p>
          <w:pPr>
            <w:pStyle w:val="TOC3"/>
            <w:numPr>
              <w:ilvl w:val="2"/>
              <w:numId w:val="8"/>
            </w:numPr>
            <w:tabs>
              <w:tab w:pos="932" w:val="left" w:leader="none"/>
              <w:tab w:pos="9024" w:val="right" w:leader="dot"/>
            </w:tabs>
            <w:spacing w:line="240" w:lineRule="auto" w:before="276" w:after="20"/>
            <w:ind w:left="932" w:right="0" w:hanging="540"/>
            <w:jc w:val="left"/>
          </w:pPr>
          <w:hyperlink w:history="true" w:anchor="_TOC_250019">
            <w:r>
              <w:rPr/>
              <w:t>Dissolution</w:t>
            </w:r>
            <w:r>
              <w:rPr>
                <w:spacing w:val="-1"/>
              </w:rPr>
              <w:t> </w:t>
            </w:r>
            <w:r>
              <w:rPr/>
              <w:t>profiles</w:t>
            </w:r>
            <w:r>
              <w:rPr>
                <w:spacing w:val="-1"/>
              </w:rPr>
              <w:t> </w:t>
            </w:r>
            <w:r>
              <w:rPr/>
              <w:t>of</w:t>
            </w:r>
            <w:r>
              <w:rPr>
                <w:spacing w:val="-1"/>
              </w:rPr>
              <w:t> </w:t>
            </w:r>
            <w:r>
              <w:rPr/>
              <w:t>tinidazole</w:t>
            </w:r>
            <w:r>
              <w:rPr>
                <w:spacing w:val="-1"/>
              </w:rPr>
              <w:t> </w:t>
            </w:r>
            <w:r>
              <w:rPr/>
              <w:t>tablets</w:t>
            </w:r>
            <w:r>
              <w:rPr>
                <w:spacing w:val="-1"/>
              </w:rPr>
              <w:t> </w:t>
            </w:r>
            <w:r>
              <w:rPr/>
              <w:t>(samples</w:t>
            </w:r>
            <w:r>
              <w:rPr>
                <w:spacing w:val="-1"/>
              </w:rPr>
              <w:t> </w:t>
            </w:r>
            <w:r>
              <w:rPr/>
              <w:t>A,</w:t>
            </w:r>
            <w:r>
              <w:rPr>
                <w:spacing w:val="-1"/>
              </w:rPr>
              <w:t> </w:t>
            </w:r>
            <w:r>
              <w:rPr/>
              <w:t>B,</w:t>
            </w:r>
            <w:r>
              <w:rPr>
                <w:spacing w:val="-1"/>
              </w:rPr>
              <w:t> </w:t>
            </w:r>
            <w:r>
              <w:rPr/>
              <w:t>C</w:t>
            </w:r>
            <w:r>
              <w:rPr>
                <w:spacing w:val="-1"/>
              </w:rPr>
              <w:t> </w:t>
            </w:r>
            <w:r>
              <w:rPr/>
              <w:t>and </w:t>
            </w:r>
            <w:r>
              <w:rPr>
                <w:spacing w:val="-5"/>
              </w:rPr>
              <w:t>D)</w:t>
            </w:r>
            <w:r>
              <w:rPr/>
              <w:tab/>
            </w:r>
            <w:r>
              <w:rPr>
                <w:spacing w:val="-5"/>
              </w:rPr>
              <w:t>66</w:t>
            </w:r>
          </w:hyperlink>
        </w:p>
        <w:p>
          <w:pPr>
            <w:pStyle w:val="TOC4"/>
            <w:numPr>
              <w:ilvl w:val="2"/>
              <w:numId w:val="8"/>
            </w:numPr>
            <w:tabs>
              <w:tab w:pos="1159" w:val="left" w:leader="none"/>
              <w:tab w:pos="8784" w:val="left" w:leader="dot"/>
            </w:tabs>
            <w:spacing w:line="480" w:lineRule="auto" w:before="72" w:after="0"/>
            <w:ind w:left="392" w:right="1352" w:firstLine="227"/>
            <w:jc w:val="left"/>
          </w:pPr>
          <w:hyperlink w:history="true" w:anchor="_TOC_250018">
            <w:r>
              <w:rPr/>
              <w:t>Determination</w:t>
            </w:r>
            <w:r>
              <w:rPr>
                <w:spacing w:val="-4"/>
              </w:rPr>
              <w:t> </w:t>
            </w:r>
            <w:r>
              <w:rPr/>
              <w:t>of</w:t>
            </w:r>
            <w:r>
              <w:rPr>
                <w:spacing w:val="-5"/>
              </w:rPr>
              <w:t> </w:t>
            </w:r>
            <w:r>
              <w:rPr/>
              <w:t>bioequivalence</w:t>
            </w:r>
            <w:r>
              <w:rPr>
                <w:spacing w:val="-5"/>
              </w:rPr>
              <w:t> </w:t>
            </w:r>
            <w:r>
              <w:rPr/>
              <w:t>among</w:t>
            </w:r>
            <w:r>
              <w:rPr>
                <w:spacing w:val="-7"/>
              </w:rPr>
              <w:t> </w:t>
            </w:r>
            <w:r>
              <w:rPr/>
              <w:t>tinidazole</w:t>
            </w:r>
            <w:r>
              <w:rPr>
                <w:spacing w:val="-4"/>
              </w:rPr>
              <w:t> </w:t>
            </w:r>
            <w:r>
              <w:rPr/>
              <w:t>tablet</w:t>
            </w:r>
            <w:r>
              <w:rPr>
                <w:spacing w:val="-4"/>
              </w:rPr>
              <w:t> </w:t>
            </w:r>
            <w:r>
              <w:rPr/>
              <w:t>samples</w:t>
            </w:r>
            <w:r>
              <w:rPr>
                <w:spacing w:val="-4"/>
              </w:rPr>
              <w:t> </w:t>
            </w:r>
            <w:r>
              <w:rPr/>
              <w:t>using</w:t>
            </w:r>
            <w:r>
              <w:rPr>
                <w:spacing w:val="-7"/>
              </w:rPr>
              <w:t> </w:t>
            </w:r>
            <w:r>
              <w:rPr/>
              <w:t>similarity factor</w:t>
            </w:r>
            <w:r>
              <w:rPr>
                <w:spacing w:val="-1"/>
              </w:rPr>
              <w:t> </w:t>
            </w:r>
            <w:r>
              <w:rPr/>
              <w:t>of</w:t>
            </w:r>
            <w:r>
              <w:rPr>
                <w:spacing w:val="-2"/>
              </w:rPr>
              <w:t> </w:t>
            </w:r>
            <w:r>
              <w:rPr/>
              <w:t>samples</w:t>
            </w:r>
            <w:r>
              <w:rPr>
                <w:spacing w:val="-1"/>
              </w:rPr>
              <w:t> </w:t>
            </w:r>
            <w:r>
              <w:rPr/>
              <w:t>A, B,</w:t>
            </w:r>
            <w:r>
              <w:rPr>
                <w:spacing w:val="-1"/>
              </w:rPr>
              <w:t> </w:t>
            </w:r>
            <w:r>
              <w:rPr/>
              <w:t>and D</w:t>
            </w:r>
            <w:r>
              <w:rPr>
                <w:spacing w:val="-1"/>
              </w:rPr>
              <w:t> </w:t>
            </w:r>
            <w:r>
              <w:rPr/>
              <w:t>when</w:t>
            </w:r>
            <w:r>
              <w:rPr>
                <w:spacing w:val="-1"/>
              </w:rPr>
              <w:t> </w:t>
            </w:r>
            <w:r>
              <w:rPr/>
              <w:t>compared</w:t>
            </w:r>
            <w:r>
              <w:rPr>
                <w:spacing w:val="-1"/>
              </w:rPr>
              <w:t> </w:t>
            </w:r>
            <w:r>
              <w:rPr/>
              <w:t>to</w:t>
            </w:r>
            <w:r>
              <w:rPr>
                <w:spacing w:val="1"/>
              </w:rPr>
              <w:t> </w:t>
            </w:r>
            <w:r>
              <w:rPr/>
              <w:t>sample</w:t>
            </w:r>
            <w:r>
              <w:rPr>
                <w:spacing w:val="-1"/>
              </w:rPr>
              <w:t> </w:t>
            </w:r>
            <w:r>
              <w:rPr>
                <w:spacing w:val="-10"/>
              </w:rPr>
              <w:t>C</w:t>
            </w:r>
            <w:r>
              <w:rPr/>
              <w:tab/>
            </w:r>
            <w:r>
              <w:rPr>
                <w:spacing w:val="-5"/>
              </w:rPr>
              <w:t>70</w:t>
            </w:r>
          </w:hyperlink>
        </w:p>
        <w:p>
          <w:pPr>
            <w:pStyle w:val="TOC1"/>
            <w:tabs>
              <w:tab w:pos="8784" w:val="left" w:leader="dot"/>
            </w:tabs>
            <w:spacing w:before="5"/>
          </w:pPr>
          <w:hyperlink w:history="true" w:anchor="_TOC_250017">
            <w:r>
              <w:rPr/>
              <w:t>CHAPTER</w:t>
            </w:r>
            <w:r>
              <w:rPr>
                <w:spacing w:val="-5"/>
              </w:rPr>
              <w:t> </w:t>
            </w:r>
            <w:r>
              <w:rPr>
                <w:spacing w:val="-4"/>
              </w:rPr>
              <w:t>FIVE</w:t>
            </w:r>
            <w:r>
              <w:rPr/>
              <w:tab/>
            </w:r>
            <w:r>
              <w:rPr>
                <w:spacing w:val="-5"/>
              </w:rPr>
              <w:t>73</w:t>
            </w:r>
          </w:hyperlink>
        </w:p>
        <w:p>
          <w:pPr>
            <w:pStyle w:val="TOC1"/>
            <w:numPr>
              <w:ilvl w:val="1"/>
              <w:numId w:val="9"/>
            </w:numPr>
            <w:tabs>
              <w:tab w:pos="752" w:val="left" w:leader="none"/>
              <w:tab w:pos="8784" w:val="left" w:leader="dot"/>
            </w:tabs>
            <w:spacing w:line="240" w:lineRule="auto" w:before="276" w:after="0"/>
            <w:ind w:left="752" w:right="0" w:hanging="360"/>
            <w:jc w:val="left"/>
          </w:pPr>
          <w:hyperlink w:history="true" w:anchor="_TOC_250016">
            <w:r>
              <w:rPr>
                <w:spacing w:val="-2"/>
              </w:rPr>
              <w:t>DISCUSSION</w:t>
            </w:r>
            <w:r>
              <w:rPr/>
              <w:tab/>
            </w:r>
            <w:r>
              <w:rPr>
                <w:spacing w:val="-5"/>
              </w:rPr>
              <w:t>73</w:t>
            </w:r>
          </w:hyperlink>
        </w:p>
        <w:p>
          <w:pPr>
            <w:pStyle w:val="TOC4"/>
            <w:numPr>
              <w:ilvl w:val="1"/>
              <w:numId w:val="9"/>
            </w:numPr>
            <w:tabs>
              <w:tab w:pos="903" w:val="left" w:leader="none"/>
              <w:tab w:pos="8784" w:val="left" w:leader="dot"/>
            </w:tabs>
            <w:spacing w:line="240" w:lineRule="auto" w:before="271" w:after="0"/>
            <w:ind w:left="903" w:right="0" w:hanging="360"/>
            <w:jc w:val="left"/>
          </w:pPr>
          <w:hyperlink w:history="true" w:anchor="_TOC_250015">
            <w:r>
              <w:rPr/>
              <w:t>Quality</w:t>
            </w:r>
            <w:r>
              <w:rPr>
                <w:spacing w:val="-5"/>
              </w:rPr>
              <w:t> </w:t>
            </w:r>
            <w:r>
              <w:rPr>
                <w:spacing w:val="-2"/>
              </w:rPr>
              <w:t>Control</w:t>
            </w:r>
            <w:r>
              <w:rPr/>
              <w:tab/>
            </w:r>
            <w:r>
              <w:rPr>
                <w:spacing w:val="-5"/>
              </w:rPr>
              <w:t>73</w:t>
            </w:r>
          </w:hyperlink>
        </w:p>
        <w:p>
          <w:pPr>
            <w:pStyle w:val="TOC4"/>
            <w:numPr>
              <w:ilvl w:val="1"/>
              <w:numId w:val="9"/>
            </w:numPr>
            <w:tabs>
              <w:tab w:pos="903" w:val="left" w:leader="none"/>
              <w:tab w:pos="8784" w:val="left" w:leader="dot"/>
            </w:tabs>
            <w:spacing w:line="240" w:lineRule="auto" w:before="276" w:after="0"/>
            <w:ind w:left="903" w:right="0" w:hanging="360"/>
            <w:jc w:val="left"/>
          </w:pPr>
          <w:hyperlink w:history="true" w:anchor="_TOC_250014">
            <w:r>
              <w:rPr/>
              <w:t>Analytical</w:t>
            </w:r>
            <w:r>
              <w:rPr>
                <w:spacing w:val="-5"/>
              </w:rPr>
              <w:t> </w:t>
            </w:r>
            <w:r>
              <w:rPr>
                <w:spacing w:val="-2"/>
              </w:rPr>
              <w:t>Methods</w:t>
            </w:r>
            <w:r>
              <w:rPr/>
              <w:tab/>
            </w:r>
            <w:r>
              <w:rPr>
                <w:spacing w:val="-5"/>
              </w:rPr>
              <w:t>74</w:t>
            </w:r>
          </w:hyperlink>
        </w:p>
        <w:p>
          <w:pPr>
            <w:pStyle w:val="TOC5"/>
            <w:numPr>
              <w:ilvl w:val="1"/>
              <w:numId w:val="9"/>
            </w:numPr>
            <w:tabs>
              <w:tab w:pos="902" w:val="left" w:leader="none"/>
              <w:tab w:pos="8784" w:val="left" w:leader="dot"/>
            </w:tabs>
            <w:spacing w:line="240" w:lineRule="auto" w:before="276" w:after="0"/>
            <w:ind w:left="902" w:right="0" w:hanging="359"/>
            <w:jc w:val="left"/>
            <w:rPr>
              <w:b w:val="0"/>
              <w:i w:val="0"/>
              <w:sz w:val="24"/>
            </w:rPr>
          </w:pPr>
          <w:r>
            <w:rPr>
              <w:b w:val="0"/>
              <w:sz w:val="24"/>
            </w:rPr>
            <w:t>In</w:t>
          </w:r>
          <w:r>
            <w:rPr>
              <w:b w:val="0"/>
              <w:spacing w:val="-2"/>
              <w:sz w:val="24"/>
            </w:rPr>
            <w:t> </w:t>
          </w:r>
          <w:r>
            <w:rPr>
              <w:b w:val="0"/>
              <w:sz w:val="24"/>
            </w:rPr>
            <w:t>vitro</w:t>
          </w:r>
          <w:r>
            <w:rPr>
              <w:b w:val="0"/>
              <w:spacing w:val="-1"/>
              <w:sz w:val="24"/>
            </w:rPr>
            <w:t> </w:t>
          </w:r>
          <w:r>
            <w:rPr>
              <w:b w:val="0"/>
              <w:i w:val="0"/>
              <w:sz w:val="24"/>
            </w:rPr>
            <w:t>Bioavailability</w:t>
          </w:r>
          <w:r>
            <w:rPr>
              <w:b w:val="0"/>
              <w:i w:val="0"/>
              <w:spacing w:val="-4"/>
              <w:sz w:val="24"/>
            </w:rPr>
            <w:t> </w:t>
          </w:r>
          <w:r>
            <w:rPr>
              <w:b w:val="0"/>
              <w:i w:val="0"/>
              <w:spacing w:val="-2"/>
              <w:sz w:val="24"/>
            </w:rPr>
            <w:t>Studies</w:t>
          </w:r>
          <w:r>
            <w:rPr>
              <w:b w:val="0"/>
              <w:i w:val="0"/>
              <w:sz w:val="24"/>
            </w:rPr>
            <w:tab/>
          </w:r>
          <w:r>
            <w:rPr>
              <w:b w:val="0"/>
              <w:i w:val="0"/>
              <w:spacing w:val="-5"/>
              <w:sz w:val="24"/>
            </w:rPr>
            <w:t>74</w:t>
          </w:r>
        </w:p>
        <w:p>
          <w:pPr>
            <w:pStyle w:val="TOC5"/>
            <w:numPr>
              <w:ilvl w:val="1"/>
              <w:numId w:val="9"/>
            </w:numPr>
            <w:tabs>
              <w:tab w:pos="902" w:val="left" w:leader="none"/>
              <w:tab w:pos="8784" w:val="left" w:leader="dot"/>
            </w:tabs>
            <w:spacing w:line="240" w:lineRule="auto" w:before="277" w:after="0"/>
            <w:ind w:left="902" w:right="0" w:hanging="359"/>
            <w:jc w:val="left"/>
            <w:rPr>
              <w:b w:val="0"/>
              <w:i w:val="0"/>
              <w:sz w:val="24"/>
            </w:rPr>
          </w:pPr>
          <w:r>
            <w:rPr>
              <w:b w:val="0"/>
              <w:sz w:val="24"/>
            </w:rPr>
            <w:t>In</w:t>
          </w:r>
          <w:r>
            <w:rPr>
              <w:b w:val="0"/>
              <w:spacing w:val="-1"/>
              <w:sz w:val="24"/>
            </w:rPr>
            <w:t> </w:t>
          </w:r>
          <w:r>
            <w:rPr>
              <w:b w:val="0"/>
              <w:sz w:val="24"/>
            </w:rPr>
            <w:t>vitro-In</w:t>
          </w:r>
          <w:r>
            <w:rPr>
              <w:b w:val="0"/>
              <w:spacing w:val="-1"/>
              <w:sz w:val="24"/>
            </w:rPr>
            <w:t> </w:t>
          </w:r>
          <w:r>
            <w:rPr>
              <w:b w:val="0"/>
              <w:sz w:val="24"/>
            </w:rPr>
            <w:t>vivo</w:t>
          </w:r>
          <w:r>
            <w:rPr>
              <w:b w:val="0"/>
              <w:spacing w:val="-2"/>
              <w:sz w:val="24"/>
            </w:rPr>
            <w:t> </w:t>
          </w:r>
          <w:r>
            <w:rPr>
              <w:b w:val="0"/>
              <w:i w:val="0"/>
              <w:sz w:val="24"/>
            </w:rPr>
            <w:t>Correlation</w:t>
          </w:r>
          <w:r>
            <w:rPr>
              <w:b w:val="0"/>
              <w:i w:val="0"/>
              <w:spacing w:val="-1"/>
              <w:sz w:val="24"/>
            </w:rPr>
            <w:t> </w:t>
          </w:r>
          <w:r>
            <w:rPr>
              <w:b w:val="0"/>
              <w:i w:val="0"/>
              <w:spacing w:val="-2"/>
              <w:sz w:val="24"/>
            </w:rPr>
            <w:t>Studies</w:t>
          </w:r>
          <w:r>
            <w:rPr>
              <w:b w:val="0"/>
              <w:i w:val="0"/>
              <w:sz w:val="24"/>
            </w:rPr>
            <w:tab/>
          </w:r>
          <w:r>
            <w:rPr>
              <w:b w:val="0"/>
              <w:i w:val="0"/>
              <w:spacing w:val="-5"/>
              <w:sz w:val="24"/>
            </w:rPr>
            <w:t>75</w:t>
          </w:r>
        </w:p>
        <w:p>
          <w:pPr>
            <w:pStyle w:val="TOC1"/>
            <w:tabs>
              <w:tab w:pos="8784" w:val="left" w:leader="dot"/>
            </w:tabs>
            <w:spacing w:before="281"/>
          </w:pPr>
          <w:hyperlink w:history="true" w:anchor="_TOC_250013">
            <w:r>
              <w:rPr/>
              <w:t>CHAPTER</w:t>
            </w:r>
            <w:r>
              <w:rPr>
                <w:spacing w:val="-4"/>
              </w:rPr>
              <w:t> </w:t>
            </w:r>
            <w:r>
              <w:rPr>
                <w:spacing w:val="-5"/>
              </w:rPr>
              <w:t>SIX</w:t>
            </w:r>
            <w:r>
              <w:rPr/>
              <w:tab/>
            </w:r>
            <w:r>
              <w:rPr>
                <w:spacing w:val="-5"/>
              </w:rPr>
              <w:t>77</w:t>
            </w:r>
          </w:hyperlink>
        </w:p>
        <w:p>
          <w:pPr>
            <w:pStyle w:val="TOC1"/>
            <w:numPr>
              <w:ilvl w:val="1"/>
              <w:numId w:val="10"/>
            </w:numPr>
            <w:tabs>
              <w:tab w:pos="752" w:val="left" w:leader="none"/>
              <w:tab w:pos="8784" w:val="left" w:leader="dot"/>
            </w:tabs>
            <w:spacing w:line="240" w:lineRule="auto" w:before="276" w:after="0"/>
            <w:ind w:left="752" w:right="0" w:hanging="360"/>
            <w:jc w:val="left"/>
          </w:pPr>
          <w:hyperlink w:history="true" w:anchor="_TOC_250012">
            <w:r>
              <w:rPr/>
              <w:t>SUMMARY,</w:t>
            </w:r>
            <w:r>
              <w:rPr>
                <w:spacing w:val="-1"/>
              </w:rPr>
              <w:t> </w:t>
            </w:r>
            <w:r>
              <w:rPr/>
              <w:t>CONCLUSION</w:t>
            </w:r>
            <w:r>
              <w:rPr>
                <w:spacing w:val="-1"/>
              </w:rPr>
              <w:t> </w:t>
            </w:r>
            <w:r>
              <w:rPr/>
              <w:t>AND</w:t>
            </w:r>
            <w:r>
              <w:rPr>
                <w:spacing w:val="-1"/>
              </w:rPr>
              <w:t> </w:t>
            </w:r>
            <w:r>
              <w:rPr>
                <w:spacing w:val="-2"/>
              </w:rPr>
              <w:t>RECOMMENDATIONS</w:t>
            </w:r>
            <w:r>
              <w:rPr/>
              <w:tab/>
            </w:r>
            <w:r>
              <w:rPr>
                <w:spacing w:val="-5"/>
              </w:rPr>
              <w:t>77</w:t>
            </w:r>
          </w:hyperlink>
        </w:p>
        <w:p>
          <w:pPr>
            <w:pStyle w:val="TOC4"/>
            <w:numPr>
              <w:ilvl w:val="1"/>
              <w:numId w:val="10"/>
            </w:numPr>
            <w:tabs>
              <w:tab w:pos="903" w:val="left" w:leader="none"/>
              <w:tab w:pos="8784" w:val="left" w:leader="dot"/>
            </w:tabs>
            <w:spacing w:line="240" w:lineRule="auto" w:before="271" w:after="0"/>
            <w:ind w:left="903" w:right="0" w:hanging="360"/>
            <w:jc w:val="left"/>
          </w:pPr>
          <w:hyperlink w:history="true" w:anchor="_TOC_250011">
            <w:r>
              <w:rPr>
                <w:spacing w:val="-2"/>
              </w:rPr>
              <w:t>Summary</w:t>
            </w:r>
            <w:r>
              <w:rPr/>
              <w:tab/>
            </w:r>
            <w:r>
              <w:rPr>
                <w:spacing w:val="-5"/>
              </w:rPr>
              <w:t>77</w:t>
            </w:r>
          </w:hyperlink>
        </w:p>
        <w:p>
          <w:pPr>
            <w:pStyle w:val="TOC4"/>
            <w:numPr>
              <w:ilvl w:val="1"/>
              <w:numId w:val="10"/>
            </w:numPr>
            <w:tabs>
              <w:tab w:pos="903" w:val="left" w:leader="none"/>
              <w:tab w:pos="8784" w:val="left" w:leader="dot"/>
            </w:tabs>
            <w:spacing w:line="240" w:lineRule="auto" w:before="276" w:after="0"/>
            <w:ind w:left="903" w:right="0" w:hanging="360"/>
            <w:jc w:val="left"/>
          </w:pPr>
          <w:hyperlink w:history="true" w:anchor="_TOC_250010">
            <w:r>
              <w:rPr>
                <w:spacing w:val="-2"/>
              </w:rPr>
              <w:t>Conclusion</w:t>
            </w:r>
            <w:r>
              <w:rPr/>
              <w:tab/>
            </w:r>
            <w:r>
              <w:rPr>
                <w:spacing w:val="-5"/>
              </w:rPr>
              <w:t>78</w:t>
            </w:r>
          </w:hyperlink>
        </w:p>
        <w:p>
          <w:pPr>
            <w:pStyle w:val="TOC4"/>
            <w:numPr>
              <w:ilvl w:val="1"/>
              <w:numId w:val="10"/>
            </w:numPr>
            <w:tabs>
              <w:tab w:pos="903" w:val="left" w:leader="none"/>
              <w:tab w:pos="8784" w:val="left" w:leader="dot"/>
            </w:tabs>
            <w:spacing w:line="240" w:lineRule="auto" w:before="276" w:after="0"/>
            <w:ind w:left="903" w:right="0" w:hanging="360"/>
            <w:jc w:val="left"/>
          </w:pPr>
          <w:hyperlink w:history="true" w:anchor="_TOC_250009">
            <w:r>
              <w:rPr>
                <w:spacing w:val="-2"/>
              </w:rPr>
              <w:t>Recommendations</w:t>
            </w:r>
            <w:r>
              <w:rPr/>
              <w:tab/>
            </w:r>
            <w:r>
              <w:rPr>
                <w:spacing w:val="-5"/>
              </w:rPr>
              <w:t>79</w:t>
            </w:r>
          </w:hyperlink>
        </w:p>
        <w:p>
          <w:pPr>
            <w:pStyle w:val="TOC1"/>
            <w:tabs>
              <w:tab w:pos="8784" w:val="left" w:leader="dot"/>
            </w:tabs>
            <w:spacing w:before="281"/>
          </w:pPr>
          <w:hyperlink w:history="true" w:anchor="_TOC_250008">
            <w:r>
              <w:rPr>
                <w:spacing w:val="-2"/>
              </w:rPr>
              <w:t>REFRENCES</w:t>
            </w:r>
            <w:r>
              <w:rPr/>
              <w:tab/>
            </w:r>
            <w:r>
              <w:rPr>
                <w:spacing w:val="-5"/>
              </w:rPr>
              <w:t>80</w:t>
            </w:r>
          </w:hyperlink>
        </w:p>
        <w:p>
          <w:pPr>
            <w:pStyle w:val="TOC1"/>
            <w:tabs>
              <w:tab w:pos="8784" w:val="left" w:leader="dot"/>
            </w:tabs>
          </w:pPr>
          <w:hyperlink w:history="true" w:anchor="_TOC_250007">
            <w:r>
              <w:rPr/>
              <w:t>APPENDIX</w:t>
            </w:r>
            <w:r>
              <w:rPr>
                <w:spacing w:val="-4"/>
              </w:rPr>
              <w:t> </w:t>
            </w:r>
            <w:r>
              <w:rPr>
                <w:spacing w:val="-5"/>
              </w:rPr>
              <w:t>VII</w:t>
            </w:r>
            <w:r>
              <w:rPr/>
              <w:tab/>
            </w:r>
            <w:r>
              <w:rPr>
                <w:spacing w:val="-5"/>
              </w:rPr>
              <w:t>93</w:t>
            </w:r>
          </w:hyperlink>
        </w:p>
        <w:p>
          <w:pPr>
            <w:pStyle w:val="TOC4"/>
            <w:numPr>
              <w:ilvl w:val="1"/>
              <w:numId w:val="11"/>
            </w:numPr>
            <w:tabs>
              <w:tab w:pos="905" w:val="left" w:leader="none"/>
              <w:tab w:pos="8784" w:val="left" w:leader="dot"/>
            </w:tabs>
            <w:spacing w:line="240" w:lineRule="auto" w:before="271" w:after="0"/>
            <w:ind w:left="905" w:right="0" w:hanging="362"/>
            <w:jc w:val="left"/>
          </w:pPr>
          <w:hyperlink w:history="true" w:anchor="_TOC_250006">
            <w:r>
              <w:rPr/>
              <w:t>Infrared</w:t>
            </w:r>
            <w:r>
              <w:rPr>
                <w:spacing w:val="-4"/>
              </w:rPr>
              <w:t> </w:t>
            </w:r>
            <w:r>
              <w:rPr/>
              <w:t>Spectra</w:t>
            </w:r>
            <w:r>
              <w:rPr>
                <w:spacing w:val="-1"/>
              </w:rPr>
              <w:t> </w:t>
            </w:r>
            <w:r>
              <w:rPr/>
              <w:t>Identification</w:t>
            </w:r>
            <w:r>
              <w:rPr>
                <w:spacing w:val="-2"/>
              </w:rPr>
              <w:t> </w:t>
            </w:r>
            <w:r>
              <w:rPr/>
              <w:t>of</w:t>
            </w:r>
            <w:r>
              <w:rPr>
                <w:spacing w:val="-3"/>
              </w:rPr>
              <w:t> </w:t>
            </w:r>
            <w:r>
              <w:rPr/>
              <w:t>Tinidazole</w:t>
            </w:r>
            <w:r>
              <w:rPr>
                <w:spacing w:val="-2"/>
              </w:rPr>
              <w:t> </w:t>
            </w:r>
            <w:r>
              <w:rPr/>
              <w:t>Tablets</w:t>
            </w:r>
            <w:r>
              <w:rPr>
                <w:spacing w:val="-1"/>
              </w:rPr>
              <w:t> </w:t>
            </w:r>
            <w:r>
              <w:rPr/>
              <w:t>and</w:t>
            </w:r>
            <w:r>
              <w:rPr>
                <w:spacing w:val="-2"/>
              </w:rPr>
              <w:t> </w:t>
            </w:r>
            <w:r>
              <w:rPr/>
              <w:t>Standard</w:t>
            </w:r>
            <w:r>
              <w:rPr>
                <w:spacing w:val="-2"/>
              </w:rPr>
              <w:t> Powder</w:t>
            </w:r>
            <w:r>
              <w:rPr/>
              <w:tab/>
            </w:r>
            <w:r>
              <w:rPr>
                <w:spacing w:val="-5"/>
              </w:rPr>
              <w:t>94</w:t>
            </w:r>
          </w:hyperlink>
        </w:p>
        <w:p>
          <w:pPr>
            <w:pStyle w:val="TOC4"/>
            <w:numPr>
              <w:ilvl w:val="1"/>
              <w:numId w:val="11"/>
            </w:numPr>
            <w:tabs>
              <w:tab w:pos="903" w:val="left" w:leader="none"/>
              <w:tab w:pos="8784" w:val="left" w:leader="dot"/>
            </w:tabs>
            <w:spacing w:line="240" w:lineRule="auto" w:before="276" w:after="0"/>
            <w:ind w:left="903" w:right="0" w:hanging="360"/>
            <w:jc w:val="left"/>
          </w:pPr>
          <w:hyperlink w:history="true" w:anchor="_TOC_250005">
            <w:r>
              <w:rPr/>
              <w:t>UV-Visible</w:t>
            </w:r>
            <w:r>
              <w:rPr>
                <w:spacing w:val="-1"/>
              </w:rPr>
              <w:t> </w:t>
            </w:r>
            <w:r>
              <w:rPr/>
              <w:t>Spectra</w:t>
            </w:r>
            <w:r>
              <w:rPr>
                <w:spacing w:val="-1"/>
              </w:rPr>
              <w:t> </w:t>
            </w:r>
            <w:r>
              <w:rPr/>
              <w:t>Identification</w:t>
            </w:r>
            <w:r>
              <w:rPr>
                <w:spacing w:val="-1"/>
              </w:rPr>
              <w:t> </w:t>
            </w:r>
            <w:r>
              <w:rPr/>
              <w:t>of</w:t>
            </w:r>
            <w:r>
              <w:rPr>
                <w:spacing w:val="-1"/>
              </w:rPr>
              <w:t> </w:t>
            </w:r>
            <w:r>
              <w:rPr/>
              <w:t>Tinidazole</w:t>
            </w:r>
            <w:r>
              <w:rPr>
                <w:spacing w:val="-1"/>
              </w:rPr>
              <w:t> </w:t>
            </w:r>
            <w:r>
              <w:rPr/>
              <w:t>Tablets</w:t>
            </w:r>
            <w:r>
              <w:rPr>
                <w:spacing w:val="-1"/>
              </w:rPr>
              <w:t> </w:t>
            </w:r>
            <w:r>
              <w:rPr/>
              <w:t>and</w:t>
            </w:r>
            <w:r>
              <w:rPr>
                <w:spacing w:val="-1"/>
              </w:rPr>
              <w:t> </w:t>
            </w:r>
            <w:r>
              <w:rPr/>
              <w:t>Standard</w:t>
            </w:r>
            <w:r>
              <w:rPr>
                <w:spacing w:val="-1"/>
              </w:rPr>
              <w:t> </w:t>
            </w:r>
            <w:r>
              <w:rPr>
                <w:spacing w:val="-2"/>
              </w:rPr>
              <w:t>Powder</w:t>
            </w:r>
            <w:r>
              <w:rPr/>
              <w:tab/>
            </w:r>
            <w:r>
              <w:rPr>
                <w:spacing w:val="-5"/>
              </w:rPr>
              <w:t>99</w:t>
            </w:r>
          </w:hyperlink>
        </w:p>
        <w:p>
          <w:pPr>
            <w:pStyle w:val="TOC4"/>
            <w:numPr>
              <w:ilvl w:val="1"/>
              <w:numId w:val="11"/>
            </w:numPr>
            <w:tabs>
              <w:tab w:pos="903" w:val="left" w:leader="none"/>
              <w:tab w:pos="8664" w:val="left" w:leader="dot"/>
            </w:tabs>
            <w:spacing w:line="240" w:lineRule="auto" w:before="276" w:after="0"/>
            <w:ind w:left="903" w:right="0" w:hanging="360"/>
            <w:jc w:val="left"/>
          </w:pPr>
          <w:hyperlink w:history="true" w:anchor="_TOC_250004">
            <w:r>
              <w:rPr/>
              <w:t>BP</w:t>
            </w:r>
            <w:r>
              <w:rPr>
                <w:spacing w:val="-1"/>
              </w:rPr>
              <w:t> </w:t>
            </w:r>
            <w:r>
              <w:rPr/>
              <w:t>2009</w:t>
            </w:r>
            <w:r>
              <w:rPr>
                <w:spacing w:val="-1"/>
              </w:rPr>
              <w:t> </w:t>
            </w:r>
            <w:r>
              <w:rPr/>
              <w:t>specification</w:t>
            </w:r>
            <w:r>
              <w:rPr>
                <w:spacing w:val="-1"/>
              </w:rPr>
              <w:t> </w:t>
            </w:r>
            <w:r>
              <w:rPr/>
              <w:t>for</w:t>
            </w:r>
            <w:r>
              <w:rPr>
                <w:spacing w:val="-1"/>
              </w:rPr>
              <w:t> </w:t>
            </w:r>
            <w:r>
              <w:rPr/>
              <w:t>tinidazole</w:t>
            </w:r>
            <w:r>
              <w:rPr>
                <w:spacing w:val="-1"/>
              </w:rPr>
              <w:t> </w:t>
            </w:r>
            <w:r>
              <w:rPr>
                <w:spacing w:val="-2"/>
              </w:rPr>
              <w:t>identification</w:t>
            </w:r>
            <w:r>
              <w:rPr/>
              <w:tab/>
            </w:r>
            <w:r>
              <w:rPr>
                <w:spacing w:val="-5"/>
              </w:rPr>
              <w:t>104</w:t>
            </w:r>
          </w:hyperlink>
        </w:p>
        <w:p>
          <w:pPr>
            <w:pStyle w:val="TOC4"/>
            <w:numPr>
              <w:ilvl w:val="1"/>
              <w:numId w:val="11"/>
            </w:numPr>
            <w:tabs>
              <w:tab w:pos="903" w:val="left" w:leader="none"/>
              <w:tab w:pos="8664" w:val="left" w:leader="dot"/>
            </w:tabs>
            <w:spacing w:line="240" w:lineRule="auto" w:before="277" w:after="0"/>
            <w:ind w:left="903" w:right="0" w:hanging="360"/>
            <w:jc w:val="left"/>
          </w:pPr>
          <w:hyperlink w:history="true" w:anchor="_TOC_250003">
            <w:r>
              <w:rPr/>
              <w:t>Result</w:t>
            </w:r>
            <w:r>
              <w:rPr>
                <w:spacing w:val="-1"/>
              </w:rPr>
              <w:t> </w:t>
            </w:r>
            <w:r>
              <w:rPr/>
              <w:t>of the</w:t>
            </w:r>
            <w:r>
              <w:rPr>
                <w:spacing w:val="-2"/>
              </w:rPr>
              <w:t> </w:t>
            </w:r>
            <w:r>
              <w:rPr>
                <w:spacing w:val="-4"/>
              </w:rPr>
              <w:t>Assay</w:t>
            </w:r>
            <w:r>
              <w:rPr/>
              <w:tab/>
            </w:r>
            <w:r>
              <w:rPr>
                <w:spacing w:val="-5"/>
              </w:rPr>
              <w:t>104</w:t>
            </w:r>
          </w:hyperlink>
        </w:p>
        <w:p>
          <w:pPr>
            <w:pStyle w:val="TOC4"/>
            <w:numPr>
              <w:ilvl w:val="1"/>
              <w:numId w:val="11"/>
            </w:numPr>
            <w:tabs>
              <w:tab w:pos="905" w:val="left" w:leader="none"/>
              <w:tab w:pos="8664" w:val="left" w:leader="dot"/>
            </w:tabs>
            <w:spacing w:line="240" w:lineRule="auto" w:before="276" w:after="0"/>
            <w:ind w:left="905" w:right="0" w:hanging="362"/>
            <w:jc w:val="left"/>
          </w:pPr>
          <w:hyperlink w:history="true" w:anchor="_TOC_250002">
            <w:r>
              <w:rPr/>
              <w:t>In </w:t>
            </w:r>
            <w:r>
              <w:rPr>
                <w:i/>
              </w:rPr>
              <w:t>vitro</w:t>
            </w:r>
            <w:r>
              <w:rPr>
                <w:i/>
                <w:spacing w:val="-1"/>
              </w:rPr>
              <w:t> </w:t>
            </w:r>
            <w:r>
              <w:rPr/>
              <w:t>Dissolution</w:t>
            </w:r>
            <w:r>
              <w:rPr>
                <w:spacing w:val="-1"/>
              </w:rPr>
              <w:t> </w:t>
            </w:r>
            <w:r>
              <w:rPr/>
              <w:t>studies</w:t>
            </w:r>
            <w:r>
              <w:rPr>
                <w:spacing w:val="-1"/>
              </w:rPr>
              <w:t> </w:t>
            </w:r>
            <w:r>
              <w:rPr/>
              <w:t>at</w:t>
            </w:r>
            <w:r>
              <w:rPr>
                <w:spacing w:val="-2"/>
              </w:rPr>
              <w:t> </w:t>
            </w:r>
            <w:r>
              <w:rPr/>
              <w:t>gastric</w:t>
            </w:r>
            <w:r>
              <w:rPr>
                <w:spacing w:val="-2"/>
              </w:rPr>
              <w:t> </w:t>
            </w:r>
            <w:r>
              <w:rPr/>
              <w:t>pH</w:t>
            </w:r>
            <w:r>
              <w:rPr>
                <w:spacing w:val="-1"/>
              </w:rPr>
              <w:t> </w:t>
            </w:r>
            <w:r>
              <w:rPr/>
              <w:t>using</w:t>
            </w:r>
            <w:r>
              <w:rPr>
                <w:spacing w:val="-1"/>
              </w:rPr>
              <w:t> </w:t>
            </w:r>
            <w:r>
              <w:rPr/>
              <w:t>0.1N</w:t>
            </w:r>
            <w:r>
              <w:rPr>
                <w:spacing w:val="-1"/>
              </w:rPr>
              <w:t> </w:t>
            </w:r>
            <w:r>
              <w:rPr>
                <w:spacing w:val="-5"/>
              </w:rPr>
              <w:t>HCl</w:t>
            </w:r>
            <w:r>
              <w:rPr/>
              <w:tab/>
            </w:r>
            <w:r>
              <w:rPr>
                <w:spacing w:val="-5"/>
              </w:rPr>
              <w:t>104</w:t>
            </w:r>
          </w:hyperlink>
        </w:p>
        <w:p>
          <w:pPr>
            <w:pStyle w:val="TOC4"/>
            <w:numPr>
              <w:ilvl w:val="1"/>
              <w:numId w:val="11"/>
            </w:numPr>
            <w:tabs>
              <w:tab w:pos="905" w:val="left" w:leader="none"/>
              <w:tab w:pos="8664" w:val="left" w:leader="dot"/>
            </w:tabs>
            <w:spacing w:line="240" w:lineRule="auto" w:before="276" w:after="0"/>
            <w:ind w:left="905" w:right="0" w:hanging="362"/>
            <w:jc w:val="left"/>
          </w:pPr>
          <w:hyperlink w:history="true" w:anchor="_TOC_250001">
            <w:r>
              <w:rPr/>
              <w:t>In </w:t>
            </w:r>
            <w:r>
              <w:rPr>
                <w:i/>
              </w:rPr>
              <w:t>vitro</w:t>
            </w:r>
            <w:r>
              <w:rPr>
                <w:i/>
                <w:spacing w:val="-1"/>
              </w:rPr>
              <w:t> </w:t>
            </w:r>
            <w:r>
              <w:rPr/>
              <w:t>dissolution</w:t>
            </w:r>
            <w:r>
              <w:rPr>
                <w:spacing w:val="-1"/>
              </w:rPr>
              <w:t> </w:t>
            </w:r>
            <w:r>
              <w:rPr/>
              <w:t>studies</w:t>
            </w:r>
            <w:r>
              <w:rPr>
                <w:spacing w:val="-2"/>
              </w:rPr>
              <w:t> </w:t>
            </w:r>
            <w:r>
              <w:rPr/>
              <w:t>at</w:t>
            </w:r>
            <w:r>
              <w:rPr>
                <w:spacing w:val="-1"/>
              </w:rPr>
              <w:t> </w:t>
            </w:r>
            <w:r>
              <w:rPr/>
              <w:t>intestinal</w:t>
            </w:r>
            <w:r>
              <w:rPr>
                <w:spacing w:val="-1"/>
              </w:rPr>
              <w:t> </w:t>
            </w:r>
            <w:r>
              <w:rPr/>
              <w:t>pH</w:t>
            </w:r>
            <w:r>
              <w:rPr>
                <w:spacing w:val="-2"/>
              </w:rPr>
              <w:t> </w:t>
            </w:r>
            <w:r>
              <w:rPr/>
              <w:t>(6.8)</w:t>
            </w:r>
            <w:r>
              <w:rPr>
                <w:spacing w:val="-1"/>
              </w:rPr>
              <w:t> </w:t>
            </w:r>
            <w:r>
              <w:rPr/>
              <w:t>using</w:t>
            </w:r>
            <w:r>
              <w:rPr>
                <w:spacing w:val="-3"/>
              </w:rPr>
              <w:t> </w:t>
            </w:r>
            <w:r>
              <w:rPr/>
              <w:t>phosphate</w:t>
            </w:r>
            <w:r>
              <w:rPr>
                <w:spacing w:val="-2"/>
              </w:rPr>
              <w:t> buffer</w:t>
            </w:r>
            <w:r>
              <w:rPr/>
              <w:tab/>
            </w:r>
            <w:r>
              <w:rPr>
                <w:spacing w:val="-5"/>
              </w:rPr>
              <w:t>106</w:t>
            </w:r>
          </w:hyperlink>
        </w:p>
        <w:p>
          <w:pPr>
            <w:pStyle w:val="TOC4"/>
            <w:numPr>
              <w:ilvl w:val="1"/>
              <w:numId w:val="11"/>
            </w:numPr>
            <w:tabs>
              <w:tab w:pos="905" w:val="left" w:leader="none"/>
              <w:tab w:pos="8664" w:val="left" w:leader="dot"/>
            </w:tabs>
            <w:spacing w:line="240" w:lineRule="auto" w:before="276" w:after="0"/>
            <w:ind w:left="905" w:right="0" w:hanging="362"/>
            <w:jc w:val="left"/>
          </w:pPr>
          <w:hyperlink w:history="true" w:anchor="_TOC_250000">
            <w:r>
              <w:rPr/>
              <w:t>In</w:t>
            </w:r>
            <w:r>
              <w:rPr>
                <w:spacing w:val="-2"/>
              </w:rPr>
              <w:t> </w:t>
            </w:r>
            <w:r>
              <w:rPr>
                <w:i/>
              </w:rPr>
              <w:t>vitro</w:t>
            </w:r>
            <w:r>
              <w:rPr>
                <w:i/>
                <w:spacing w:val="-1"/>
              </w:rPr>
              <w:t> </w:t>
            </w:r>
            <w:r>
              <w:rPr/>
              <w:t>dissolution</w:t>
            </w:r>
            <w:r>
              <w:rPr>
                <w:spacing w:val="-1"/>
              </w:rPr>
              <w:t> </w:t>
            </w:r>
            <w:r>
              <w:rPr/>
              <w:t>studies</w:t>
            </w:r>
            <w:r>
              <w:rPr>
                <w:spacing w:val="-2"/>
              </w:rPr>
              <w:t> </w:t>
            </w:r>
            <w:r>
              <w:rPr/>
              <w:t>at</w:t>
            </w:r>
            <w:r>
              <w:rPr>
                <w:spacing w:val="-1"/>
              </w:rPr>
              <w:t> </w:t>
            </w:r>
            <w:r>
              <w:rPr/>
              <w:t>blood</w:t>
            </w:r>
            <w:r>
              <w:rPr>
                <w:spacing w:val="-1"/>
              </w:rPr>
              <w:t> </w:t>
            </w:r>
            <w:r>
              <w:rPr/>
              <w:t>pH</w:t>
            </w:r>
            <w:r>
              <w:rPr>
                <w:spacing w:val="-2"/>
              </w:rPr>
              <w:t> </w:t>
            </w:r>
            <w:r>
              <w:rPr/>
              <w:t>(7.4)</w:t>
            </w:r>
            <w:r>
              <w:rPr>
                <w:spacing w:val="-1"/>
              </w:rPr>
              <w:t> </w:t>
            </w:r>
            <w:r>
              <w:rPr/>
              <w:t>using</w:t>
            </w:r>
            <w:r>
              <w:rPr>
                <w:spacing w:val="-3"/>
              </w:rPr>
              <w:t> </w:t>
            </w:r>
            <w:r>
              <w:rPr/>
              <w:t>phosphate</w:t>
            </w:r>
            <w:r>
              <w:rPr>
                <w:spacing w:val="-1"/>
              </w:rPr>
              <w:t> </w:t>
            </w:r>
            <w:r>
              <w:rPr>
                <w:spacing w:val="-2"/>
              </w:rPr>
              <w:t>buffer</w:t>
            </w:r>
            <w:r>
              <w:rPr/>
              <w:tab/>
            </w:r>
            <w:r>
              <w:rPr>
                <w:spacing w:val="-5"/>
              </w:rPr>
              <w:t>108</w:t>
            </w:r>
          </w:hyperlink>
        </w:p>
      </w:sdtContent>
    </w:sdt>
    <w:p>
      <w:pPr>
        <w:spacing w:after="0" w:line="240" w:lineRule="auto"/>
        <w:jc w:val="left"/>
        <w:sectPr>
          <w:type w:val="continuous"/>
          <w:pgSz w:w="12240" w:h="15840"/>
          <w:pgMar w:header="0" w:footer="1068" w:top="1359" w:bottom="1966" w:left="1420" w:right="440"/>
        </w:sectPr>
      </w:pPr>
    </w:p>
    <w:p>
      <w:pPr>
        <w:pStyle w:val="Heading1"/>
        <w:spacing w:before="76"/>
        <w:ind w:right="882"/>
      </w:pPr>
      <w:bookmarkStart w:name="_TOC_250079" w:id="5"/>
      <w:r>
        <w:rPr/>
        <w:t>LIST OF</w:t>
      </w:r>
      <w:r>
        <w:rPr>
          <w:spacing w:val="-3"/>
        </w:rPr>
        <w:t> </w:t>
      </w:r>
      <w:bookmarkEnd w:id="5"/>
      <w:r>
        <w:rPr>
          <w:spacing w:val="-2"/>
        </w:rPr>
        <w:t>TABLES</w:t>
      </w:r>
    </w:p>
    <w:p>
      <w:pPr>
        <w:pStyle w:val="BodyText"/>
        <w:spacing w:before="116"/>
        <w:rPr>
          <w:b/>
        </w:rPr>
      </w:pPr>
    </w:p>
    <w:p>
      <w:pPr>
        <w:pStyle w:val="BodyText"/>
        <w:tabs>
          <w:tab w:pos="8472" w:val="left" w:leader="dot"/>
        </w:tabs>
        <w:ind w:left="291"/>
      </w:pPr>
      <w:r>
        <w:rPr/>
        <w:t>Table</w:t>
      </w:r>
      <w:r>
        <w:rPr>
          <w:spacing w:val="-1"/>
        </w:rPr>
        <w:t> </w:t>
      </w:r>
      <w:r>
        <w:rPr/>
        <w:t>4.1</w:t>
      </w:r>
      <w:r>
        <w:rPr>
          <w:spacing w:val="1"/>
        </w:rPr>
        <w:t> </w:t>
      </w:r>
      <w:r>
        <w:rPr/>
        <w:t>Label</w:t>
      </w:r>
      <w:r>
        <w:rPr>
          <w:spacing w:val="1"/>
        </w:rPr>
        <w:t> </w:t>
      </w:r>
      <w:r>
        <w:rPr/>
        <w:t>Information</w:t>
      </w:r>
      <w:r>
        <w:rPr>
          <w:spacing w:val="-1"/>
        </w:rPr>
        <w:t> </w:t>
      </w:r>
      <w:r>
        <w:rPr/>
        <w:t>of</w:t>
      </w:r>
      <w:r>
        <w:rPr>
          <w:spacing w:val="-1"/>
        </w:rPr>
        <w:t> </w:t>
      </w:r>
      <w:r>
        <w:rPr/>
        <w:t>four</w:t>
      </w:r>
      <w:r>
        <w:rPr>
          <w:spacing w:val="-1"/>
        </w:rPr>
        <w:t> </w:t>
      </w:r>
      <w:r>
        <w:rPr/>
        <w:t>different</w:t>
      </w:r>
      <w:r>
        <w:rPr>
          <w:spacing w:val="-1"/>
        </w:rPr>
        <w:t> </w:t>
      </w:r>
      <w:r>
        <w:rPr/>
        <w:t>brands</w:t>
      </w:r>
      <w:r>
        <w:rPr>
          <w:spacing w:val="-1"/>
        </w:rPr>
        <w:t> </w:t>
      </w:r>
      <w:r>
        <w:rPr/>
        <w:t>of</w:t>
      </w:r>
      <w:r>
        <w:rPr>
          <w:spacing w:val="-1"/>
        </w:rPr>
        <w:t> </w:t>
      </w:r>
      <w:r>
        <w:rPr/>
        <w:t>tinidazole </w:t>
      </w:r>
      <w:r>
        <w:rPr>
          <w:spacing w:val="-2"/>
        </w:rPr>
        <w:t>tablets.</w:t>
      </w:r>
      <w:r>
        <w:rPr/>
        <w:tab/>
      </w:r>
      <w:r>
        <w:rPr>
          <w:spacing w:val="-5"/>
        </w:rPr>
        <w:t>52</w:t>
      </w:r>
    </w:p>
    <w:p>
      <w:pPr>
        <w:pStyle w:val="BodyText"/>
      </w:pPr>
    </w:p>
    <w:p>
      <w:pPr>
        <w:pStyle w:val="BodyText"/>
        <w:tabs>
          <w:tab w:pos="8455" w:val="left" w:leader="dot"/>
        </w:tabs>
        <w:ind w:left="291"/>
      </w:pPr>
      <w:r>
        <w:rPr/>
        <w:t>Table</w:t>
      </w:r>
      <w:r>
        <w:rPr>
          <w:spacing w:val="-4"/>
        </w:rPr>
        <w:t> </w:t>
      </w:r>
      <w:r>
        <w:rPr/>
        <w:t>4.2</w:t>
      </w:r>
      <w:r>
        <w:rPr>
          <w:spacing w:val="-1"/>
        </w:rPr>
        <w:t> </w:t>
      </w:r>
      <w:r>
        <w:rPr/>
        <w:t>Melting</w:t>
      </w:r>
      <w:r>
        <w:rPr>
          <w:spacing w:val="-4"/>
        </w:rPr>
        <w:t> </w:t>
      </w:r>
      <w:r>
        <w:rPr/>
        <w:t>point</w:t>
      </w:r>
      <w:r>
        <w:rPr>
          <w:spacing w:val="1"/>
        </w:rPr>
        <w:t> </w:t>
      </w:r>
      <w:r>
        <w:rPr/>
        <w:t>determination</w:t>
      </w:r>
      <w:r>
        <w:rPr>
          <w:spacing w:val="-1"/>
        </w:rPr>
        <w:t> </w:t>
      </w:r>
      <w:r>
        <w:rPr/>
        <w:t>of</w:t>
      </w:r>
      <w:r>
        <w:rPr>
          <w:spacing w:val="-2"/>
        </w:rPr>
        <w:t> </w:t>
      </w:r>
      <w:r>
        <w:rPr/>
        <w:t>tinidazole</w:t>
      </w:r>
      <w:r>
        <w:rPr>
          <w:spacing w:val="-1"/>
        </w:rPr>
        <w:t> </w:t>
      </w:r>
      <w:r>
        <w:rPr/>
        <w:t>tablets</w:t>
      </w:r>
      <w:r>
        <w:rPr>
          <w:spacing w:val="-1"/>
        </w:rPr>
        <w:t> </w:t>
      </w:r>
      <w:r>
        <w:rPr/>
        <w:t>and</w:t>
      </w:r>
      <w:r>
        <w:rPr>
          <w:spacing w:val="-1"/>
        </w:rPr>
        <w:t> </w:t>
      </w:r>
      <w:r>
        <w:rPr/>
        <w:t>standard</w:t>
      </w:r>
      <w:r>
        <w:rPr>
          <w:spacing w:val="-1"/>
        </w:rPr>
        <w:t> </w:t>
      </w:r>
      <w:r>
        <w:rPr>
          <w:spacing w:val="-2"/>
        </w:rPr>
        <w:t>powder.</w:t>
      </w:r>
      <w:r>
        <w:rPr/>
        <w:tab/>
      </w:r>
      <w:r>
        <w:rPr>
          <w:spacing w:val="-5"/>
        </w:rPr>
        <w:t>53</w:t>
      </w:r>
    </w:p>
    <w:p>
      <w:pPr>
        <w:pStyle w:val="BodyText"/>
      </w:pPr>
    </w:p>
    <w:p>
      <w:pPr>
        <w:pStyle w:val="BodyText"/>
        <w:tabs>
          <w:tab w:pos="8436" w:val="left" w:leader="dot"/>
        </w:tabs>
        <w:ind w:left="291"/>
      </w:pPr>
      <w:r>
        <w:rPr/>
        <w:t>Table</w:t>
      </w:r>
      <w:r>
        <w:rPr>
          <w:spacing w:val="-4"/>
        </w:rPr>
        <w:t> </w:t>
      </w:r>
      <w:r>
        <w:rPr/>
        <w:t>4.3</w:t>
      </w:r>
      <w:r>
        <w:rPr>
          <w:spacing w:val="-1"/>
        </w:rPr>
        <w:t> </w:t>
      </w:r>
      <w:r>
        <w:rPr/>
        <w:t>Percentage content</w:t>
      </w:r>
      <w:r>
        <w:rPr>
          <w:spacing w:val="-2"/>
        </w:rPr>
        <w:t> </w:t>
      </w:r>
      <w:r>
        <w:rPr/>
        <w:t>of tinidazole</w:t>
      </w:r>
      <w:r>
        <w:rPr>
          <w:spacing w:val="-1"/>
        </w:rPr>
        <w:t> </w:t>
      </w:r>
      <w:r>
        <w:rPr/>
        <w:t>assayed tablets</w:t>
      </w:r>
      <w:r>
        <w:rPr>
          <w:spacing w:val="-1"/>
        </w:rPr>
        <w:t> </w:t>
      </w:r>
      <w:r>
        <w:rPr/>
        <w:t>and</w:t>
      </w:r>
      <w:r>
        <w:rPr>
          <w:spacing w:val="-1"/>
        </w:rPr>
        <w:t> </w:t>
      </w:r>
      <w:r>
        <w:rPr/>
        <w:t>standard</w:t>
      </w:r>
      <w:r>
        <w:rPr>
          <w:spacing w:val="-1"/>
        </w:rPr>
        <w:t> </w:t>
      </w:r>
      <w:r>
        <w:rPr>
          <w:spacing w:val="-2"/>
        </w:rPr>
        <w:t>powder.</w:t>
      </w:r>
      <w:r>
        <w:rPr/>
        <w:tab/>
      </w:r>
      <w:r>
        <w:rPr>
          <w:spacing w:val="-5"/>
        </w:rPr>
        <w:t>65</w:t>
      </w:r>
    </w:p>
    <w:p>
      <w:pPr>
        <w:pStyle w:val="BodyText"/>
      </w:pPr>
    </w:p>
    <w:p>
      <w:pPr>
        <w:pStyle w:val="BodyText"/>
        <w:tabs>
          <w:tab w:pos="8445" w:val="left" w:leader="dot"/>
        </w:tabs>
        <w:ind w:left="291"/>
      </w:pPr>
      <w:r>
        <w:rPr/>
        <w:t>Table</w:t>
      </w:r>
      <w:r>
        <w:rPr>
          <w:spacing w:val="-1"/>
        </w:rPr>
        <w:t> </w:t>
      </w:r>
      <w:r>
        <w:rPr/>
        <w:t>4.4 Uniformity</w:t>
      </w:r>
      <w:r>
        <w:rPr>
          <w:spacing w:val="-6"/>
        </w:rPr>
        <w:t> </w:t>
      </w:r>
      <w:r>
        <w:rPr/>
        <w:t>of</w:t>
      </w:r>
      <w:r>
        <w:rPr>
          <w:spacing w:val="1"/>
        </w:rPr>
        <w:t> </w:t>
      </w:r>
      <w:r>
        <w:rPr/>
        <w:t>weight</w:t>
      </w:r>
      <w:r>
        <w:rPr>
          <w:spacing w:val="-1"/>
        </w:rPr>
        <w:t> </w:t>
      </w:r>
      <w:r>
        <w:rPr/>
        <w:t>of</w:t>
      </w:r>
      <w:r>
        <w:rPr>
          <w:spacing w:val="1"/>
        </w:rPr>
        <w:t> </w:t>
      </w:r>
      <w:r>
        <w:rPr/>
        <w:t>tinidazole </w:t>
      </w:r>
      <w:r>
        <w:rPr>
          <w:spacing w:val="-2"/>
        </w:rPr>
        <w:t>tablets.</w:t>
      </w:r>
      <w:r>
        <w:rPr/>
        <w:tab/>
      </w:r>
      <w:r>
        <w:rPr>
          <w:spacing w:val="-5"/>
        </w:rPr>
        <w:t>66</w:t>
      </w:r>
    </w:p>
    <w:p>
      <w:pPr>
        <w:pStyle w:val="BodyText"/>
      </w:pPr>
    </w:p>
    <w:p>
      <w:pPr>
        <w:pStyle w:val="BodyText"/>
        <w:tabs>
          <w:tab w:pos="8460" w:val="left" w:leader="dot"/>
        </w:tabs>
        <w:ind w:left="291"/>
      </w:pPr>
      <w:r>
        <w:rPr/>
        <w:t>Table 4.5 Friability</w:t>
      </w:r>
      <w:r>
        <w:rPr>
          <w:spacing w:val="-5"/>
        </w:rPr>
        <w:t> </w:t>
      </w:r>
      <w:r>
        <w:rPr/>
        <w:t>test</w:t>
      </w:r>
      <w:r>
        <w:rPr>
          <w:spacing w:val="1"/>
        </w:rPr>
        <w:t> </w:t>
      </w:r>
      <w:r>
        <w:rPr/>
        <w:t>of tinidazole</w:t>
      </w:r>
      <w:r>
        <w:rPr>
          <w:spacing w:val="1"/>
        </w:rPr>
        <w:t> </w:t>
      </w:r>
      <w:r>
        <w:rPr>
          <w:spacing w:val="-2"/>
        </w:rPr>
        <w:t>tablets.</w:t>
      </w:r>
      <w:r>
        <w:rPr/>
        <w:tab/>
      </w:r>
      <w:r>
        <w:rPr>
          <w:spacing w:val="-5"/>
        </w:rPr>
        <w:t>67</w:t>
      </w:r>
    </w:p>
    <w:p>
      <w:pPr>
        <w:pStyle w:val="BodyText"/>
        <w:spacing w:before="1"/>
      </w:pPr>
    </w:p>
    <w:p>
      <w:pPr>
        <w:pStyle w:val="BodyText"/>
        <w:tabs>
          <w:tab w:pos="8407" w:val="left" w:leader="dot"/>
        </w:tabs>
        <w:ind w:left="291"/>
      </w:pPr>
      <w:r>
        <w:rPr/>
        <w:t>Table</w:t>
      </w:r>
      <w:r>
        <w:rPr>
          <w:spacing w:val="-2"/>
        </w:rPr>
        <w:t> </w:t>
      </w:r>
      <w:r>
        <w:rPr/>
        <w:t>4.6</w:t>
      </w:r>
      <w:r>
        <w:rPr>
          <w:spacing w:val="-1"/>
        </w:rPr>
        <w:t> </w:t>
      </w:r>
      <w:r>
        <w:rPr/>
        <w:t>Disintegration</w:t>
      </w:r>
      <w:r>
        <w:rPr>
          <w:spacing w:val="1"/>
        </w:rPr>
        <w:t> </w:t>
      </w:r>
      <w:r>
        <w:rPr/>
        <w:t>times</w:t>
      </w:r>
      <w:r>
        <w:rPr>
          <w:spacing w:val="-1"/>
        </w:rPr>
        <w:t> </w:t>
      </w:r>
      <w:r>
        <w:rPr/>
        <w:t>for</w:t>
      </w:r>
      <w:r>
        <w:rPr>
          <w:spacing w:val="-2"/>
        </w:rPr>
        <w:t> </w:t>
      </w:r>
      <w:r>
        <w:rPr/>
        <w:t>tinidazole</w:t>
      </w:r>
      <w:r>
        <w:rPr>
          <w:spacing w:val="-1"/>
        </w:rPr>
        <w:t> </w:t>
      </w:r>
      <w:r>
        <w:rPr/>
        <w:t>tablets</w:t>
      </w:r>
      <w:r>
        <w:rPr>
          <w:spacing w:val="-1"/>
        </w:rPr>
        <w:t> </w:t>
      </w:r>
      <w:r>
        <w:rPr/>
        <w:t>in</w:t>
      </w:r>
      <w:r>
        <w:rPr>
          <w:spacing w:val="-1"/>
        </w:rPr>
        <w:t> </w:t>
      </w:r>
      <w:r>
        <w:rPr>
          <w:spacing w:val="-2"/>
        </w:rPr>
        <w:t>minutes.</w:t>
      </w:r>
      <w:r>
        <w:rPr/>
        <w:tab/>
      </w:r>
      <w:r>
        <w:rPr>
          <w:spacing w:val="-5"/>
        </w:rPr>
        <w:t>68</w:t>
      </w:r>
    </w:p>
    <w:p>
      <w:pPr>
        <w:pStyle w:val="BodyText"/>
      </w:pPr>
    </w:p>
    <w:p>
      <w:pPr>
        <w:pStyle w:val="BodyText"/>
        <w:tabs>
          <w:tab w:pos="8400" w:val="left" w:leader="dot"/>
        </w:tabs>
        <w:ind w:left="291"/>
      </w:pPr>
      <w:r>
        <w:rPr/>
        <w:t>Table</w:t>
      </w:r>
      <w:r>
        <w:rPr>
          <w:spacing w:val="-2"/>
        </w:rPr>
        <w:t> </w:t>
      </w:r>
      <w:r>
        <w:rPr/>
        <w:t>4.7</w:t>
      </w:r>
      <w:r>
        <w:rPr>
          <w:spacing w:val="-2"/>
        </w:rPr>
        <w:t> </w:t>
      </w:r>
      <w:r>
        <w:rPr/>
        <w:t>Validation</w:t>
      </w:r>
      <w:r>
        <w:rPr>
          <w:spacing w:val="-1"/>
        </w:rPr>
        <w:t> </w:t>
      </w:r>
      <w:r>
        <w:rPr/>
        <w:t>parameters</w:t>
      </w:r>
      <w:r>
        <w:rPr>
          <w:spacing w:val="-2"/>
        </w:rPr>
        <w:t> </w:t>
      </w:r>
      <w:r>
        <w:rPr/>
        <w:t>for</w:t>
      </w:r>
      <w:r>
        <w:rPr>
          <w:spacing w:val="-2"/>
        </w:rPr>
        <w:t> </w:t>
      </w:r>
      <w:r>
        <w:rPr/>
        <w:t>the</w:t>
      </w:r>
      <w:r>
        <w:rPr>
          <w:spacing w:val="-1"/>
        </w:rPr>
        <w:t> </w:t>
      </w:r>
      <w:r>
        <w:rPr/>
        <w:t>analytical</w:t>
      </w:r>
      <w:r>
        <w:rPr>
          <w:spacing w:val="1"/>
        </w:rPr>
        <w:t> </w:t>
      </w:r>
      <w:r>
        <w:rPr>
          <w:spacing w:val="-2"/>
        </w:rPr>
        <w:t>methods.</w:t>
      </w:r>
      <w:r>
        <w:rPr/>
        <w:tab/>
      </w:r>
      <w:r>
        <w:rPr>
          <w:spacing w:val="-5"/>
        </w:rPr>
        <w:t>78</w:t>
      </w:r>
    </w:p>
    <w:p>
      <w:pPr>
        <w:pStyle w:val="BodyText"/>
      </w:pPr>
    </w:p>
    <w:p>
      <w:pPr>
        <w:pStyle w:val="BodyText"/>
        <w:ind w:left="291"/>
      </w:pPr>
      <w:r>
        <w:rPr/>
        <w:t>Table</w:t>
      </w:r>
      <w:r>
        <w:rPr>
          <w:spacing w:val="-4"/>
        </w:rPr>
        <w:t> </w:t>
      </w:r>
      <w:r>
        <w:rPr/>
        <w:t>4.8 </w:t>
      </w:r>
      <w:r>
        <w:rPr>
          <w:i/>
        </w:rPr>
        <w:t>In vitro </w:t>
      </w:r>
      <w:r>
        <w:rPr/>
        <w:t>bioavailability</w:t>
      </w:r>
      <w:r>
        <w:rPr>
          <w:spacing w:val="-8"/>
        </w:rPr>
        <w:t> </w:t>
      </w:r>
      <w:r>
        <w:rPr/>
        <w:t>of</w:t>
      </w:r>
      <w:r>
        <w:rPr>
          <w:spacing w:val="-1"/>
        </w:rPr>
        <w:t> </w:t>
      </w:r>
      <w:r>
        <w:rPr/>
        <w:t>tinidazole tablets brands in </w:t>
      </w:r>
      <w:r>
        <w:rPr>
          <w:spacing w:val="-2"/>
        </w:rPr>
        <w:t>simulated</w:t>
      </w:r>
    </w:p>
    <w:p>
      <w:pPr>
        <w:pStyle w:val="BodyText"/>
      </w:pPr>
    </w:p>
    <w:p>
      <w:pPr>
        <w:pStyle w:val="BodyText"/>
        <w:tabs>
          <w:tab w:pos="8400" w:val="left" w:leader="dot"/>
        </w:tabs>
        <w:ind w:left="1131"/>
      </w:pPr>
      <w:r>
        <w:rPr/>
        <w:t>Biological</w:t>
      </w:r>
      <w:r>
        <w:rPr>
          <w:spacing w:val="-4"/>
        </w:rPr>
        <w:t> pHs.</w:t>
      </w:r>
      <w:r>
        <w:rPr/>
        <w:tab/>
      </w:r>
      <w:r>
        <w:rPr>
          <w:spacing w:val="-7"/>
        </w:rPr>
        <w:t>79</w:t>
      </w:r>
    </w:p>
    <w:p>
      <w:pPr>
        <w:pStyle w:val="BodyText"/>
      </w:pPr>
    </w:p>
    <w:p>
      <w:pPr>
        <w:pStyle w:val="BodyText"/>
        <w:ind w:left="291"/>
      </w:pPr>
      <w:r>
        <w:rPr/>
        <w:t>Table</w:t>
      </w:r>
      <w:r>
        <w:rPr>
          <w:spacing w:val="-4"/>
        </w:rPr>
        <w:t> </w:t>
      </w:r>
      <w:r>
        <w:rPr/>
        <w:t>4.12 Similarity</w:t>
      </w:r>
      <w:r>
        <w:rPr>
          <w:spacing w:val="-6"/>
        </w:rPr>
        <w:t> </w:t>
      </w:r>
      <w:r>
        <w:rPr/>
        <w:t>factor of</w:t>
      </w:r>
      <w:r>
        <w:rPr>
          <w:spacing w:val="-1"/>
        </w:rPr>
        <w:t> </w:t>
      </w:r>
      <w:r>
        <w:rPr/>
        <w:t>samples</w:t>
      </w:r>
      <w:r>
        <w:rPr>
          <w:spacing w:val="-1"/>
        </w:rPr>
        <w:t> </w:t>
      </w:r>
      <w:r>
        <w:rPr/>
        <w:t>A,</w:t>
      </w:r>
      <w:r>
        <w:rPr>
          <w:spacing w:val="2"/>
        </w:rPr>
        <w:t> </w:t>
      </w:r>
      <w:r>
        <w:rPr/>
        <w:t>B</w:t>
      </w:r>
      <w:r>
        <w:rPr>
          <w:spacing w:val="-2"/>
        </w:rPr>
        <w:t> </w:t>
      </w:r>
      <w:r>
        <w:rPr/>
        <w:t>and</w:t>
      </w:r>
      <w:r>
        <w:rPr>
          <w:spacing w:val="1"/>
        </w:rPr>
        <w:t> </w:t>
      </w:r>
      <w:r>
        <w:rPr/>
        <w:t>D when compared</w:t>
      </w:r>
      <w:r>
        <w:rPr>
          <w:spacing w:val="-1"/>
        </w:rPr>
        <w:t> </w:t>
      </w:r>
      <w:r>
        <w:rPr/>
        <w:t>to sample </w:t>
      </w:r>
      <w:r>
        <w:rPr>
          <w:spacing w:val="-10"/>
        </w:rPr>
        <w:t>C</w:t>
      </w:r>
    </w:p>
    <w:p>
      <w:pPr>
        <w:pStyle w:val="BodyText"/>
      </w:pPr>
    </w:p>
    <w:p>
      <w:pPr>
        <w:pStyle w:val="BodyText"/>
        <w:tabs>
          <w:tab w:pos="8358" w:val="left" w:leader="dot"/>
        </w:tabs>
        <w:ind w:left="1251"/>
      </w:pPr>
      <w:r>
        <w:rPr/>
        <w:t>at</w:t>
      </w:r>
      <w:r>
        <w:rPr>
          <w:spacing w:val="-1"/>
        </w:rPr>
        <w:t> </w:t>
      </w:r>
      <w:r>
        <w:rPr/>
        <w:t>gastric</w:t>
      </w:r>
      <w:r>
        <w:rPr>
          <w:spacing w:val="-2"/>
        </w:rPr>
        <w:t> </w:t>
      </w:r>
      <w:r>
        <w:rPr>
          <w:spacing w:val="-5"/>
        </w:rPr>
        <w:t>pH</w:t>
      </w:r>
      <w:r>
        <w:rPr/>
        <w:tab/>
      </w:r>
      <w:r>
        <w:rPr>
          <w:spacing w:val="-5"/>
        </w:rPr>
        <w:t>83</w:t>
      </w:r>
    </w:p>
    <w:p>
      <w:pPr>
        <w:pStyle w:val="BodyText"/>
      </w:pPr>
    </w:p>
    <w:p>
      <w:pPr>
        <w:pStyle w:val="BodyText"/>
        <w:spacing w:before="1"/>
        <w:ind w:left="291"/>
      </w:pPr>
      <w:r>
        <w:rPr/>
        <w:t>Table</w:t>
      </w:r>
      <w:r>
        <w:rPr>
          <w:spacing w:val="-4"/>
        </w:rPr>
        <w:t> </w:t>
      </w:r>
      <w:r>
        <w:rPr/>
        <w:t>4.13 Similarity</w:t>
      </w:r>
      <w:r>
        <w:rPr>
          <w:spacing w:val="-6"/>
        </w:rPr>
        <w:t> </w:t>
      </w:r>
      <w:r>
        <w:rPr/>
        <w:t>factor of</w:t>
      </w:r>
      <w:r>
        <w:rPr>
          <w:spacing w:val="-1"/>
        </w:rPr>
        <w:t> </w:t>
      </w:r>
      <w:r>
        <w:rPr/>
        <w:t>samples</w:t>
      </w:r>
      <w:r>
        <w:rPr>
          <w:spacing w:val="-1"/>
        </w:rPr>
        <w:t> </w:t>
      </w:r>
      <w:r>
        <w:rPr/>
        <w:t>A,</w:t>
      </w:r>
      <w:r>
        <w:rPr>
          <w:spacing w:val="2"/>
        </w:rPr>
        <w:t> </w:t>
      </w:r>
      <w:r>
        <w:rPr/>
        <w:t>B</w:t>
      </w:r>
      <w:r>
        <w:rPr>
          <w:spacing w:val="-2"/>
        </w:rPr>
        <w:t> </w:t>
      </w:r>
      <w:r>
        <w:rPr/>
        <w:t>and</w:t>
      </w:r>
      <w:r>
        <w:rPr>
          <w:spacing w:val="1"/>
        </w:rPr>
        <w:t> </w:t>
      </w:r>
      <w:r>
        <w:rPr/>
        <w:t>D when compared</w:t>
      </w:r>
      <w:r>
        <w:rPr>
          <w:spacing w:val="-1"/>
        </w:rPr>
        <w:t> </w:t>
      </w:r>
      <w:r>
        <w:rPr/>
        <w:t>to sample </w:t>
      </w:r>
      <w:r>
        <w:rPr>
          <w:spacing w:val="-10"/>
        </w:rPr>
        <w:t>C</w:t>
      </w:r>
    </w:p>
    <w:p>
      <w:pPr>
        <w:pStyle w:val="BodyText"/>
        <w:tabs>
          <w:tab w:pos="8419" w:val="left" w:leader="dot"/>
        </w:tabs>
        <w:spacing w:before="276"/>
        <w:ind w:left="1311"/>
      </w:pPr>
      <w:r>
        <w:rPr/>
        <w:t>at</w:t>
      </w:r>
      <w:r>
        <w:rPr>
          <w:spacing w:val="-1"/>
        </w:rPr>
        <w:t> </w:t>
      </w:r>
      <w:r>
        <w:rPr/>
        <w:t>intestinal </w:t>
      </w:r>
      <w:r>
        <w:rPr>
          <w:spacing w:val="-5"/>
        </w:rPr>
        <w:t>pH…</w:t>
      </w:r>
      <w:r>
        <w:rPr/>
        <w:tab/>
      </w:r>
      <w:r>
        <w:rPr>
          <w:spacing w:val="-5"/>
        </w:rPr>
        <w:t>84</w:t>
      </w:r>
    </w:p>
    <w:p>
      <w:pPr>
        <w:pStyle w:val="BodyText"/>
        <w:spacing w:before="276"/>
        <w:ind w:left="291"/>
      </w:pPr>
      <w:r>
        <w:rPr/>
        <w:t>Table</w:t>
      </w:r>
      <w:r>
        <w:rPr>
          <w:spacing w:val="-4"/>
        </w:rPr>
        <w:t> </w:t>
      </w:r>
      <w:r>
        <w:rPr/>
        <w:t>4.14 Similarity</w:t>
      </w:r>
      <w:r>
        <w:rPr>
          <w:spacing w:val="-6"/>
        </w:rPr>
        <w:t> </w:t>
      </w:r>
      <w:r>
        <w:rPr/>
        <w:t>factor of</w:t>
      </w:r>
      <w:r>
        <w:rPr>
          <w:spacing w:val="-1"/>
        </w:rPr>
        <w:t> </w:t>
      </w:r>
      <w:r>
        <w:rPr/>
        <w:t>samples</w:t>
      </w:r>
      <w:r>
        <w:rPr>
          <w:spacing w:val="-1"/>
        </w:rPr>
        <w:t> </w:t>
      </w:r>
      <w:r>
        <w:rPr/>
        <w:t>A,</w:t>
      </w:r>
      <w:r>
        <w:rPr>
          <w:spacing w:val="2"/>
        </w:rPr>
        <w:t> </w:t>
      </w:r>
      <w:r>
        <w:rPr/>
        <w:t>B</w:t>
      </w:r>
      <w:r>
        <w:rPr>
          <w:spacing w:val="-2"/>
        </w:rPr>
        <w:t> </w:t>
      </w:r>
      <w:r>
        <w:rPr/>
        <w:t>and</w:t>
      </w:r>
      <w:r>
        <w:rPr>
          <w:spacing w:val="1"/>
        </w:rPr>
        <w:t> </w:t>
      </w:r>
      <w:r>
        <w:rPr/>
        <w:t>D when compared</w:t>
      </w:r>
      <w:r>
        <w:rPr>
          <w:spacing w:val="-1"/>
        </w:rPr>
        <w:t> </w:t>
      </w:r>
      <w:r>
        <w:rPr/>
        <w:t>to sample </w:t>
      </w:r>
      <w:r>
        <w:rPr>
          <w:spacing w:val="-10"/>
        </w:rPr>
        <w:t>C</w:t>
      </w:r>
    </w:p>
    <w:p>
      <w:pPr>
        <w:pStyle w:val="BodyText"/>
        <w:spacing w:before="276"/>
        <w:ind w:left="1251"/>
      </w:pPr>
      <w:r>
        <w:rPr/>
        <w:t>at</w:t>
      </w:r>
      <w:r>
        <w:rPr>
          <w:spacing w:val="-1"/>
        </w:rPr>
        <w:t> </w:t>
      </w:r>
      <w:r>
        <w:rPr/>
        <w:t>blood pH……………………………………………………………….,</w:t>
      </w:r>
      <w:r>
        <w:rPr>
          <w:spacing w:val="61"/>
        </w:rPr>
        <w:t> </w:t>
      </w:r>
      <w:r>
        <w:rPr>
          <w:spacing w:val="-5"/>
        </w:rPr>
        <w:t>85</w:t>
      </w:r>
    </w:p>
    <w:p>
      <w:pPr>
        <w:spacing w:after="0"/>
        <w:sectPr>
          <w:pgSz w:w="12240" w:h="15840"/>
          <w:pgMar w:header="0" w:footer="1068" w:top="1360" w:bottom="1260" w:left="1420" w:right="440"/>
        </w:sectPr>
      </w:pPr>
    </w:p>
    <w:p>
      <w:pPr>
        <w:pStyle w:val="Heading1"/>
        <w:spacing w:before="76"/>
        <w:ind w:right="884"/>
      </w:pPr>
      <w:bookmarkStart w:name="_TOC_250078" w:id="6"/>
      <w:r>
        <w:rPr/>
        <w:t>LIST OF</w:t>
      </w:r>
      <w:r>
        <w:rPr>
          <w:spacing w:val="-3"/>
        </w:rPr>
        <w:t> </w:t>
      </w:r>
      <w:bookmarkEnd w:id="6"/>
      <w:r>
        <w:rPr>
          <w:spacing w:val="-2"/>
        </w:rPr>
        <w:t>FIGURES</w:t>
      </w:r>
    </w:p>
    <w:p>
      <w:pPr>
        <w:pStyle w:val="BodyText"/>
        <w:spacing w:before="118"/>
        <w:rPr>
          <w:b/>
        </w:rPr>
      </w:pPr>
    </w:p>
    <w:p>
      <w:pPr>
        <w:pStyle w:val="BodyText"/>
        <w:ind w:left="411"/>
      </w:pPr>
      <w:r>
        <w:rPr/>
        <w:t>Figure</w:t>
      </w:r>
      <w:r>
        <w:rPr>
          <w:spacing w:val="-4"/>
        </w:rPr>
        <w:t> </w:t>
      </w:r>
      <w:r>
        <w:rPr/>
        <w:t>2.1:</w:t>
      </w:r>
      <w:r>
        <w:rPr>
          <w:spacing w:val="-2"/>
        </w:rPr>
        <w:t> </w:t>
      </w:r>
      <w:r>
        <w:rPr/>
        <w:t>Chemical</w:t>
      </w:r>
      <w:r>
        <w:rPr>
          <w:spacing w:val="-2"/>
        </w:rPr>
        <w:t> </w:t>
      </w:r>
      <w:r>
        <w:rPr/>
        <w:t>Structure</w:t>
      </w:r>
      <w:r>
        <w:rPr>
          <w:spacing w:val="-4"/>
        </w:rPr>
        <w:t> </w:t>
      </w:r>
      <w:r>
        <w:rPr/>
        <w:t>of</w:t>
      </w:r>
      <w:r>
        <w:rPr>
          <w:spacing w:val="-1"/>
        </w:rPr>
        <w:t> </w:t>
      </w:r>
      <w:r>
        <w:rPr/>
        <w:t>Tinidazole</w:t>
      </w:r>
      <w:r>
        <w:rPr>
          <w:spacing w:val="-2"/>
        </w:rPr>
        <w:t> </w:t>
      </w:r>
      <w:r>
        <w:rPr/>
        <w:t>(1-[2-(ethylsulfonyl)</w:t>
      </w:r>
      <w:r>
        <w:rPr>
          <w:spacing w:val="-2"/>
        </w:rPr>
        <w:t> </w:t>
      </w:r>
      <w:r>
        <w:rPr/>
        <w:t>ethyl]-2-methyl-</w:t>
      </w:r>
      <w:r>
        <w:rPr>
          <w:spacing w:val="-5"/>
        </w:rPr>
        <w:t>5-</w:t>
      </w:r>
    </w:p>
    <w:p>
      <w:pPr>
        <w:pStyle w:val="BodyText"/>
        <w:tabs>
          <w:tab w:pos="8733" w:val="left" w:leader="dot"/>
        </w:tabs>
        <w:spacing w:before="553"/>
        <w:ind w:left="351"/>
      </w:pPr>
      <w:r>
        <w:rPr>
          <w:spacing w:val="-2"/>
        </w:rPr>
        <w:t>nitroimidazole)</w:t>
      </w:r>
      <w:r>
        <w:rPr/>
        <w:tab/>
      </w:r>
      <w:r>
        <w:rPr>
          <w:spacing w:val="-5"/>
        </w:rPr>
        <w:t>16</w:t>
      </w:r>
    </w:p>
    <w:p>
      <w:pPr>
        <w:pStyle w:val="BodyText"/>
        <w:tabs>
          <w:tab w:pos="8579" w:val="left" w:leader="dot"/>
        </w:tabs>
        <w:spacing w:before="415"/>
        <w:ind w:left="111"/>
      </w:pPr>
      <w:r>
        <w:rPr/>
        <w:t>Figure</w:t>
      </w:r>
      <w:r>
        <w:rPr>
          <w:spacing w:val="-4"/>
        </w:rPr>
        <w:t> </w:t>
      </w:r>
      <w:r>
        <w:rPr/>
        <w:t>2.2: commonly</w:t>
      </w:r>
      <w:r>
        <w:rPr>
          <w:spacing w:val="-5"/>
        </w:rPr>
        <w:t> </w:t>
      </w:r>
      <w:r>
        <w:rPr/>
        <w:t>used</w:t>
      </w:r>
      <w:r>
        <w:rPr>
          <w:spacing w:val="1"/>
        </w:rPr>
        <w:t> </w:t>
      </w:r>
      <w:r>
        <w:rPr/>
        <w:t>and available</w:t>
      </w:r>
      <w:r>
        <w:rPr>
          <w:spacing w:val="1"/>
        </w:rPr>
        <w:t> </w:t>
      </w:r>
      <w:r>
        <w:rPr>
          <w:spacing w:val="-2"/>
        </w:rPr>
        <w:t>nitroimidazoles.</w:t>
      </w:r>
      <w:r>
        <w:rPr/>
        <w:tab/>
      </w:r>
      <w:r>
        <w:rPr>
          <w:spacing w:val="-5"/>
        </w:rPr>
        <w:t>17</w:t>
      </w:r>
    </w:p>
    <w:p>
      <w:pPr>
        <w:pStyle w:val="BodyText"/>
        <w:tabs>
          <w:tab w:pos="8584" w:val="left" w:leader="dot"/>
        </w:tabs>
        <w:spacing w:before="276"/>
        <w:ind w:left="111"/>
      </w:pPr>
      <w:r>
        <w:rPr/>
        <w:t>Figure</w:t>
      </w:r>
      <w:r>
        <w:rPr>
          <w:spacing w:val="-4"/>
        </w:rPr>
        <w:t> </w:t>
      </w:r>
      <w:r>
        <w:rPr/>
        <w:t>2.3:</w:t>
      </w:r>
      <w:r>
        <w:rPr>
          <w:spacing w:val="-2"/>
        </w:rPr>
        <w:t> </w:t>
      </w:r>
      <w:r>
        <w:rPr/>
        <w:t>Nitroimidazoles</w:t>
      </w:r>
      <w:r>
        <w:rPr>
          <w:spacing w:val="-1"/>
        </w:rPr>
        <w:t> </w:t>
      </w:r>
      <w:r>
        <w:rPr/>
        <w:t>under</w:t>
      </w:r>
      <w:r>
        <w:rPr>
          <w:spacing w:val="-2"/>
        </w:rPr>
        <w:t> </w:t>
      </w:r>
      <w:r>
        <w:rPr/>
        <w:t>clinical</w:t>
      </w:r>
      <w:r>
        <w:rPr>
          <w:spacing w:val="-1"/>
        </w:rPr>
        <w:t> </w:t>
      </w:r>
      <w:r>
        <w:rPr>
          <w:spacing w:val="-2"/>
        </w:rPr>
        <w:t>trials.</w:t>
      </w:r>
      <w:r>
        <w:rPr/>
        <w:tab/>
      </w:r>
      <w:r>
        <w:rPr>
          <w:spacing w:val="-5"/>
        </w:rPr>
        <w:t>17</w:t>
      </w:r>
    </w:p>
    <w:p>
      <w:pPr>
        <w:pStyle w:val="BodyText"/>
        <w:tabs>
          <w:tab w:pos="8464" w:val="left" w:leader="dot"/>
        </w:tabs>
        <w:spacing w:before="276"/>
        <w:ind w:left="111"/>
      </w:pPr>
      <w:r>
        <w:rPr/>
        <w:t>Figure</w:t>
      </w:r>
      <w:r>
        <w:rPr>
          <w:spacing w:val="-3"/>
        </w:rPr>
        <w:t> </w:t>
      </w:r>
      <w:r>
        <w:rPr/>
        <w:t>4.1:</w:t>
      </w:r>
      <w:r>
        <w:rPr>
          <w:spacing w:val="-1"/>
        </w:rPr>
        <w:t> </w:t>
      </w:r>
      <w:r>
        <w:rPr/>
        <w:t>UV spectral</w:t>
      </w:r>
      <w:r>
        <w:rPr>
          <w:spacing w:val="-1"/>
        </w:rPr>
        <w:t> </w:t>
      </w:r>
      <w:r>
        <w:rPr/>
        <w:t>Scan in</w:t>
      </w:r>
      <w:r>
        <w:rPr>
          <w:spacing w:val="-1"/>
        </w:rPr>
        <w:t> </w:t>
      </w:r>
      <w:r>
        <w:rPr/>
        <w:t>0.1N </w:t>
      </w:r>
      <w:r>
        <w:rPr>
          <w:spacing w:val="-5"/>
        </w:rPr>
        <w:t>HCl</w:t>
      </w:r>
      <w:r>
        <w:rPr/>
        <w:tab/>
      </w:r>
      <w:r>
        <w:rPr>
          <w:spacing w:val="-5"/>
        </w:rPr>
        <w:t>56</w:t>
      </w:r>
    </w:p>
    <w:p>
      <w:pPr>
        <w:pStyle w:val="BodyText"/>
        <w:tabs>
          <w:tab w:pos="8562" w:val="left" w:leader="dot"/>
        </w:tabs>
        <w:spacing w:before="276"/>
        <w:ind w:left="111"/>
      </w:pPr>
      <w:r>
        <w:rPr/>
        <w:t>Figure</w:t>
      </w:r>
      <w:r>
        <w:rPr>
          <w:spacing w:val="-3"/>
        </w:rPr>
        <w:t> </w:t>
      </w:r>
      <w:r>
        <w:rPr/>
        <w:t>4.2:</w:t>
      </w:r>
      <w:r>
        <w:rPr>
          <w:spacing w:val="-1"/>
        </w:rPr>
        <w:t> </w:t>
      </w:r>
      <w:r>
        <w:rPr/>
        <w:t>UV</w:t>
      </w:r>
      <w:r>
        <w:rPr>
          <w:spacing w:val="-2"/>
        </w:rPr>
        <w:t> </w:t>
      </w:r>
      <w:r>
        <w:rPr/>
        <w:t>spectral</w:t>
      </w:r>
      <w:r>
        <w:rPr>
          <w:spacing w:val="-1"/>
        </w:rPr>
        <w:t> </w:t>
      </w:r>
      <w:r>
        <w:rPr/>
        <w:t>scan in</w:t>
      </w:r>
      <w:r>
        <w:rPr>
          <w:spacing w:val="-1"/>
        </w:rPr>
        <w:t> </w:t>
      </w:r>
      <w:r>
        <w:rPr/>
        <w:t>phosphate</w:t>
      </w:r>
      <w:r>
        <w:rPr>
          <w:spacing w:val="-1"/>
        </w:rPr>
        <w:t> </w:t>
      </w:r>
      <w:r>
        <w:rPr/>
        <w:t>buffer</w:t>
      </w:r>
      <w:r>
        <w:rPr>
          <w:spacing w:val="-1"/>
        </w:rPr>
        <w:t> </w:t>
      </w:r>
      <w:r>
        <w:rPr/>
        <w:t>pH </w:t>
      </w:r>
      <w:r>
        <w:rPr>
          <w:spacing w:val="-4"/>
        </w:rPr>
        <w:t>6.8.</w:t>
      </w:r>
      <w:r>
        <w:rPr/>
        <w:tab/>
      </w:r>
      <w:r>
        <w:rPr>
          <w:spacing w:val="-5"/>
        </w:rPr>
        <w:t>57</w:t>
      </w:r>
    </w:p>
    <w:p>
      <w:pPr>
        <w:pStyle w:val="BodyText"/>
        <w:tabs>
          <w:tab w:pos="8630" w:val="left" w:leader="dot"/>
        </w:tabs>
        <w:spacing w:before="276"/>
        <w:ind w:left="111"/>
      </w:pPr>
      <w:r>
        <w:rPr/>
        <w:t>Figure</w:t>
      </w:r>
      <w:r>
        <w:rPr>
          <w:spacing w:val="-3"/>
        </w:rPr>
        <w:t> </w:t>
      </w:r>
      <w:r>
        <w:rPr/>
        <w:t>4.3:</w:t>
      </w:r>
      <w:r>
        <w:rPr>
          <w:spacing w:val="-1"/>
        </w:rPr>
        <w:t> </w:t>
      </w:r>
      <w:r>
        <w:rPr/>
        <w:t>UV</w:t>
      </w:r>
      <w:r>
        <w:rPr>
          <w:spacing w:val="-2"/>
        </w:rPr>
        <w:t> </w:t>
      </w:r>
      <w:r>
        <w:rPr/>
        <w:t>spectral</w:t>
      </w:r>
      <w:r>
        <w:rPr>
          <w:spacing w:val="-1"/>
        </w:rPr>
        <w:t> </w:t>
      </w:r>
      <w:r>
        <w:rPr/>
        <w:t>scan</w:t>
      </w:r>
      <w:r>
        <w:rPr>
          <w:spacing w:val="-1"/>
        </w:rPr>
        <w:t> </w:t>
      </w:r>
      <w:r>
        <w:rPr/>
        <w:t>in</w:t>
      </w:r>
      <w:r>
        <w:rPr>
          <w:spacing w:val="-1"/>
        </w:rPr>
        <w:t> </w:t>
      </w:r>
      <w:r>
        <w:rPr/>
        <w:t>phosphate</w:t>
      </w:r>
      <w:r>
        <w:rPr>
          <w:spacing w:val="-1"/>
        </w:rPr>
        <w:t> </w:t>
      </w:r>
      <w:r>
        <w:rPr/>
        <w:t>buffer</w:t>
      </w:r>
      <w:r>
        <w:rPr>
          <w:spacing w:val="-1"/>
        </w:rPr>
        <w:t> </w:t>
      </w:r>
      <w:r>
        <w:rPr>
          <w:spacing w:val="-4"/>
        </w:rPr>
        <w:t>7.4.</w:t>
      </w:r>
      <w:r>
        <w:rPr/>
        <w:tab/>
      </w:r>
      <w:r>
        <w:rPr>
          <w:spacing w:val="-5"/>
        </w:rPr>
        <w:t>58</w:t>
      </w:r>
    </w:p>
    <w:p>
      <w:pPr>
        <w:pStyle w:val="BodyText"/>
        <w:tabs>
          <w:tab w:pos="8476" w:val="left" w:leader="dot"/>
        </w:tabs>
        <w:spacing w:before="276"/>
        <w:ind w:left="111"/>
      </w:pPr>
      <w:r>
        <w:rPr/>
        <w:t>Figure</w:t>
      </w:r>
      <w:r>
        <w:rPr>
          <w:spacing w:val="-3"/>
        </w:rPr>
        <w:t> </w:t>
      </w:r>
      <w:r>
        <w:rPr/>
        <w:t>4.4:</w:t>
      </w:r>
      <w:r>
        <w:rPr>
          <w:spacing w:val="-1"/>
        </w:rPr>
        <w:t> </w:t>
      </w:r>
      <w:r>
        <w:rPr/>
        <w:t>Calibration</w:t>
      </w:r>
      <w:r>
        <w:rPr>
          <w:spacing w:val="-1"/>
        </w:rPr>
        <w:t> </w:t>
      </w:r>
      <w:r>
        <w:rPr/>
        <w:t>curve</w:t>
      </w:r>
      <w:r>
        <w:rPr>
          <w:spacing w:val="-2"/>
        </w:rPr>
        <w:t> </w:t>
      </w:r>
      <w:r>
        <w:rPr/>
        <w:t>of tinidazole</w:t>
      </w:r>
      <w:r>
        <w:rPr>
          <w:spacing w:val="-1"/>
        </w:rPr>
        <w:t> </w:t>
      </w:r>
      <w:r>
        <w:rPr/>
        <w:t>in</w:t>
      </w:r>
      <w:r>
        <w:rPr>
          <w:spacing w:val="-1"/>
        </w:rPr>
        <w:t> </w:t>
      </w:r>
      <w:r>
        <w:rPr/>
        <w:t>0.1N</w:t>
      </w:r>
      <w:r>
        <w:rPr>
          <w:spacing w:val="-1"/>
        </w:rPr>
        <w:t> </w:t>
      </w:r>
      <w:r>
        <w:rPr/>
        <w:t>HCl</w:t>
      </w:r>
      <w:r>
        <w:rPr>
          <w:spacing w:val="-1"/>
        </w:rPr>
        <w:t> </w:t>
      </w:r>
      <w:r>
        <w:rPr/>
        <w:t>(gastric </w:t>
      </w:r>
      <w:r>
        <w:rPr>
          <w:spacing w:val="-4"/>
        </w:rPr>
        <w:t>pH).</w:t>
      </w:r>
      <w:r>
        <w:rPr/>
        <w:tab/>
      </w:r>
      <w:r>
        <w:rPr>
          <w:spacing w:val="-5"/>
        </w:rPr>
        <w:t>60</w:t>
      </w:r>
    </w:p>
    <w:p>
      <w:pPr>
        <w:pStyle w:val="BodyText"/>
        <w:tabs>
          <w:tab w:pos="8471" w:val="left" w:leader="dot"/>
        </w:tabs>
        <w:spacing w:before="276"/>
        <w:ind w:left="111"/>
      </w:pPr>
      <w:r>
        <w:rPr/>
        <w:t>Figure</w:t>
      </w:r>
      <w:r>
        <w:rPr>
          <w:spacing w:val="-3"/>
        </w:rPr>
        <w:t> </w:t>
      </w:r>
      <w:r>
        <w:rPr/>
        <w:t>4.5:</w:t>
      </w:r>
      <w:r>
        <w:rPr>
          <w:spacing w:val="-1"/>
        </w:rPr>
        <w:t> </w:t>
      </w:r>
      <w:r>
        <w:rPr/>
        <w:t>Calibration</w:t>
      </w:r>
      <w:r>
        <w:rPr>
          <w:spacing w:val="-1"/>
        </w:rPr>
        <w:t> </w:t>
      </w:r>
      <w:r>
        <w:rPr/>
        <w:t>curve</w:t>
      </w:r>
      <w:r>
        <w:rPr>
          <w:spacing w:val="-2"/>
        </w:rPr>
        <w:t> </w:t>
      </w:r>
      <w:r>
        <w:rPr/>
        <w:t>of</w:t>
      </w:r>
      <w:r>
        <w:rPr>
          <w:spacing w:val="-1"/>
        </w:rPr>
        <w:t> </w:t>
      </w:r>
      <w:r>
        <w:rPr/>
        <w:t>tinidazole</w:t>
      </w:r>
      <w:r>
        <w:rPr>
          <w:spacing w:val="-1"/>
        </w:rPr>
        <w:t> </w:t>
      </w:r>
      <w:r>
        <w:rPr/>
        <w:t>in</w:t>
      </w:r>
      <w:r>
        <w:rPr>
          <w:spacing w:val="-1"/>
        </w:rPr>
        <w:t> </w:t>
      </w:r>
      <w:r>
        <w:rPr/>
        <w:t>phosphate</w:t>
      </w:r>
      <w:r>
        <w:rPr>
          <w:spacing w:val="-1"/>
        </w:rPr>
        <w:t> </w:t>
      </w:r>
      <w:r>
        <w:rPr/>
        <w:t>buffer </w:t>
      </w:r>
      <w:r>
        <w:rPr>
          <w:spacing w:val="-2"/>
        </w:rPr>
        <w:t>(6.8).</w:t>
      </w:r>
      <w:r>
        <w:rPr/>
        <w:tab/>
      </w:r>
      <w:r>
        <w:rPr>
          <w:spacing w:val="-5"/>
        </w:rPr>
        <w:t>62</w:t>
      </w:r>
    </w:p>
    <w:p>
      <w:pPr>
        <w:pStyle w:val="BodyText"/>
        <w:tabs>
          <w:tab w:pos="8471" w:val="left" w:leader="dot"/>
        </w:tabs>
        <w:spacing w:before="276"/>
        <w:ind w:left="111"/>
      </w:pPr>
      <w:r>
        <w:rPr/>
        <w:t>Figure</w:t>
      </w:r>
      <w:r>
        <w:rPr>
          <w:spacing w:val="-3"/>
        </w:rPr>
        <w:t> </w:t>
      </w:r>
      <w:r>
        <w:rPr/>
        <w:t>4.6:</w:t>
      </w:r>
      <w:r>
        <w:rPr>
          <w:spacing w:val="-1"/>
        </w:rPr>
        <w:t> </w:t>
      </w:r>
      <w:r>
        <w:rPr/>
        <w:t>Calibration</w:t>
      </w:r>
      <w:r>
        <w:rPr>
          <w:spacing w:val="-1"/>
        </w:rPr>
        <w:t> </w:t>
      </w:r>
      <w:r>
        <w:rPr/>
        <w:t>curve</w:t>
      </w:r>
      <w:r>
        <w:rPr>
          <w:spacing w:val="-2"/>
        </w:rPr>
        <w:t> </w:t>
      </w:r>
      <w:r>
        <w:rPr/>
        <w:t>of</w:t>
      </w:r>
      <w:r>
        <w:rPr>
          <w:spacing w:val="-1"/>
        </w:rPr>
        <w:t> </w:t>
      </w:r>
      <w:r>
        <w:rPr/>
        <w:t>tinidazole</w:t>
      </w:r>
      <w:r>
        <w:rPr>
          <w:spacing w:val="-1"/>
        </w:rPr>
        <w:t> </w:t>
      </w:r>
      <w:r>
        <w:rPr/>
        <w:t>in</w:t>
      </w:r>
      <w:r>
        <w:rPr>
          <w:spacing w:val="-1"/>
        </w:rPr>
        <w:t> </w:t>
      </w:r>
      <w:r>
        <w:rPr/>
        <w:t>phosphate</w:t>
      </w:r>
      <w:r>
        <w:rPr>
          <w:spacing w:val="-1"/>
        </w:rPr>
        <w:t> </w:t>
      </w:r>
      <w:r>
        <w:rPr/>
        <w:t>buffer </w:t>
      </w:r>
      <w:r>
        <w:rPr>
          <w:spacing w:val="-2"/>
        </w:rPr>
        <w:t>(7.4).</w:t>
      </w:r>
      <w:r>
        <w:rPr/>
        <w:tab/>
      </w:r>
      <w:r>
        <w:rPr>
          <w:spacing w:val="-5"/>
        </w:rPr>
        <w:t>64</w:t>
      </w:r>
    </w:p>
    <w:p>
      <w:pPr>
        <w:pStyle w:val="BodyText"/>
        <w:tabs>
          <w:tab w:pos="8591" w:val="left" w:leader="dot"/>
        </w:tabs>
        <w:spacing w:line="480" w:lineRule="auto" w:before="277"/>
        <w:ind w:left="1431" w:right="1363" w:hanging="1320"/>
      </w:pPr>
      <w:r>
        <w:rPr/>
        <w:t>Figure</w:t>
      </w:r>
      <w:r>
        <w:rPr>
          <w:spacing w:val="39"/>
        </w:rPr>
        <w:t> </w:t>
      </w:r>
      <w:r>
        <w:rPr/>
        <w:t>4.7:</w:t>
      </w:r>
      <w:r>
        <w:rPr>
          <w:spacing w:val="40"/>
        </w:rPr>
        <w:t> </w:t>
      </w:r>
      <w:r>
        <w:rPr/>
        <w:t>Percentage</w:t>
      </w:r>
      <w:r>
        <w:rPr>
          <w:spacing w:val="40"/>
        </w:rPr>
        <w:t> </w:t>
      </w:r>
      <w:r>
        <w:rPr/>
        <w:t>content</w:t>
      </w:r>
      <w:r>
        <w:rPr>
          <w:spacing w:val="40"/>
        </w:rPr>
        <w:t> </w:t>
      </w:r>
      <w:r>
        <w:rPr/>
        <w:t>of</w:t>
      </w:r>
      <w:r>
        <w:rPr>
          <w:spacing w:val="40"/>
        </w:rPr>
        <w:t> </w:t>
      </w:r>
      <w:r>
        <w:rPr/>
        <w:t>tinidazole</w:t>
      </w:r>
      <w:r>
        <w:rPr>
          <w:spacing w:val="40"/>
        </w:rPr>
        <w:t> </w:t>
      </w:r>
      <w:r>
        <w:rPr/>
        <w:t>dissolve</w:t>
      </w:r>
      <w:r>
        <w:rPr>
          <w:spacing w:val="40"/>
        </w:rPr>
        <w:t> </w:t>
      </w:r>
      <w:r>
        <w:rPr/>
        <w:t>from</w:t>
      </w:r>
      <w:r>
        <w:rPr>
          <w:spacing w:val="40"/>
        </w:rPr>
        <w:t> </w:t>
      </w:r>
      <w:r>
        <w:rPr/>
        <w:t>the</w:t>
      </w:r>
      <w:r>
        <w:rPr>
          <w:spacing w:val="40"/>
        </w:rPr>
        <w:t> </w:t>
      </w:r>
      <w:r>
        <w:rPr/>
        <w:t>different</w:t>
      </w:r>
      <w:r>
        <w:rPr>
          <w:spacing w:val="40"/>
        </w:rPr>
        <w:t> </w:t>
      </w:r>
      <w:r>
        <w:rPr/>
        <w:t>tinidazole</w:t>
      </w:r>
      <w:r>
        <w:rPr>
          <w:spacing w:val="40"/>
        </w:rPr>
        <w:t> </w:t>
      </w:r>
      <w:r>
        <w:rPr/>
        <w:t>tablet brands in gastric pH…</w:t>
        <w:tab/>
      </w:r>
      <w:r>
        <w:rPr>
          <w:spacing w:val="-6"/>
        </w:rPr>
        <w:t>67</w:t>
      </w:r>
    </w:p>
    <w:p>
      <w:pPr>
        <w:pStyle w:val="BodyText"/>
        <w:tabs>
          <w:tab w:pos="8588" w:val="left" w:leader="dot"/>
        </w:tabs>
        <w:spacing w:line="480" w:lineRule="auto"/>
        <w:ind w:left="1491" w:right="1363" w:hanging="1380"/>
      </w:pPr>
      <w:r>
        <w:rPr/>
        <w:t>Figure</w:t>
      </w:r>
      <w:r>
        <w:rPr>
          <w:spacing w:val="39"/>
        </w:rPr>
        <w:t> </w:t>
      </w:r>
      <w:r>
        <w:rPr/>
        <w:t>4.8:</w:t>
      </w:r>
      <w:r>
        <w:rPr>
          <w:spacing w:val="40"/>
        </w:rPr>
        <w:t> </w:t>
      </w:r>
      <w:r>
        <w:rPr/>
        <w:t>Percentage</w:t>
      </w:r>
      <w:r>
        <w:rPr>
          <w:spacing w:val="40"/>
        </w:rPr>
        <w:t> </w:t>
      </w:r>
      <w:r>
        <w:rPr/>
        <w:t>content</w:t>
      </w:r>
      <w:r>
        <w:rPr>
          <w:spacing w:val="40"/>
        </w:rPr>
        <w:t> </w:t>
      </w:r>
      <w:r>
        <w:rPr/>
        <w:t>of</w:t>
      </w:r>
      <w:r>
        <w:rPr>
          <w:spacing w:val="40"/>
        </w:rPr>
        <w:t> </w:t>
      </w:r>
      <w:r>
        <w:rPr/>
        <w:t>tinidazole</w:t>
      </w:r>
      <w:r>
        <w:rPr>
          <w:spacing w:val="40"/>
        </w:rPr>
        <w:t> </w:t>
      </w:r>
      <w:r>
        <w:rPr/>
        <w:t>dissolve</w:t>
      </w:r>
      <w:r>
        <w:rPr>
          <w:spacing w:val="40"/>
        </w:rPr>
        <w:t> </w:t>
      </w:r>
      <w:r>
        <w:rPr/>
        <w:t>from</w:t>
      </w:r>
      <w:r>
        <w:rPr>
          <w:spacing w:val="40"/>
        </w:rPr>
        <w:t> </w:t>
      </w:r>
      <w:r>
        <w:rPr/>
        <w:t>the</w:t>
      </w:r>
      <w:r>
        <w:rPr>
          <w:spacing w:val="40"/>
        </w:rPr>
        <w:t> </w:t>
      </w:r>
      <w:r>
        <w:rPr/>
        <w:t>different</w:t>
      </w:r>
      <w:r>
        <w:rPr>
          <w:spacing w:val="40"/>
        </w:rPr>
        <w:t> </w:t>
      </w:r>
      <w:r>
        <w:rPr/>
        <w:t>tinidazole</w:t>
      </w:r>
      <w:r>
        <w:rPr>
          <w:spacing w:val="40"/>
        </w:rPr>
        <w:t> </w:t>
      </w:r>
      <w:r>
        <w:rPr/>
        <w:t>tablet brands in phosphate buffer pH (6.8)</w:t>
        <w:tab/>
      </w:r>
      <w:r>
        <w:rPr>
          <w:spacing w:val="-6"/>
        </w:rPr>
        <w:t>68</w:t>
      </w:r>
    </w:p>
    <w:p>
      <w:pPr>
        <w:pStyle w:val="BodyText"/>
        <w:tabs>
          <w:tab w:pos="8588" w:val="left" w:leader="dot"/>
        </w:tabs>
        <w:spacing w:line="480" w:lineRule="auto"/>
        <w:ind w:left="1371" w:right="1363" w:hanging="1260"/>
      </w:pPr>
      <w:r>
        <w:rPr/>
        <w:t>Figure</w:t>
      </w:r>
      <w:r>
        <w:rPr>
          <w:spacing w:val="39"/>
        </w:rPr>
        <w:t> </w:t>
      </w:r>
      <w:r>
        <w:rPr/>
        <w:t>4.9:</w:t>
      </w:r>
      <w:r>
        <w:rPr>
          <w:spacing w:val="40"/>
        </w:rPr>
        <w:t> </w:t>
      </w:r>
      <w:r>
        <w:rPr/>
        <w:t>Percentage</w:t>
      </w:r>
      <w:r>
        <w:rPr>
          <w:spacing w:val="40"/>
        </w:rPr>
        <w:t> </w:t>
      </w:r>
      <w:r>
        <w:rPr/>
        <w:t>content</w:t>
      </w:r>
      <w:r>
        <w:rPr>
          <w:spacing w:val="40"/>
        </w:rPr>
        <w:t> </w:t>
      </w:r>
      <w:r>
        <w:rPr/>
        <w:t>of</w:t>
      </w:r>
      <w:r>
        <w:rPr>
          <w:spacing w:val="40"/>
        </w:rPr>
        <w:t> </w:t>
      </w:r>
      <w:r>
        <w:rPr/>
        <w:t>tinidazole</w:t>
      </w:r>
      <w:r>
        <w:rPr>
          <w:spacing w:val="40"/>
        </w:rPr>
        <w:t> </w:t>
      </w:r>
      <w:r>
        <w:rPr/>
        <w:t>dissolve</w:t>
      </w:r>
      <w:r>
        <w:rPr>
          <w:spacing w:val="40"/>
        </w:rPr>
        <w:t> </w:t>
      </w:r>
      <w:r>
        <w:rPr/>
        <w:t>from</w:t>
      </w:r>
      <w:r>
        <w:rPr>
          <w:spacing w:val="40"/>
        </w:rPr>
        <w:t> </w:t>
      </w:r>
      <w:r>
        <w:rPr/>
        <w:t>the</w:t>
      </w:r>
      <w:r>
        <w:rPr>
          <w:spacing w:val="40"/>
        </w:rPr>
        <w:t> </w:t>
      </w:r>
      <w:r>
        <w:rPr/>
        <w:t>different</w:t>
      </w:r>
      <w:r>
        <w:rPr>
          <w:spacing w:val="40"/>
        </w:rPr>
        <w:t> </w:t>
      </w:r>
      <w:r>
        <w:rPr/>
        <w:t>tinidazole</w:t>
      </w:r>
      <w:r>
        <w:rPr>
          <w:spacing w:val="40"/>
        </w:rPr>
        <w:t> </w:t>
      </w:r>
      <w:r>
        <w:rPr/>
        <w:t>tablet brands in phosphate buffer pH (7.4)…</w:t>
        <w:tab/>
      </w:r>
      <w:r>
        <w:rPr>
          <w:spacing w:val="-6"/>
        </w:rPr>
        <w:t>69</w:t>
      </w:r>
    </w:p>
    <w:p>
      <w:pPr>
        <w:pStyle w:val="BodyText"/>
        <w:tabs>
          <w:tab w:pos="8538" w:val="left" w:leader="dot"/>
        </w:tabs>
        <w:ind w:left="111"/>
      </w:pPr>
      <w:r>
        <w:rPr/>
        <w:t>Figure</w:t>
      </w:r>
      <w:r>
        <w:rPr>
          <w:spacing w:val="-4"/>
        </w:rPr>
        <w:t> </w:t>
      </w:r>
      <w:r>
        <w:rPr/>
        <w:t>7.1:</w:t>
      </w:r>
      <w:r>
        <w:rPr>
          <w:spacing w:val="1"/>
        </w:rPr>
        <w:t> </w:t>
      </w:r>
      <w:r>
        <w:rPr/>
        <w:t>IR</w:t>
      </w:r>
      <w:r>
        <w:rPr>
          <w:spacing w:val="-1"/>
        </w:rPr>
        <w:t> </w:t>
      </w:r>
      <w:r>
        <w:rPr/>
        <w:t>spectra</w:t>
      </w:r>
      <w:r>
        <w:rPr>
          <w:spacing w:val="-3"/>
        </w:rPr>
        <w:t> </w:t>
      </w:r>
      <w:r>
        <w:rPr/>
        <w:t>of sample</w:t>
      </w:r>
      <w:r>
        <w:rPr>
          <w:spacing w:val="-2"/>
        </w:rPr>
        <w:t> </w:t>
      </w:r>
      <w:r>
        <w:rPr>
          <w:spacing w:val="-5"/>
        </w:rPr>
        <w:t>A.</w:t>
      </w:r>
      <w:r>
        <w:rPr/>
        <w:tab/>
      </w:r>
      <w:r>
        <w:rPr>
          <w:spacing w:val="-5"/>
        </w:rPr>
        <w:t>92</w:t>
      </w:r>
    </w:p>
    <w:p>
      <w:pPr>
        <w:pStyle w:val="BodyText"/>
        <w:tabs>
          <w:tab w:pos="8584" w:val="left" w:leader="dot"/>
        </w:tabs>
        <w:spacing w:before="277"/>
        <w:ind w:left="111"/>
      </w:pPr>
      <w:r>
        <w:rPr/>
        <w:t>Figure</w:t>
      </w:r>
      <w:r>
        <w:rPr>
          <w:spacing w:val="-4"/>
        </w:rPr>
        <w:t> </w:t>
      </w:r>
      <w:r>
        <w:rPr/>
        <w:t>7.2:</w:t>
      </w:r>
      <w:r>
        <w:rPr>
          <w:spacing w:val="1"/>
        </w:rPr>
        <w:t> </w:t>
      </w:r>
      <w:r>
        <w:rPr/>
        <w:t>IR</w:t>
      </w:r>
      <w:r>
        <w:rPr>
          <w:spacing w:val="-1"/>
        </w:rPr>
        <w:t> </w:t>
      </w:r>
      <w:r>
        <w:rPr/>
        <w:t>spectra</w:t>
      </w:r>
      <w:r>
        <w:rPr>
          <w:spacing w:val="-3"/>
        </w:rPr>
        <w:t> </w:t>
      </w:r>
      <w:r>
        <w:rPr/>
        <w:t>of sample</w:t>
      </w:r>
      <w:r>
        <w:rPr>
          <w:spacing w:val="-2"/>
        </w:rPr>
        <w:t> </w:t>
      </w:r>
      <w:r>
        <w:rPr>
          <w:spacing w:val="-10"/>
        </w:rPr>
        <w:t>B</w:t>
      </w:r>
      <w:r>
        <w:rPr/>
        <w:tab/>
      </w:r>
      <w:r>
        <w:rPr>
          <w:spacing w:val="-5"/>
        </w:rPr>
        <w:t>93</w:t>
      </w:r>
    </w:p>
    <w:p>
      <w:pPr>
        <w:pStyle w:val="BodyText"/>
        <w:tabs>
          <w:tab w:pos="8584" w:val="left" w:leader="dot"/>
        </w:tabs>
        <w:spacing w:before="276"/>
        <w:ind w:left="111"/>
      </w:pPr>
      <w:r>
        <w:rPr/>
        <w:t>Figure</w:t>
      </w:r>
      <w:r>
        <w:rPr>
          <w:spacing w:val="-4"/>
        </w:rPr>
        <w:t> </w:t>
      </w:r>
      <w:r>
        <w:rPr/>
        <w:t>7.3:</w:t>
      </w:r>
      <w:r>
        <w:rPr>
          <w:spacing w:val="1"/>
        </w:rPr>
        <w:t> </w:t>
      </w:r>
      <w:r>
        <w:rPr/>
        <w:t>IR</w:t>
      </w:r>
      <w:r>
        <w:rPr>
          <w:spacing w:val="-1"/>
        </w:rPr>
        <w:t> </w:t>
      </w:r>
      <w:r>
        <w:rPr/>
        <w:t>spectra</w:t>
      </w:r>
      <w:r>
        <w:rPr>
          <w:spacing w:val="-3"/>
        </w:rPr>
        <w:t> </w:t>
      </w:r>
      <w:r>
        <w:rPr/>
        <w:t>of sample</w:t>
      </w:r>
      <w:r>
        <w:rPr>
          <w:spacing w:val="-2"/>
        </w:rPr>
        <w:t> </w:t>
      </w:r>
      <w:r>
        <w:rPr>
          <w:spacing w:val="-10"/>
        </w:rPr>
        <w:t>C</w:t>
      </w:r>
      <w:r>
        <w:rPr/>
        <w:tab/>
      </w:r>
      <w:r>
        <w:rPr>
          <w:spacing w:val="-5"/>
        </w:rPr>
        <w:t>94</w:t>
      </w:r>
    </w:p>
    <w:p>
      <w:pPr>
        <w:pStyle w:val="BodyText"/>
        <w:tabs>
          <w:tab w:pos="8538" w:val="left" w:leader="dot"/>
        </w:tabs>
        <w:spacing w:before="276"/>
        <w:ind w:left="111"/>
      </w:pPr>
      <w:r>
        <w:rPr/>
        <w:t>Figure</w:t>
      </w:r>
      <w:r>
        <w:rPr>
          <w:spacing w:val="-4"/>
        </w:rPr>
        <w:t> </w:t>
      </w:r>
      <w:r>
        <w:rPr/>
        <w:t>7.4:</w:t>
      </w:r>
      <w:r>
        <w:rPr>
          <w:spacing w:val="1"/>
        </w:rPr>
        <w:t> </w:t>
      </w:r>
      <w:r>
        <w:rPr/>
        <w:t>IR</w:t>
      </w:r>
      <w:r>
        <w:rPr>
          <w:spacing w:val="-1"/>
        </w:rPr>
        <w:t> </w:t>
      </w:r>
      <w:r>
        <w:rPr/>
        <w:t>spectra</w:t>
      </w:r>
      <w:r>
        <w:rPr>
          <w:spacing w:val="-3"/>
        </w:rPr>
        <w:t> </w:t>
      </w:r>
      <w:r>
        <w:rPr/>
        <w:t>of sample</w:t>
      </w:r>
      <w:r>
        <w:rPr>
          <w:spacing w:val="-2"/>
        </w:rPr>
        <w:t> </w:t>
      </w:r>
      <w:r>
        <w:rPr>
          <w:spacing w:val="-5"/>
        </w:rPr>
        <w:t>D.</w:t>
      </w:r>
      <w:r>
        <w:rPr/>
        <w:tab/>
      </w:r>
      <w:r>
        <w:rPr>
          <w:spacing w:val="-5"/>
        </w:rPr>
        <w:t>95</w:t>
      </w:r>
    </w:p>
    <w:p>
      <w:pPr>
        <w:pStyle w:val="BodyText"/>
        <w:tabs>
          <w:tab w:pos="8562" w:val="left" w:leader="dot"/>
        </w:tabs>
        <w:spacing w:before="276"/>
        <w:ind w:left="111"/>
      </w:pPr>
      <w:r>
        <w:rPr/>
        <w:t>Figure</w:t>
      </w:r>
      <w:r>
        <w:rPr>
          <w:spacing w:val="-4"/>
        </w:rPr>
        <w:t> </w:t>
      </w:r>
      <w:r>
        <w:rPr/>
        <w:t>7.5:</w:t>
      </w:r>
      <w:r>
        <w:rPr>
          <w:spacing w:val="1"/>
        </w:rPr>
        <w:t> </w:t>
      </w:r>
      <w:r>
        <w:rPr/>
        <w:t>IR</w:t>
      </w:r>
      <w:r>
        <w:rPr>
          <w:spacing w:val="-1"/>
        </w:rPr>
        <w:t> </w:t>
      </w:r>
      <w:r>
        <w:rPr/>
        <w:t>spectra</w:t>
      </w:r>
      <w:r>
        <w:rPr>
          <w:spacing w:val="-3"/>
        </w:rPr>
        <w:t> </w:t>
      </w:r>
      <w:r>
        <w:rPr/>
        <w:t>of</w:t>
      </w:r>
      <w:r>
        <w:rPr>
          <w:spacing w:val="-1"/>
        </w:rPr>
        <w:t> </w:t>
      </w:r>
      <w:r>
        <w:rPr/>
        <w:t>sample</w:t>
      </w:r>
      <w:r>
        <w:rPr>
          <w:spacing w:val="-2"/>
        </w:rPr>
        <w:t> </w:t>
      </w:r>
      <w:r>
        <w:rPr/>
        <w:t>E</w:t>
      </w:r>
      <w:r>
        <w:rPr>
          <w:spacing w:val="-1"/>
        </w:rPr>
        <w:t> </w:t>
      </w:r>
      <w:r>
        <w:rPr/>
        <w:t>(Standard </w:t>
      </w:r>
      <w:r>
        <w:rPr>
          <w:spacing w:val="-2"/>
        </w:rPr>
        <w:t>powder)</w:t>
      </w:r>
      <w:r>
        <w:rPr/>
        <w:tab/>
      </w:r>
      <w:r>
        <w:rPr>
          <w:spacing w:val="-5"/>
        </w:rPr>
        <w:t>96</w:t>
      </w:r>
    </w:p>
    <w:p>
      <w:pPr>
        <w:pStyle w:val="BodyText"/>
        <w:tabs>
          <w:tab w:pos="8526" w:val="left" w:leader="dot"/>
        </w:tabs>
        <w:spacing w:before="276"/>
        <w:ind w:left="111"/>
      </w:pPr>
      <w:r>
        <w:rPr/>
        <w:t>Figure</w:t>
      </w:r>
      <w:r>
        <w:rPr>
          <w:spacing w:val="-3"/>
        </w:rPr>
        <w:t> </w:t>
      </w:r>
      <w:r>
        <w:rPr/>
        <w:t>7.6: UV spectra</w:t>
      </w:r>
      <w:r>
        <w:rPr>
          <w:spacing w:val="-2"/>
        </w:rPr>
        <w:t> </w:t>
      </w:r>
      <w:r>
        <w:rPr/>
        <w:t>of sample</w:t>
      </w:r>
      <w:r>
        <w:rPr>
          <w:spacing w:val="-1"/>
        </w:rPr>
        <w:t> </w:t>
      </w:r>
      <w:r>
        <w:rPr>
          <w:spacing w:val="-5"/>
        </w:rPr>
        <w:t>A.</w:t>
      </w:r>
      <w:r>
        <w:rPr/>
        <w:tab/>
      </w:r>
      <w:r>
        <w:rPr>
          <w:spacing w:val="-5"/>
        </w:rPr>
        <w:t>97</w:t>
      </w:r>
    </w:p>
    <w:p>
      <w:pPr>
        <w:spacing w:after="0"/>
        <w:sectPr>
          <w:pgSz w:w="12240" w:h="15840"/>
          <w:pgMar w:header="0" w:footer="1068" w:top="1360" w:bottom="1260" w:left="1420" w:right="440"/>
        </w:sectPr>
      </w:pPr>
    </w:p>
    <w:p>
      <w:pPr>
        <w:pStyle w:val="BodyText"/>
        <w:tabs>
          <w:tab w:pos="8812" w:val="right" w:leader="dot"/>
        </w:tabs>
        <w:spacing w:before="72"/>
        <w:ind w:left="111"/>
      </w:pPr>
      <w:r>
        <w:rPr/>
        <w:t>Figure</w:t>
      </w:r>
      <w:r>
        <w:rPr>
          <w:spacing w:val="-3"/>
        </w:rPr>
        <w:t> </w:t>
      </w:r>
      <w:r>
        <w:rPr/>
        <w:t>7.7: UV spectra</w:t>
      </w:r>
      <w:r>
        <w:rPr>
          <w:spacing w:val="-2"/>
        </w:rPr>
        <w:t> </w:t>
      </w:r>
      <w:r>
        <w:rPr/>
        <w:t>of sample</w:t>
      </w:r>
      <w:r>
        <w:rPr>
          <w:spacing w:val="-1"/>
        </w:rPr>
        <w:t> </w:t>
      </w:r>
      <w:r>
        <w:rPr>
          <w:spacing w:val="-10"/>
        </w:rPr>
        <w:t>B</w:t>
      </w:r>
      <w:r>
        <w:rPr/>
        <w:tab/>
      </w:r>
      <w:r>
        <w:rPr>
          <w:spacing w:val="-5"/>
        </w:rPr>
        <w:t>98</w:t>
      </w:r>
    </w:p>
    <w:p>
      <w:pPr>
        <w:pStyle w:val="BodyText"/>
        <w:tabs>
          <w:tab w:pos="8812" w:val="right" w:leader="dot"/>
        </w:tabs>
        <w:spacing w:before="276"/>
        <w:ind w:left="111"/>
      </w:pPr>
      <w:r>
        <w:rPr/>
        <w:t>Figure</w:t>
      </w:r>
      <w:r>
        <w:rPr>
          <w:spacing w:val="-3"/>
        </w:rPr>
        <w:t> </w:t>
      </w:r>
      <w:r>
        <w:rPr/>
        <w:t>7.8: UV spectra</w:t>
      </w:r>
      <w:r>
        <w:rPr>
          <w:spacing w:val="-2"/>
        </w:rPr>
        <w:t> </w:t>
      </w:r>
      <w:r>
        <w:rPr/>
        <w:t>of sample</w:t>
      </w:r>
      <w:r>
        <w:rPr>
          <w:spacing w:val="-1"/>
        </w:rPr>
        <w:t> </w:t>
      </w:r>
      <w:r>
        <w:rPr>
          <w:spacing w:val="-10"/>
        </w:rPr>
        <w:t>C</w:t>
      </w:r>
      <w:r>
        <w:rPr/>
        <w:tab/>
      </w:r>
      <w:r>
        <w:rPr>
          <w:spacing w:val="-5"/>
        </w:rPr>
        <w:t>99</w:t>
      </w:r>
    </w:p>
    <w:p>
      <w:pPr>
        <w:pStyle w:val="BodyText"/>
        <w:tabs>
          <w:tab w:pos="8886" w:val="right" w:leader="dot"/>
        </w:tabs>
        <w:spacing w:before="276"/>
        <w:ind w:left="111"/>
      </w:pPr>
      <w:r>
        <w:rPr/>
        <w:t>Figure</w:t>
      </w:r>
      <w:r>
        <w:rPr>
          <w:spacing w:val="-3"/>
        </w:rPr>
        <w:t> </w:t>
      </w:r>
      <w:r>
        <w:rPr/>
        <w:t>7.9: UV spectra</w:t>
      </w:r>
      <w:r>
        <w:rPr>
          <w:spacing w:val="-2"/>
        </w:rPr>
        <w:t> </w:t>
      </w:r>
      <w:r>
        <w:rPr/>
        <w:t>of sample</w:t>
      </w:r>
      <w:r>
        <w:rPr>
          <w:spacing w:val="-1"/>
        </w:rPr>
        <w:t> </w:t>
      </w:r>
      <w:r>
        <w:rPr>
          <w:spacing w:val="-5"/>
        </w:rPr>
        <w:t>D.</w:t>
      </w:r>
      <w:r>
        <w:rPr/>
        <w:tab/>
      </w:r>
      <w:r>
        <w:rPr>
          <w:spacing w:val="-5"/>
        </w:rPr>
        <w:t>100</w:t>
      </w:r>
    </w:p>
    <w:p>
      <w:pPr>
        <w:pStyle w:val="BodyText"/>
        <w:tabs>
          <w:tab w:pos="8850" w:val="right" w:leader="dot"/>
        </w:tabs>
        <w:spacing w:before="276"/>
        <w:ind w:left="111"/>
      </w:pPr>
      <w:r>
        <w:rPr/>
        <w:t>Figure</w:t>
      </w:r>
      <w:r>
        <w:rPr>
          <w:spacing w:val="-5"/>
        </w:rPr>
        <w:t> </w:t>
      </w:r>
      <w:r>
        <w:rPr/>
        <w:t>7.10:</w:t>
      </w:r>
      <w:r>
        <w:rPr>
          <w:spacing w:val="-1"/>
        </w:rPr>
        <w:t> </w:t>
      </w:r>
      <w:r>
        <w:rPr/>
        <w:t>UV spectra of</w:t>
      </w:r>
      <w:r>
        <w:rPr>
          <w:spacing w:val="-2"/>
        </w:rPr>
        <w:t> </w:t>
      </w:r>
      <w:r>
        <w:rPr/>
        <w:t>sample E</w:t>
      </w:r>
      <w:r>
        <w:rPr>
          <w:spacing w:val="-2"/>
        </w:rPr>
        <w:t> </w:t>
      </w:r>
      <w:r>
        <w:rPr/>
        <w:t>(Standard </w:t>
      </w:r>
      <w:r>
        <w:rPr>
          <w:spacing w:val="-2"/>
        </w:rPr>
        <w:t>powder)</w:t>
      </w:r>
      <w:r>
        <w:rPr/>
        <w:tab/>
      </w:r>
      <w:r>
        <w:rPr>
          <w:spacing w:val="-5"/>
        </w:rPr>
        <w:t>101</w:t>
      </w:r>
    </w:p>
    <w:p>
      <w:pPr>
        <w:spacing w:after="0"/>
        <w:sectPr>
          <w:pgSz w:w="12240" w:h="15840"/>
          <w:pgMar w:header="0" w:footer="1068" w:top="1360" w:bottom="1260" w:left="1420" w:right="440"/>
        </w:sectPr>
      </w:pPr>
    </w:p>
    <w:p>
      <w:pPr>
        <w:pStyle w:val="Heading1"/>
        <w:spacing w:before="76"/>
        <w:ind w:right="880"/>
      </w:pPr>
      <w:bookmarkStart w:name="_TOC_250077" w:id="7"/>
      <w:bookmarkEnd w:id="7"/>
      <w:r>
        <w:rPr>
          <w:spacing w:val="-2"/>
        </w:rPr>
        <w:t>ABBREVIATIONS</w:t>
      </w:r>
    </w:p>
    <w:p>
      <w:pPr>
        <w:pStyle w:val="BodyText"/>
        <w:spacing w:before="116"/>
        <w:rPr>
          <w:b/>
        </w:rPr>
      </w:pPr>
    </w:p>
    <w:p>
      <w:pPr>
        <w:pStyle w:val="BodyText"/>
        <w:tabs>
          <w:tab w:pos="1011" w:val="left" w:leader="none"/>
        </w:tabs>
        <w:ind w:left="291"/>
      </w:pPr>
      <w:r>
        <w:rPr>
          <w:spacing w:val="-10"/>
        </w:rPr>
        <w:t>%</w:t>
      </w:r>
      <w:r>
        <w:rPr/>
        <w:tab/>
        <w:t>Per</w:t>
      </w:r>
      <w:r>
        <w:rPr>
          <w:spacing w:val="-3"/>
        </w:rPr>
        <w:t> </w:t>
      </w:r>
      <w:r>
        <w:rPr>
          <w:spacing w:val="-4"/>
        </w:rPr>
        <w:t>Cent</w:t>
      </w:r>
    </w:p>
    <w:p>
      <w:pPr>
        <w:pStyle w:val="BodyText"/>
      </w:pPr>
    </w:p>
    <w:p>
      <w:pPr>
        <w:pStyle w:val="BodyText"/>
        <w:tabs>
          <w:tab w:pos="1011" w:val="left" w:leader="none"/>
          <w:tab w:pos="1071" w:val="left" w:leader="none"/>
        </w:tabs>
        <w:spacing w:line="480" w:lineRule="auto"/>
        <w:ind w:left="291" w:right="7115"/>
      </w:pPr>
      <w:r>
        <w:rPr>
          <w:spacing w:val="-6"/>
        </w:rPr>
        <w:t>BP</w:t>
      </w:r>
      <w:r>
        <w:rPr/>
        <w:tab/>
        <w:tab/>
        <w:t>British</w:t>
      </w:r>
      <w:r>
        <w:rPr>
          <w:spacing w:val="-15"/>
        </w:rPr>
        <w:t> </w:t>
      </w:r>
      <w:r>
        <w:rPr/>
        <w:t>Pharmacopoeia </w:t>
      </w:r>
      <w:r>
        <w:rPr>
          <w:spacing w:val="-10"/>
        </w:rPr>
        <w:t>F</w:t>
      </w:r>
      <w:r>
        <w:rPr/>
        <w:tab/>
      </w:r>
      <w:r>
        <w:rPr>
          <w:spacing w:val="-2"/>
        </w:rPr>
        <w:t>Force</w:t>
      </w:r>
    </w:p>
    <w:p>
      <w:pPr>
        <w:pStyle w:val="BodyText"/>
        <w:tabs>
          <w:tab w:pos="1011" w:val="left" w:leader="none"/>
        </w:tabs>
        <w:spacing w:line="480" w:lineRule="auto"/>
        <w:ind w:left="291" w:right="7286"/>
      </w:pPr>
      <w:r>
        <w:rPr>
          <w:spacing w:val="-4"/>
        </w:rPr>
        <w:t>FDA</w:t>
      </w:r>
      <w:r>
        <w:rPr/>
        <w:tab/>
        <w:t>Federal</w:t>
      </w:r>
      <w:r>
        <w:rPr>
          <w:spacing w:val="-15"/>
        </w:rPr>
        <w:t> </w:t>
      </w:r>
      <w:r>
        <w:rPr/>
        <w:t>Drug</w:t>
      </w:r>
      <w:r>
        <w:rPr>
          <w:spacing w:val="-15"/>
        </w:rPr>
        <w:t> </w:t>
      </w:r>
      <w:r>
        <w:rPr/>
        <w:t>Agency </w:t>
      </w:r>
      <w:r>
        <w:rPr>
          <w:spacing w:val="-10"/>
        </w:rPr>
        <w:t>g</w:t>
      </w:r>
      <w:r>
        <w:rPr/>
        <w:tab/>
      </w:r>
      <w:r>
        <w:rPr>
          <w:spacing w:val="-4"/>
        </w:rPr>
        <w:t>Gram</w:t>
      </w:r>
    </w:p>
    <w:p>
      <w:pPr>
        <w:pStyle w:val="BodyText"/>
        <w:tabs>
          <w:tab w:pos="1011" w:val="left" w:leader="none"/>
        </w:tabs>
        <w:spacing w:line="480" w:lineRule="auto" w:before="1"/>
        <w:ind w:left="291" w:right="4347"/>
      </w:pPr>
      <w:r>
        <w:rPr>
          <w:spacing w:val="-4"/>
        </w:rPr>
        <w:t>ICH</w:t>
      </w:r>
      <w:r>
        <w:rPr/>
        <w:tab/>
        <w:t>International</w:t>
      </w:r>
      <w:r>
        <w:rPr>
          <w:spacing w:val="-12"/>
        </w:rPr>
        <w:t> </w:t>
      </w:r>
      <w:r>
        <w:rPr/>
        <w:t>Convention/Council</w:t>
      </w:r>
      <w:r>
        <w:rPr>
          <w:spacing w:val="-13"/>
        </w:rPr>
        <w:t> </w:t>
      </w:r>
      <w:r>
        <w:rPr/>
        <w:t>on</w:t>
      </w:r>
      <w:r>
        <w:rPr>
          <w:spacing w:val="-13"/>
        </w:rPr>
        <w:t> </w:t>
      </w:r>
      <w:r>
        <w:rPr/>
        <w:t>Harmonisation </w:t>
      </w:r>
      <w:r>
        <w:rPr>
          <w:spacing w:val="-6"/>
        </w:rPr>
        <w:t>IP</w:t>
      </w:r>
      <w:r>
        <w:rPr/>
        <w:tab/>
        <w:t>International Pharmacopoeia</w:t>
      </w:r>
    </w:p>
    <w:p>
      <w:pPr>
        <w:pStyle w:val="BodyText"/>
        <w:tabs>
          <w:tab w:pos="1011" w:val="left" w:leader="none"/>
        </w:tabs>
        <w:spacing w:line="482" w:lineRule="auto"/>
        <w:ind w:left="291" w:right="8289"/>
      </w:pPr>
      <w:r>
        <w:rPr>
          <w:spacing w:val="-6"/>
        </w:rPr>
        <w:t>kg</w:t>
      </w:r>
      <w:r>
        <w:rPr/>
        <w:tab/>
      </w:r>
      <w:r>
        <w:rPr>
          <w:spacing w:val="-2"/>
        </w:rPr>
        <w:t>kilogram </w:t>
      </w:r>
      <w:r>
        <w:rPr>
          <w:spacing w:val="-4"/>
        </w:rPr>
        <w:t>Max</w:t>
      </w:r>
      <w:r>
        <w:rPr/>
        <w:tab/>
      </w:r>
      <w:r>
        <w:rPr>
          <w:spacing w:val="-2"/>
        </w:rPr>
        <w:t>Maximum </w:t>
      </w:r>
      <w:r>
        <w:rPr>
          <w:rFonts w:ascii="Calibri" w:hAnsi="Calibri"/>
          <w:spacing w:val="-6"/>
        </w:rPr>
        <w:t>µg</w:t>
      </w:r>
      <w:r>
        <w:rPr>
          <w:rFonts w:ascii="Calibri" w:hAnsi="Calibri"/>
        </w:rPr>
        <w:tab/>
      </w:r>
      <w:r>
        <w:rPr>
          <w:spacing w:val="-2"/>
        </w:rPr>
        <w:t>Microgram</w:t>
      </w:r>
    </w:p>
    <w:p>
      <w:pPr>
        <w:pStyle w:val="BodyText"/>
        <w:tabs>
          <w:tab w:pos="1011" w:val="left" w:leader="none"/>
        </w:tabs>
        <w:spacing w:line="267" w:lineRule="exact"/>
        <w:ind w:left="291"/>
      </w:pPr>
      <w:r>
        <w:rPr>
          <w:spacing w:val="-5"/>
        </w:rPr>
        <w:t>mg</w:t>
      </w:r>
      <w:r>
        <w:rPr/>
        <w:tab/>
      </w:r>
      <w:r>
        <w:rPr>
          <w:spacing w:val="-2"/>
        </w:rPr>
        <w:t>Milligram</w:t>
      </w:r>
    </w:p>
    <w:p>
      <w:pPr>
        <w:pStyle w:val="BodyText"/>
      </w:pPr>
    </w:p>
    <w:p>
      <w:pPr>
        <w:pStyle w:val="BodyText"/>
        <w:tabs>
          <w:tab w:pos="1011" w:val="left" w:leader="none"/>
        </w:tabs>
        <w:ind w:left="291"/>
      </w:pPr>
      <w:r>
        <w:rPr>
          <w:spacing w:val="-5"/>
        </w:rPr>
        <w:t>min</w:t>
      </w:r>
      <w:r>
        <w:rPr/>
        <w:tab/>
      </w:r>
      <w:r>
        <w:rPr>
          <w:spacing w:val="-2"/>
        </w:rPr>
        <w:t>Minute</w:t>
      </w:r>
    </w:p>
    <w:p>
      <w:pPr>
        <w:pStyle w:val="BodyText"/>
      </w:pPr>
    </w:p>
    <w:p>
      <w:pPr>
        <w:pStyle w:val="BodyText"/>
        <w:tabs>
          <w:tab w:pos="1011" w:val="left" w:leader="none"/>
        </w:tabs>
        <w:spacing w:before="1"/>
        <w:ind w:left="291"/>
      </w:pPr>
      <w:r>
        <w:rPr>
          <w:spacing w:val="-5"/>
        </w:rPr>
        <w:t>mL</w:t>
      </w:r>
      <w:r>
        <w:rPr/>
        <w:tab/>
      </w:r>
      <w:r>
        <w:rPr>
          <w:spacing w:val="-2"/>
        </w:rPr>
        <w:t>Milllitre</w:t>
      </w:r>
    </w:p>
    <w:p>
      <w:pPr>
        <w:pStyle w:val="BodyText"/>
        <w:tabs>
          <w:tab w:pos="1011" w:val="left" w:leader="none"/>
        </w:tabs>
        <w:spacing w:before="276"/>
        <w:ind w:left="291"/>
      </w:pPr>
      <w:r>
        <w:rPr>
          <w:spacing w:val="-5"/>
        </w:rPr>
        <w:t>nm</w:t>
      </w:r>
      <w:r>
        <w:rPr/>
        <w:tab/>
      </w:r>
      <w:r>
        <w:rPr>
          <w:spacing w:val="-2"/>
        </w:rPr>
        <w:t>Nanometre</w:t>
      </w:r>
    </w:p>
    <w:p>
      <w:pPr>
        <w:pStyle w:val="BodyText"/>
        <w:tabs>
          <w:tab w:pos="1011" w:val="left" w:leader="none"/>
        </w:tabs>
        <w:spacing w:line="480" w:lineRule="auto" w:before="276"/>
        <w:ind w:left="291" w:right="6648"/>
      </w:pPr>
      <w:r>
        <w:rPr>
          <w:spacing w:val="-4"/>
        </w:rPr>
        <w:t>RSD</w:t>
      </w:r>
      <w:r>
        <w:rPr/>
        <w:tab/>
        <w:t>Relative</w:t>
      </w:r>
      <w:r>
        <w:rPr>
          <w:spacing w:val="-15"/>
        </w:rPr>
        <w:t> </w:t>
      </w:r>
      <w:r>
        <w:rPr/>
        <w:t>Standard</w:t>
      </w:r>
      <w:r>
        <w:rPr>
          <w:spacing w:val="-15"/>
        </w:rPr>
        <w:t> </w:t>
      </w:r>
      <w:r>
        <w:rPr/>
        <w:t>Deviation </w:t>
      </w:r>
      <w:r>
        <w:rPr>
          <w:spacing w:val="-10"/>
        </w:rPr>
        <w:t>s</w:t>
      </w:r>
      <w:r>
        <w:rPr/>
        <w:tab/>
      </w:r>
      <w:r>
        <w:rPr>
          <w:spacing w:val="-2"/>
        </w:rPr>
        <w:t>Second</w:t>
      </w:r>
    </w:p>
    <w:p>
      <w:pPr>
        <w:pStyle w:val="BodyText"/>
        <w:tabs>
          <w:tab w:pos="1011" w:val="left" w:leader="none"/>
        </w:tabs>
        <w:ind w:left="291"/>
      </w:pPr>
      <w:r>
        <w:rPr>
          <w:spacing w:val="-5"/>
          <w:vertAlign w:val="superscript"/>
        </w:rPr>
        <w:t>o</w:t>
      </w:r>
      <w:r>
        <w:rPr>
          <w:spacing w:val="-5"/>
          <w:vertAlign w:val="baseline"/>
        </w:rPr>
        <w:t>C</w:t>
      </w:r>
      <w:r>
        <w:rPr>
          <w:vertAlign w:val="baseline"/>
        </w:rPr>
        <w:tab/>
        <w:t>Degree</w:t>
      </w:r>
      <w:r>
        <w:rPr>
          <w:spacing w:val="-4"/>
          <w:vertAlign w:val="baseline"/>
        </w:rPr>
        <w:t> </w:t>
      </w:r>
      <w:r>
        <w:rPr>
          <w:spacing w:val="-2"/>
          <w:vertAlign w:val="baseline"/>
        </w:rPr>
        <w:t>Celsius</w:t>
      </w:r>
    </w:p>
    <w:p>
      <w:pPr>
        <w:pStyle w:val="BodyText"/>
      </w:pPr>
    </w:p>
    <w:p>
      <w:pPr>
        <w:pStyle w:val="BodyText"/>
        <w:tabs>
          <w:tab w:pos="1011" w:val="left" w:leader="none"/>
        </w:tabs>
        <w:spacing w:line="480" w:lineRule="auto"/>
        <w:ind w:left="291" w:right="6635"/>
      </w:pPr>
      <w:r>
        <w:rPr>
          <w:spacing w:val="-4"/>
        </w:rPr>
        <w:t>USP</w:t>
      </w:r>
      <w:r>
        <w:rPr/>
        <w:tab/>
        <w:t>United</w:t>
      </w:r>
      <w:r>
        <w:rPr>
          <w:spacing w:val="-15"/>
        </w:rPr>
        <w:t> </w:t>
      </w:r>
      <w:r>
        <w:rPr/>
        <w:t>State</w:t>
      </w:r>
      <w:r>
        <w:rPr>
          <w:spacing w:val="-15"/>
        </w:rPr>
        <w:t> </w:t>
      </w:r>
      <w:r>
        <w:rPr/>
        <w:t>Pharmacopoeia </w:t>
      </w:r>
      <w:r>
        <w:rPr>
          <w:spacing w:val="-6"/>
        </w:rPr>
        <w:t>UV</w:t>
      </w:r>
      <w:r>
        <w:rPr/>
        <w:tab/>
      </w:r>
      <w:r>
        <w:rPr>
          <w:spacing w:val="-2"/>
        </w:rPr>
        <w:t>Ultraviolet</w:t>
      </w:r>
    </w:p>
    <w:p>
      <w:pPr>
        <w:pStyle w:val="BodyText"/>
        <w:tabs>
          <w:tab w:pos="1011" w:val="left" w:leader="none"/>
        </w:tabs>
        <w:spacing w:line="480" w:lineRule="auto"/>
        <w:ind w:left="291" w:right="6754"/>
      </w:pPr>
      <w:r>
        <w:rPr/>
        <w:t>WHO</w:t>
      </w:r>
      <w:r>
        <w:rPr>
          <w:spacing w:val="65"/>
        </w:rPr>
        <w:t> </w:t>
      </w:r>
      <w:r>
        <w:rPr/>
        <w:t>World</w:t>
      </w:r>
      <w:r>
        <w:rPr>
          <w:spacing w:val="-9"/>
        </w:rPr>
        <w:t> </w:t>
      </w:r>
      <w:r>
        <w:rPr/>
        <w:t>Health</w:t>
      </w:r>
      <w:r>
        <w:rPr>
          <w:spacing w:val="-9"/>
        </w:rPr>
        <w:t> </w:t>
      </w:r>
      <w:r>
        <w:rPr/>
        <w:t>Organisation </w:t>
      </w:r>
      <w:r>
        <w:rPr>
          <w:spacing w:val="-10"/>
        </w:rPr>
        <w:t>λ</w:t>
      </w:r>
      <w:r>
        <w:rPr/>
        <w:tab/>
        <w:t>Wave Length</w:t>
      </w:r>
    </w:p>
    <w:p>
      <w:pPr>
        <w:pStyle w:val="BodyText"/>
        <w:tabs>
          <w:tab w:pos="1071" w:val="left" w:leader="none"/>
        </w:tabs>
        <w:ind w:left="351"/>
      </w:pPr>
      <w:r>
        <w:rPr>
          <w:i/>
          <w:spacing w:val="-5"/>
        </w:rPr>
        <w:t>f</w:t>
      </w:r>
      <w:r>
        <w:rPr>
          <w:spacing w:val="-5"/>
          <w:vertAlign w:val="subscript"/>
        </w:rPr>
        <w:t>2</w:t>
      </w:r>
      <w:r>
        <w:rPr>
          <w:vertAlign w:val="baseline"/>
        </w:rPr>
        <w:tab/>
        <w:t>Similarity</w:t>
      </w:r>
      <w:r>
        <w:rPr>
          <w:spacing w:val="-5"/>
          <w:vertAlign w:val="baseline"/>
        </w:rPr>
        <w:t> </w:t>
      </w:r>
      <w:r>
        <w:rPr>
          <w:spacing w:val="-2"/>
          <w:vertAlign w:val="baseline"/>
        </w:rPr>
        <w:t>Factor</w:t>
      </w:r>
    </w:p>
    <w:p>
      <w:pPr>
        <w:spacing w:after="0"/>
        <w:sectPr>
          <w:pgSz w:w="12240" w:h="15840"/>
          <w:pgMar w:header="0" w:footer="1068" w:top="1360" w:bottom="1260" w:left="1420" w:right="440"/>
        </w:sectPr>
      </w:pPr>
    </w:p>
    <w:tbl>
      <w:tblPr>
        <w:tblW w:w="0" w:type="auto"/>
        <w:jc w:val="left"/>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3"/>
        <w:gridCol w:w="4822"/>
      </w:tblGrid>
      <w:tr>
        <w:trPr>
          <w:trHeight w:val="409" w:hRule="atLeast"/>
        </w:trPr>
        <w:tc>
          <w:tcPr>
            <w:tcW w:w="1193" w:type="dxa"/>
          </w:tcPr>
          <w:p>
            <w:pPr>
              <w:pStyle w:val="TableParagraph"/>
              <w:spacing w:line="266" w:lineRule="exact"/>
              <w:ind w:left="50"/>
              <w:rPr>
                <w:sz w:val="24"/>
              </w:rPr>
            </w:pPr>
            <w:r>
              <w:rPr>
                <w:sz w:val="24"/>
              </w:rPr>
              <w:t>US </w:t>
            </w:r>
            <w:r>
              <w:rPr>
                <w:spacing w:val="-5"/>
                <w:sz w:val="24"/>
              </w:rPr>
              <w:t>FDA</w:t>
            </w:r>
          </w:p>
        </w:tc>
        <w:tc>
          <w:tcPr>
            <w:tcW w:w="4822" w:type="dxa"/>
          </w:tcPr>
          <w:p>
            <w:pPr>
              <w:pStyle w:val="TableParagraph"/>
              <w:spacing w:line="266" w:lineRule="exact"/>
              <w:ind w:left="296"/>
              <w:rPr>
                <w:sz w:val="24"/>
              </w:rPr>
            </w:pPr>
            <w:r>
              <w:rPr>
                <w:sz w:val="24"/>
              </w:rPr>
              <w:t>United</w:t>
            </w:r>
            <w:r>
              <w:rPr>
                <w:spacing w:val="-1"/>
                <w:sz w:val="24"/>
              </w:rPr>
              <w:t> </w:t>
            </w:r>
            <w:r>
              <w:rPr>
                <w:sz w:val="24"/>
              </w:rPr>
              <w:t>State</w:t>
            </w:r>
            <w:r>
              <w:rPr>
                <w:spacing w:val="-1"/>
                <w:sz w:val="24"/>
              </w:rPr>
              <w:t> </w:t>
            </w:r>
            <w:r>
              <w:rPr>
                <w:sz w:val="24"/>
              </w:rPr>
              <w:t>Food and</w:t>
            </w:r>
            <w:r>
              <w:rPr>
                <w:spacing w:val="-1"/>
                <w:sz w:val="24"/>
              </w:rPr>
              <w:t> </w:t>
            </w:r>
            <w:r>
              <w:rPr>
                <w:sz w:val="24"/>
              </w:rPr>
              <w:t>Drug</w:t>
            </w:r>
            <w:r>
              <w:rPr>
                <w:spacing w:val="-1"/>
                <w:sz w:val="24"/>
              </w:rPr>
              <w:t> </w:t>
            </w:r>
            <w:r>
              <w:rPr>
                <w:spacing w:val="-2"/>
                <w:sz w:val="24"/>
              </w:rPr>
              <w:t>Administration</w:t>
            </w:r>
          </w:p>
        </w:tc>
      </w:tr>
      <w:tr>
        <w:trPr>
          <w:trHeight w:val="552" w:hRule="atLeast"/>
        </w:trPr>
        <w:tc>
          <w:tcPr>
            <w:tcW w:w="1193" w:type="dxa"/>
          </w:tcPr>
          <w:p>
            <w:pPr>
              <w:pStyle w:val="TableParagraph"/>
              <w:spacing w:line="240" w:lineRule="auto" w:before="133"/>
              <w:ind w:left="50"/>
              <w:rPr>
                <w:sz w:val="24"/>
              </w:rPr>
            </w:pPr>
            <w:r>
              <w:rPr>
                <w:spacing w:val="-5"/>
                <w:sz w:val="24"/>
              </w:rPr>
              <w:t>GMP</w:t>
            </w:r>
          </w:p>
        </w:tc>
        <w:tc>
          <w:tcPr>
            <w:tcW w:w="4822" w:type="dxa"/>
          </w:tcPr>
          <w:p>
            <w:pPr>
              <w:pStyle w:val="TableParagraph"/>
              <w:spacing w:line="240" w:lineRule="auto" w:before="133"/>
              <w:ind w:left="296"/>
              <w:rPr>
                <w:sz w:val="24"/>
              </w:rPr>
            </w:pPr>
            <w:r>
              <w:rPr>
                <w:sz w:val="24"/>
              </w:rPr>
              <w:t>Good</w:t>
            </w:r>
            <w:r>
              <w:rPr>
                <w:spacing w:val="-1"/>
                <w:sz w:val="24"/>
              </w:rPr>
              <w:t> </w:t>
            </w:r>
            <w:r>
              <w:rPr>
                <w:sz w:val="24"/>
              </w:rPr>
              <w:t>Manufacturing</w:t>
            </w:r>
            <w:r>
              <w:rPr>
                <w:spacing w:val="-3"/>
                <w:sz w:val="24"/>
              </w:rPr>
              <w:t> </w:t>
            </w:r>
            <w:r>
              <w:rPr>
                <w:spacing w:val="-2"/>
                <w:sz w:val="24"/>
              </w:rPr>
              <w:t>Practice</w:t>
            </w:r>
          </w:p>
        </w:tc>
      </w:tr>
      <w:tr>
        <w:trPr>
          <w:trHeight w:val="551" w:hRule="atLeast"/>
        </w:trPr>
        <w:tc>
          <w:tcPr>
            <w:tcW w:w="1193" w:type="dxa"/>
          </w:tcPr>
          <w:p>
            <w:pPr>
              <w:pStyle w:val="TableParagraph"/>
              <w:spacing w:line="240" w:lineRule="auto" w:before="133"/>
              <w:ind w:left="50"/>
              <w:rPr>
                <w:sz w:val="24"/>
              </w:rPr>
            </w:pPr>
            <w:r>
              <w:rPr>
                <w:spacing w:val="-5"/>
                <w:sz w:val="24"/>
              </w:rPr>
              <w:t>BCS</w:t>
            </w:r>
          </w:p>
        </w:tc>
        <w:tc>
          <w:tcPr>
            <w:tcW w:w="4822" w:type="dxa"/>
          </w:tcPr>
          <w:p>
            <w:pPr>
              <w:pStyle w:val="TableParagraph"/>
              <w:spacing w:line="240" w:lineRule="auto" w:before="133"/>
              <w:ind w:left="296"/>
              <w:rPr>
                <w:sz w:val="24"/>
              </w:rPr>
            </w:pPr>
            <w:r>
              <w:rPr>
                <w:sz w:val="24"/>
              </w:rPr>
              <w:t>Biopharmaceutical</w:t>
            </w:r>
            <w:r>
              <w:rPr>
                <w:spacing w:val="-4"/>
                <w:sz w:val="24"/>
              </w:rPr>
              <w:t> </w:t>
            </w:r>
            <w:r>
              <w:rPr>
                <w:sz w:val="24"/>
              </w:rPr>
              <w:t>Classification</w:t>
            </w:r>
            <w:r>
              <w:rPr>
                <w:spacing w:val="-3"/>
                <w:sz w:val="24"/>
              </w:rPr>
              <w:t> </w:t>
            </w:r>
            <w:r>
              <w:rPr>
                <w:spacing w:val="-2"/>
                <w:sz w:val="24"/>
              </w:rPr>
              <w:t>System</w:t>
            </w:r>
          </w:p>
        </w:tc>
      </w:tr>
      <w:tr>
        <w:trPr>
          <w:trHeight w:val="552" w:hRule="atLeast"/>
        </w:trPr>
        <w:tc>
          <w:tcPr>
            <w:tcW w:w="1193" w:type="dxa"/>
          </w:tcPr>
          <w:p>
            <w:pPr>
              <w:pStyle w:val="TableParagraph"/>
              <w:spacing w:line="240" w:lineRule="auto" w:before="133"/>
              <w:ind w:left="50"/>
              <w:rPr>
                <w:sz w:val="24"/>
              </w:rPr>
            </w:pPr>
            <w:r>
              <w:rPr>
                <w:spacing w:val="-5"/>
                <w:sz w:val="24"/>
              </w:rPr>
              <w:t>AUC</w:t>
            </w:r>
          </w:p>
        </w:tc>
        <w:tc>
          <w:tcPr>
            <w:tcW w:w="4822" w:type="dxa"/>
          </w:tcPr>
          <w:p>
            <w:pPr>
              <w:pStyle w:val="TableParagraph"/>
              <w:spacing w:line="240" w:lineRule="auto" w:before="133"/>
              <w:ind w:left="296"/>
              <w:rPr>
                <w:sz w:val="24"/>
              </w:rPr>
            </w:pPr>
            <w:r>
              <w:rPr>
                <w:sz w:val="24"/>
              </w:rPr>
              <w:t>Area</w:t>
            </w:r>
            <w:r>
              <w:rPr>
                <w:spacing w:val="-3"/>
                <w:sz w:val="24"/>
              </w:rPr>
              <w:t> </w:t>
            </w:r>
            <w:r>
              <w:rPr>
                <w:sz w:val="24"/>
              </w:rPr>
              <w:t>under</w:t>
            </w:r>
            <w:r>
              <w:rPr>
                <w:spacing w:val="-1"/>
                <w:sz w:val="24"/>
              </w:rPr>
              <w:t> </w:t>
            </w:r>
            <w:r>
              <w:rPr>
                <w:sz w:val="24"/>
              </w:rPr>
              <w:t>concentration-time</w:t>
            </w:r>
            <w:r>
              <w:rPr>
                <w:spacing w:val="-2"/>
                <w:sz w:val="24"/>
              </w:rPr>
              <w:t> </w:t>
            </w:r>
            <w:r>
              <w:rPr>
                <w:spacing w:val="-4"/>
                <w:sz w:val="24"/>
              </w:rPr>
              <w:t>curve</w:t>
            </w:r>
          </w:p>
        </w:tc>
      </w:tr>
      <w:tr>
        <w:trPr>
          <w:trHeight w:val="551" w:hRule="atLeast"/>
        </w:trPr>
        <w:tc>
          <w:tcPr>
            <w:tcW w:w="1193" w:type="dxa"/>
          </w:tcPr>
          <w:p>
            <w:pPr>
              <w:pStyle w:val="TableParagraph"/>
              <w:spacing w:line="240" w:lineRule="auto" w:before="133"/>
              <w:ind w:left="50"/>
              <w:rPr>
                <w:sz w:val="24"/>
              </w:rPr>
            </w:pPr>
            <w:r>
              <w:rPr>
                <w:spacing w:val="-2"/>
                <w:sz w:val="24"/>
              </w:rPr>
              <w:t>IVIVC</w:t>
            </w:r>
          </w:p>
        </w:tc>
        <w:tc>
          <w:tcPr>
            <w:tcW w:w="4822" w:type="dxa"/>
          </w:tcPr>
          <w:p>
            <w:pPr>
              <w:pStyle w:val="TableParagraph"/>
              <w:spacing w:line="240" w:lineRule="auto" w:before="133"/>
              <w:ind w:left="296"/>
              <w:rPr>
                <w:sz w:val="24"/>
              </w:rPr>
            </w:pPr>
            <w:r>
              <w:rPr>
                <w:i/>
                <w:sz w:val="24"/>
              </w:rPr>
              <w:t>In</w:t>
            </w:r>
            <w:r>
              <w:rPr>
                <w:i/>
                <w:spacing w:val="-1"/>
                <w:sz w:val="24"/>
              </w:rPr>
              <w:t> </w:t>
            </w:r>
            <w:r>
              <w:rPr>
                <w:i/>
                <w:sz w:val="24"/>
              </w:rPr>
              <w:t>vitro-</w:t>
            </w:r>
            <w:r>
              <w:rPr>
                <w:i/>
                <w:spacing w:val="-2"/>
                <w:sz w:val="24"/>
              </w:rPr>
              <w:t> </w:t>
            </w:r>
            <w:r>
              <w:rPr>
                <w:i/>
                <w:sz w:val="24"/>
              </w:rPr>
              <w:t>in</w:t>
            </w:r>
            <w:r>
              <w:rPr>
                <w:i/>
                <w:spacing w:val="-1"/>
                <w:sz w:val="24"/>
              </w:rPr>
              <w:t> </w:t>
            </w:r>
            <w:r>
              <w:rPr>
                <w:i/>
                <w:sz w:val="24"/>
              </w:rPr>
              <w:t>vivo </w:t>
            </w:r>
            <w:r>
              <w:rPr>
                <w:spacing w:val="-2"/>
                <w:sz w:val="24"/>
              </w:rPr>
              <w:t>correlation</w:t>
            </w:r>
          </w:p>
        </w:tc>
      </w:tr>
      <w:tr>
        <w:trPr>
          <w:trHeight w:val="552" w:hRule="atLeast"/>
        </w:trPr>
        <w:tc>
          <w:tcPr>
            <w:tcW w:w="1193" w:type="dxa"/>
          </w:tcPr>
          <w:p>
            <w:pPr>
              <w:pStyle w:val="TableParagraph"/>
              <w:spacing w:line="240" w:lineRule="auto" w:before="133"/>
              <w:ind w:left="50"/>
              <w:rPr>
                <w:sz w:val="24"/>
              </w:rPr>
            </w:pPr>
            <w:r>
              <w:rPr>
                <w:spacing w:val="-4"/>
                <w:sz w:val="24"/>
              </w:rPr>
              <w:t>CPMP</w:t>
            </w:r>
          </w:p>
        </w:tc>
        <w:tc>
          <w:tcPr>
            <w:tcW w:w="4822" w:type="dxa"/>
          </w:tcPr>
          <w:p>
            <w:pPr>
              <w:pStyle w:val="TableParagraph"/>
              <w:spacing w:line="240" w:lineRule="auto" w:before="133"/>
              <w:ind w:left="296"/>
              <w:rPr>
                <w:sz w:val="24"/>
              </w:rPr>
            </w:pPr>
            <w:r>
              <w:rPr>
                <w:sz w:val="24"/>
              </w:rPr>
              <w:t>Committee</w:t>
            </w:r>
            <w:r>
              <w:rPr>
                <w:spacing w:val="-3"/>
                <w:sz w:val="24"/>
              </w:rPr>
              <w:t> </w:t>
            </w:r>
            <w:r>
              <w:rPr>
                <w:sz w:val="24"/>
              </w:rPr>
              <w:t>for</w:t>
            </w:r>
            <w:r>
              <w:rPr>
                <w:spacing w:val="-2"/>
                <w:sz w:val="24"/>
              </w:rPr>
              <w:t> </w:t>
            </w:r>
            <w:r>
              <w:rPr>
                <w:sz w:val="24"/>
              </w:rPr>
              <w:t>Proprietary</w:t>
            </w:r>
            <w:r>
              <w:rPr>
                <w:spacing w:val="-4"/>
                <w:sz w:val="24"/>
              </w:rPr>
              <w:t> </w:t>
            </w:r>
            <w:r>
              <w:rPr>
                <w:sz w:val="24"/>
              </w:rPr>
              <w:t>Medicinal</w:t>
            </w:r>
            <w:r>
              <w:rPr>
                <w:spacing w:val="-1"/>
                <w:sz w:val="24"/>
              </w:rPr>
              <w:t> </w:t>
            </w:r>
            <w:r>
              <w:rPr>
                <w:spacing w:val="-2"/>
                <w:sz w:val="24"/>
              </w:rPr>
              <w:t>Products</w:t>
            </w:r>
          </w:p>
        </w:tc>
      </w:tr>
      <w:tr>
        <w:trPr>
          <w:trHeight w:val="552" w:hRule="atLeast"/>
        </w:trPr>
        <w:tc>
          <w:tcPr>
            <w:tcW w:w="1193" w:type="dxa"/>
          </w:tcPr>
          <w:p>
            <w:pPr>
              <w:pStyle w:val="TableParagraph"/>
              <w:spacing w:line="240" w:lineRule="auto" w:before="133"/>
              <w:ind w:left="50"/>
              <w:rPr>
                <w:sz w:val="24"/>
              </w:rPr>
            </w:pPr>
            <w:r>
              <w:rPr>
                <w:spacing w:val="-2"/>
                <w:sz w:val="24"/>
              </w:rPr>
              <w:t>SUPAC</w:t>
            </w:r>
          </w:p>
        </w:tc>
        <w:tc>
          <w:tcPr>
            <w:tcW w:w="4822" w:type="dxa"/>
          </w:tcPr>
          <w:p>
            <w:pPr>
              <w:pStyle w:val="TableParagraph"/>
              <w:spacing w:line="240" w:lineRule="auto" w:before="133"/>
              <w:ind w:left="296"/>
              <w:rPr>
                <w:sz w:val="24"/>
              </w:rPr>
            </w:pPr>
            <w:r>
              <w:rPr>
                <w:sz w:val="24"/>
              </w:rPr>
              <w:t>Scale-up</w:t>
            </w:r>
            <w:r>
              <w:rPr>
                <w:spacing w:val="-1"/>
                <w:sz w:val="24"/>
              </w:rPr>
              <w:t> </w:t>
            </w:r>
            <w:r>
              <w:rPr>
                <w:sz w:val="24"/>
              </w:rPr>
              <w:t>and</w:t>
            </w:r>
            <w:r>
              <w:rPr>
                <w:spacing w:val="-1"/>
                <w:sz w:val="24"/>
              </w:rPr>
              <w:t> </w:t>
            </w:r>
            <w:r>
              <w:rPr>
                <w:sz w:val="24"/>
              </w:rPr>
              <w:t>post</w:t>
            </w:r>
            <w:r>
              <w:rPr>
                <w:spacing w:val="-1"/>
                <w:sz w:val="24"/>
              </w:rPr>
              <w:t> </w:t>
            </w:r>
            <w:r>
              <w:rPr>
                <w:sz w:val="24"/>
              </w:rPr>
              <w:t>Approval</w:t>
            </w:r>
            <w:r>
              <w:rPr>
                <w:spacing w:val="-1"/>
                <w:sz w:val="24"/>
              </w:rPr>
              <w:t> </w:t>
            </w:r>
            <w:r>
              <w:rPr>
                <w:spacing w:val="-2"/>
                <w:sz w:val="24"/>
              </w:rPr>
              <w:t>Changes</w:t>
            </w:r>
          </w:p>
        </w:tc>
      </w:tr>
      <w:tr>
        <w:trPr>
          <w:trHeight w:val="552" w:hRule="atLeast"/>
        </w:trPr>
        <w:tc>
          <w:tcPr>
            <w:tcW w:w="1193" w:type="dxa"/>
          </w:tcPr>
          <w:p>
            <w:pPr>
              <w:pStyle w:val="TableParagraph"/>
              <w:spacing w:line="240" w:lineRule="auto" w:before="133"/>
              <w:ind w:left="50"/>
              <w:rPr>
                <w:sz w:val="24"/>
              </w:rPr>
            </w:pPr>
            <w:r>
              <w:rPr>
                <w:spacing w:val="-5"/>
                <w:sz w:val="24"/>
              </w:rPr>
              <w:t>CYP</w:t>
            </w:r>
          </w:p>
        </w:tc>
        <w:tc>
          <w:tcPr>
            <w:tcW w:w="4822" w:type="dxa"/>
          </w:tcPr>
          <w:p>
            <w:pPr>
              <w:pStyle w:val="TableParagraph"/>
              <w:spacing w:line="240" w:lineRule="auto" w:before="133"/>
              <w:ind w:left="296"/>
              <w:rPr>
                <w:sz w:val="24"/>
              </w:rPr>
            </w:pPr>
            <w:r>
              <w:rPr>
                <w:sz w:val="24"/>
              </w:rPr>
              <w:t>Cytochrome</w:t>
            </w:r>
            <w:r>
              <w:rPr>
                <w:spacing w:val="-5"/>
                <w:sz w:val="24"/>
              </w:rPr>
              <w:t> </w:t>
            </w:r>
            <w:r>
              <w:rPr>
                <w:spacing w:val="-2"/>
                <w:sz w:val="24"/>
              </w:rPr>
              <w:t>enzyme</w:t>
            </w:r>
          </w:p>
        </w:tc>
      </w:tr>
      <w:tr>
        <w:trPr>
          <w:trHeight w:val="552" w:hRule="atLeast"/>
        </w:trPr>
        <w:tc>
          <w:tcPr>
            <w:tcW w:w="1193" w:type="dxa"/>
          </w:tcPr>
          <w:p>
            <w:pPr>
              <w:pStyle w:val="TableParagraph"/>
              <w:spacing w:line="240" w:lineRule="auto" w:before="133"/>
              <w:ind w:left="50"/>
              <w:rPr>
                <w:sz w:val="24"/>
              </w:rPr>
            </w:pPr>
            <w:r>
              <w:rPr>
                <w:spacing w:val="-2"/>
                <w:sz w:val="24"/>
              </w:rPr>
              <w:t>CDSCO</w:t>
            </w:r>
          </w:p>
        </w:tc>
        <w:tc>
          <w:tcPr>
            <w:tcW w:w="4822" w:type="dxa"/>
          </w:tcPr>
          <w:p>
            <w:pPr>
              <w:pStyle w:val="TableParagraph"/>
              <w:spacing w:line="240" w:lineRule="auto" w:before="133"/>
              <w:ind w:left="318"/>
              <w:rPr>
                <w:sz w:val="24"/>
              </w:rPr>
            </w:pPr>
            <w:r>
              <w:rPr>
                <w:sz w:val="24"/>
              </w:rPr>
              <w:t>Central</w:t>
            </w:r>
            <w:r>
              <w:rPr>
                <w:spacing w:val="-2"/>
                <w:sz w:val="24"/>
              </w:rPr>
              <w:t> </w:t>
            </w:r>
            <w:r>
              <w:rPr>
                <w:sz w:val="24"/>
              </w:rPr>
              <w:t>Drugs</w:t>
            </w:r>
            <w:r>
              <w:rPr>
                <w:spacing w:val="-2"/>
                <w:sz w:val="24"/>
              </w:rPr>
              <w:t> </w:t>
            </w:r>
            <w:r>
              <w:rPr>
                <w:sz w:val="24"/>
              </w:rPr>
              <w:t>Standard</w:t>
            </w:r>
            <w:r>
              <w:rPr>
                <w:spacing w:val="-2"/>
                <w:sz w:val="24"/>
              </w:rPr>
              <w:t> </w:t>
            </w:r>
            <w:r>
              <w:rPr>
                <w:sz w:val="24"/>
              </w:rPr>
              <w:t>Control</w:t>
            </w:r>
            <w:r>
              <w:rPr>
                <w:spacing w:val="-1"/>
                <w:sz w:val="24"/>
              </w:rPr>
              <w:t> </w:t>
            </w:r>
            <w:r>
              <w:rPr>
                <w:spacing w:val="-2"/>
                <w:sz w:val="24"/>
              </w:rPr>
              <w:t>Organization</w:t>
            </w:r>
          </w:p>
        </w:tc>
      </w:tr>
      <w:tr>
        <w:trPr>
          <w:trHeight w:val="552" w:hRule="atLeast"/>
        </w:trPr>
        <w:tc>
          <w:tcPr>
            <w:tcW w:w="1193" w:type="dxa"/>
          </w:tcPr>
          <w:p>
            <w:pPr>
              <w:pStyle w:val="TableParagraph"/>
              <w:spacing w:line="240" w:lineRule="auto" w:before="133"/>
              <w:ind w:left="50"/>
              <w:rPr>
                <w:sz w:val="24"/>
              </w:rPr>
            </w:pPr>
            <w:r>
              <w:rPr>
                <w:spacing w:val="-5"/>
                <w:sz w:val="24"/>
              </w:rPr>
              <w:t>LOD</w:t>
            </w:r>
          </w:p>
        </w:tc>
        <w:tc>
          <w:tcPr>
            <w:tcW w:w="4822" w:type="dxa"/>
          </w:tcPr>
          <w:p>
            <w:pPr>
              <w:pStyle w:val="TableParagraph"/>
              <w:spacing w:line="240" w:lineRule="auto" w:before="133"/>
              <w:ind w:left="296"/>
              <w:rPr>
                <w:sz w:val="24"/>
              </w:rPr>
            </w:pPr>
            <w:r>
              <w:rPr>
                <w:sz w:val="24"/>
              </w:rPr>
              <w:t>Limit</w:t>
            </w:r>
            <w:r>
              <w:rPr>
                <w:spacing w:val="-4"/>
                <w:sz w:val="24"/>
              </w:rPr>
              <w:t> </w:t>
            </w:r>
            <w:r>
              <w:rPr>
                <w:sz w:val="24"/>
              </w:rPr>
              <w:t>of</w:t>
            </w:r>
            <w:r>
              <w:rPr>
                <w:spacing w:val="-1"/>
                <w:sz w:val="24"/>
              </w:rPr>
              <w:t> </w:t>
            </w:r>
            <w:r>
              <w:rPr>
                <w:spacing w:val="-2"/>
                <w:sz w:val="24"/>
              </w:rPr>
              <w:t>Detection</w:t>
            </w:r>
          </w:p>
        </w:tc>
      </w:tr>
      <w:tr>
        <w:trPr>
          <w:trHeight w:val="551" w:hRule="atLeast"/>
        </w:trPr>
        <w:tc>
          <w:tcPr>
            <w:tcW w:w="1193" w:type="dxa"/>
          </w:tcPr>
          <w:p>
            <w:pPr>
              <w:pStyle w:val="TableParagraph"/>
              <w:spacing w:line="240" w:lineRule="auto" w:before="133"/>
              <w:ind w:left="50"/>
              <w:rPr>
                <w:sz w:val="24"/>
              </w:rPr>
            </w:pPr>
            <w:r>
              <w:rPr>
                <w:spacing w:val="-5"/>
                <w:sz w:val="24"/>
              </w:rPr>
              <w:t>LOQ</w:t>
            </w:r>
          </w:p>
        </w:tc>
        <w:tc>
          <w:tcPr>
            <w:tcW w:w="4822" w:type="dxa"/>
          </w:tcPr>
          <w:p>
            <w:pPr>
              <w:pStyle w:val="TableParagraph"/>
              <w:spacing w:line="240" w:lineRule="auto" w:before="133"/>
              <w:ind w:left="296"/>
              <w:rPr>
                <w:sz w:val="24"/>
              </w:rPr>
            </w:pPr>
            <w:r>
              <w:rPr>
                <w:sz w:val="24"/>
              </w:rPr>
              <w:t>Limit</w:t>
            </w:r>
            <w:r>
              <w:rPr>
                <w:spacing w:val="-4"/>
                <w:sz w:val="24"/>
              </w:rPr>
              <w:t> </w:t>
            </w:r>
            <w:r>
              <w:rPr>
                <w:sz w:val="24"/>
              </w:rPr>
              <w:t>of</w:t>
            </w:r>
            <w:r>
              <w:rPr>
                <w:spacing w:val="-1"/>
                <w:sz w:val="24"/>
              </w:rPr>
              <w:t> </w:t>
            </w:r>
            <w:r>
              <w:rPr>
                <w:spacing w:val="-2"/>
                <w:sz w:val="24"/>
              </w:rPr>
              <w:t>Quantitation</w:t>
            </w:r>
          </w:p>
        </w:tc>
      </w:tr>
      <w:tr>
        <w:trPr>
          <w:trHeight w:val="552" w:hRule="atLeast"/>
        </w:trPr>
        <w:tc>
          <w:tcPr>
            <w:tcW w:w="1193" w:type="dxa"/>
          </w:tcPr>
          <w:p>
            <w:pPr>
              <w:pStyle w:val="TableParagraph"/>
              <w:spacing w:line="240" w:lineRule="auto" w:before="133"/>
              <w:ind w:left="50"/>
              <w:rPr>
                <w:sz w:val="24"/>
              </w:rPr>
            </w:pPr>
            <w:r>
              <w:rPr>
                <w:spacing w:val="-4"/>
                <w:sz w:val="24"/>
              </w:rPr>
              <w:t>HPLC</w:t>
            </w:r>
          </w:p>
        </w:tc>
        <w:tc>
          <w:tcPr>
            <w:tcW w:w="4822" w:type="dxa"/>
          </w:tcPr>
          <w:p>
            <w:pPr>
              <w:pStyle w:val="TableParagraph"/>
              <w:spacing w:line="240" w:lineRule="auto" w:before="133"/>
              <w:ind w:left="296"/>
              <w:rPr>
                <w:sz w:val="24"/>
              </w:rPr>
            </w:pPr>
            <w:r>
              <w:rPr>
                <w:sz w:val="24"/>
              </w:rPr>
              <w:t>High</w:t>
            </w:r>
            <w:r>
              <w:rPr>
                <w:spacing w:val="-2"/>
                <w:sz w:val="24"/>
              </w:rPr>
              <w:t> </w:t>
            </w:r>
            <w:r>
              <w:rPr>
                <w:sz w:val="24"/>
              </w:rPr>
              <w:t>Performance</w:t>
            </w:r>
            <w:r>
              <w:rPr>
                <w:spacing w:val="-1"/>
                <w:sz w:val="24"/>
              </w:rPr>
              <w:t> </w:t>
            </w:r>
            <w:r>
              <w:rPr>
                <w:sz w:val="24"/>
              </w:rPr>
              <w:t>Liquid</w:t>
            </w:r>
            <w:r>
              <w:rPr>
                <w:spacing w:val="-1"/>
                <w:sz w:val="24"/>
              </w:rPr>
              <w:t> </w:t>
            </w:r>
            <w:r>
              <w:rPr>
                <w:spacing w:val="-2"/>
                <w:sz w:val="24"/>
              </w:rPr>
              <w:t>Chromatography</w:t>
            </w:r>
          </w:p>
        </w:tc>
      </w:tr>
      <w:tr>
        <w:trPr>
          <w:trHeight w:val="408" w:hRule="atLeast"/>
        </w:trPr>
        <w:tc>
          <w:tcPr>
            <w:tcW w:w="1193" w:type="dxa"/>
          </w:tcPr>
          <w:p>
            <w:pPr>
              <w:pStyle w:val="TableParagraph"/>
              <w:spacing w:line="256" w:lineRule="exact" w:before="133"/>
              <w:ind w:left="50"/>
              <w:rPr>
                <w:sz w:val="24"/>
              </w:rPr>
            </w:pPr>
            <w:r>
              <w:rPr>
                <w:spacing w:val="-10"/>
                <w:sz w:val="24"/>
              </w:rPr>
              <w:t>F</w:t>
            </w:r>
          </w:p>
        </w:tc>
        <w:tc>
          <w:tcPr>
            <w:tcW w:w="4822" w:type="dxa"/>
          </w:tcPr>
          <w:p>
            <w:pPr>
              <w:pStyle w:val="TableParagraph"/>
              <w:spacing w:line="256" w:lineRule="exact" w:before="133"/>
              <w:ind w:left="296"/>
              <w:rPr>
                <w:sz w:val="24"/>
              </w:rPr>
            </w:pPr>
            <w:r>
              <w:rPr>
                <w:spacing w:val="-2"/>
                <w:sz w:val="24"/>
              </w:rPr>
              <w:t>Bioavailability</w:t>
            </w:r>
          </w:p>
        </w:tc>
      </w:tr>
    </w:tbl>
    <w:p>
      <w:pPr>
        <w:spacing w:after="0" w:line="256" w:lineRule="exact"/>
        <w:rPr>
          <w:sz w:val="24"/>
        </w:rPr>
        <w:sectPr>
          <w:pgSz w:w="12240" w:h="15840"/>
          <w:pgMar w:header="0" w:footer="1068" w:top="1420" w:bottom="1260" w:left="1420" w:right="440"/>
        </w:sectPr>
      </w:pPr>
    </w:p>
    <w:p>
      <w:pPr>
        <w:pStyle w:val="Heading1"/>
        <w:spacing w:before="77"/>
        <w:ind w:right="707"/>
      </w:pPr>
      <w:bookmarkStart w:name="_TOC_250076" w:id="8"/>
      <w:r>
        <w:rPr/>
        <w:t>CHAPTER</w:t>
      </w:r>
      <w:r>
        <w:rPr>
          <w:spacing w:val="-4"/>
        </w:rPr>
        <w:t> </w:t>
      </w:r>
      <w:bookmarkEnd w:id="8"/>
      <w:r>
        <w:rPr>
          <w:spacing w:val="-5"/>
        </w:rPr>
        <w:t>ONE</w:t>
      </w:r>
    </w:p>
    <w:p>
      <w:pPr>
        <w:pStyle w:val="BodyText"/>
        <w:spacing w:before="120"/>
        <w:rPr>
          <w:b/>
        </w:rPr>
      </w:pPr>
    </w:p>
    <w:p>
      <w:pPr>
        <w:pStyle w:val="Heading1"/>
        <w:numPr>
          <w:ilvl w:val="1"/>
          <w:numId w:val="12"/>
        </w:numPr>
        <w:tabs>
          <w:tab w:pos="4055" w:val="left" w:leader="none"/>
        </w:tabs>
        <w:spacing w:line="240" w:lineRule="auto" w:before="0" w:after="0"/>
        <w:ind w:left="4055" w:right="0" w:hanging="360"/>
        <w:jc w:val="left"/>
      </w:pPr>
      <w:bookmarkStart w:name="_TOC_250075" w:id="9"/>
      <w:bookmarkEnd w:id="9"/>
      <w:r>
        <w:rPr>
          <w:spacing w:val="-2"/>
        </w:rPr>
        <w:t>INTRODUCTION</w:t>
      </w:r>
    </w:p>
    <w:p>
      <w:pPr>
        <w:pStyle w:val="BodyText"/>
        <w:spacing w:before="115"/>
        <w:rPr>
          <w:b/>
        </w:rPr>
      </w:pPr>
    </w:p>
    <w:p>
      <w:pPr>
        <w:pStyle w:val="BodyText"/>
        <w:spacing w:line="480" w:lineRule="auto"/>
        <w:ind w:left="380" w:right="1262"/>
        <w:jc w:val="both"/>
      </w:pPr>
      <w:r>
        <w:rPr/>
        <w:t>Demonstration of bioequivalence using </w:t>
      </w:r>
      <w:r>
        <w:rPr>
          <w:i/>
        </w:rPr>
        <w:t>in vitro </w:t>
      </w:r>
      <w:r>
        <w:rPr/>
        <w:t>dissolution test is considered to be among the most appropriate methods of ensuring therapeutic equivalence between two or more medicinal products containing the same active pharmaceutical ingredient(s) and should be conducted for assessment of medicinal products in addition to other </w:t>
      </w:r>
      <w:r>
        <w:rPr>
          <w:i/>
        </w:rPr>
        <w:t>in vitro </w:t>
      </w:r>
      <w:r>
        <w:rPr/>
        <w:t>assessments used for quality control purposes. Such studies need to be carefully design taking into account biopharmaceutical, ethical, medical, pharmacokinetic, analytical and statistical considerations Central Drugs Standard Control Organization (CDSCO, 2005). Bioequivalence studies are conducted on generic products in place of animal studies, clinical</w:t>
      </w:r>
      <w:r>
        <w:rPr>
          <w:spacing w:val="-3"/>
        </w:rPr>
        <w:t> </w:t>
      </w:r>
      <w:r>
        <w:rPr/>
        <w:t>studies</w:t>
      </w:r>
      <w:r>
        <w:rPr>
          <w:spacing w:val="-3"/>
        </w:rPr>
        <w:t> </w:t>
      </w:r>
      <w:r>
        <w:rPr/>
        <w:t>and/</w:t>
      </w:r>
      <w:r>
        <w:rPr>
          <w:spacing w:val="-1"/>
        </w:rPr>
        <w:t> </w:t>
      </w:r>
      <w:r>
        <w:rPr/>
        <w:t>or</w:t>
      </w:r>
      <w:r>
        <w:rPr>
          <w:spacing w:val="-3"/>
        </w:rPr>
        <w:t> </w:t>
      </w:r>
      <w:r>
        <w:rPr/>
        <w:t>bioavailability</w:t>
      </w:r>
      <w:r>
        <w:rPr>
          <w:spacing w:val="-7"/>
        </w:rPr>
        <w:t> </w:t>
      </w:r>
      <w:r>
        <w:rPr/>
        <w:t>studies</w:t>
      </w:r>
      <w:r>
        <w:rPr>
          <w:spacing w:val="-1"/>
        </w:rPr>
        <w:t> </w:t>
      </w:r>
      <w:r>
        <w:rPr/>
        <w:t>(Shargel </w:t>
      </w:r>
      <w:r>
        <w:rPr>
          <w:i/>
        </w:rPr>
        <w:t>et</w:t>
      </w:r>
      <w:r>
        <w:rPr>
          <w:i/>
          <w:spacing w:val="-3"/>
        </w:rPr>
        <w:t> </w:t>
      </w:r>
      <w:r>
        <w:rPr>
          <w:i/>
        </w:rPr>
        <w:t>al.,</w:t>
      </w:r>
      <w:r>
        <w:rPr>
          <w:i/>
          <w:spacing w:val="-1"/>
        </w:rPr>
        <w:t> </w:t>
      </w:r>
      <w:r>
        <w:rPr/>
        <w:t>2007).</w:t>
      </w:r>
      <w:r>
        <w:rPr>
          <w:spacing w:val="-3"/>
        </w:rPr>
        <w:t> </w:t>
      </w:r>
      <w:r>
        <w:rPr/>
        <w:t>Throughout</w:t>
      </w:r>
      <w:r>
        <w:rPr>
          <w:spacing w:val="-3"/>
        </w:rPr>
        <w:t> </w:t>
      </w:r>
      <w:r>
        <w:rPr/>
        <w:t>the</w:t>
      </w:r>
      <w:r>
        <w:rPr>
          <w:spacing w:val="-3"/>
        </w:rPr>
        <w:t> </w:t>
      </w:r>
      <w:r>
        <w:rPr/>
        <w:t>world, more than 40 years of research have been devoted to characterizing the biopharmaceutical properties of drugs. Several guidelines have been published and all pharmacopoeias include a description of dissolution testing and today, dissolution studies are the most frequently used tools in the development, characterization, assessment of bioequivalence and utilization process of both immediate and controlled-release oral formulations (Dressmann </w:t>
      </w:r>
      <w:r>
        <w:rPr>
          <w:i/>
        </w:rPr>
        <w:t>et al</w:t>
      </w:r>
      <w:r>
        <w:rPr/>
        <w:t>., 1998). The formulation and implementation of regulations concerning bioavailability of drugs made considerable attention to correlation of </w:t>
      </w:r>
      <w:r>
        <w:rPr>
          <w:i/>
        </w:rPr>
        <w:t>in vitro </w:t>
      </w:r>
      <w:r>
        <w:rPr/>
        <w:t>dissolution rate with </w:t>
      </w:r>
      <w:r>
        <w:rPr>
          <w:i/>
        </w:rPr>
        <w:t>in vivo </w:t>
      </w:r>
      <w:r>
        <w:rPr/>
        <w:t>bioavailability </w:t>
      </w:r>
      <w:r>
        <w:rPr>
          <w:b/>
        </w:rPr>
        <w:t>(</w:t>
      </w:r>
      <w:r>
        <w:rPr/>
        <w:t>Emami, 2006). The main objective of an </w:t>
      </w:r>
      <w:r>
        <w:rPr>
          <w:i/>
        </w:rPr>
        <w:t>in vitro–in vivo </w:t>
      </w:r>
      <w:r>
        <w:rPr/>
        <w:t>correlation (IVIVC) is to serve as a surrogate for </w:t>
      </w:r>
      <w:r>
        <w:rPr>
          <w:i/>
        </w:rPr>
        <w:t>in vivo </w:t>
      </w:r>
      <w:r>
        <w:rPr/>
        <w:t>bioavailability studies. When </w:t>
      </w:r>
      <w:r>
        <w:rPr>
          <w:i/>
        </w:rPr>
        <w:t>in vitro- in vivo </w:t>
      </w:r>
      <w:r>
        <w:rPr/>
        <w:t>correlations are established on a formulation, then dissolution specifications can be used as a means of controlling the bioavailability, hence a substitute for human bioequivalence</w:t>
      </w:r>
      <w:r>
        <w:rPr>
          <w:spacing w:val="2"/>
        </w:rPr>
        <w:t> </w:t>
      </w:r>
      <w:r>
        <w:rPr/>
        <w:t>studies</w:t>
      </w:r>
      <w:r>
        <w:rPr>
          <w:spacing w:val="6"/>
        </w:rPr>
        <w:t> </w:t>
      </w:r>
      <w:r>
        <w:rPr/>
        <w:t>and</w:t>
      </w:r>
      <w:r>
        <w:rPr>
          <w:spacing w:val="3"/>
        </w:rPr>
        <w:t> </w:t>
      </w:r>
      <w:r>
        <w:rPr/>
        <w:t>support</w:t>
      </w:r>
      <w:r>
        <w:rPr>
          <w:spacing w:val="3"/>
        </w:rPr>
        <w:t> </w:t>
      </w:r>
      <w:r>
        <w:rPr/>
        <w:t>for</w:t>
      </w:r>
      <w:r>
        <w:rPr>
          <w:spacing w:val="2"/>
        </w:rPr>
        <w:t> </w:t>
      </w:r>
      <w:r>
        <w:rPr/>
        <w:t>bio</w:t>
      </w:r>
      <w:r>
        <w:rPr>
          <w:spacing w:val="4"/>
        </w:rPr>
        <w:t> </w:t>
      </w:r>
      <w:r>
        <w:rPr/>
        <w:t>waivers</w:t>
      </w:r>
      <w:r>
        <w:rPr>
          <w:spacing w:val="3"/>
        </w:rPr>
        <w:t> </w:t>
      </w:r>
      <w:r>
        <w:rPr/>
        <w:t>(Olaniyi</w:t>
      </w:r>
      <w:r>
        <w:rPr>
          <w:spacing w:val="8"/>
        </w:rPr>
        <w:t> </w:t>
      </w:r>
      <w:r>
        <w:rPr>
          <w:i/>
        </w:rPr>
        <w:t>et</w:t>
      </w:r>
      <w:r>
        <w:rPr>
          <w:i/>
          <w:spacing w:val="4"/>
        </w:rPr>
        <w:t> </w:t>
      </w:r>
      <w:r>
        <w:rPr>
          <w:i/>
        </w:rPr>
        <w:t>al</w:t>
      </w:r>
      <w:r>
        <w:rPr/>
        <w:t>.,</w:t>
      </w:r>
      <w:r>
        <w:rPr>
          <w:spacing w:val="3"/>
        </w:rPr>
        <w:t> </w:t>
      </w:r>
      <w:r>
        <w:rPr/>
        <w:t>2001).</w:t>
      </w:r>
      <w:r>
        <w:rPr>
          <w:spacing w:val="6"/>
        </w:rPr>
        <w:t> </w:t>
      </w:r>
      <w:r>
        <w:rPr/>
        <w:t>IVIVC</w:t>
      </w:r>
      <w:r>
        <w:rPr>
          <w:spacing w:val="3"/>
        </w:rPr>
        <w:t> </w:t>
      </w:r>
      <w:r>
        <w:rPr/>
        <w:t>defines</w:t>
      </w:r>
      <w:r>
        <w:rPr>
          <w:spacing w:val="4"/>
        </w:rPr>
        <w:t> </w:t>
      </w:r>
      <w:r>
        <w:rPr>
          <w:spacing w:val="-10"/>
        </w:rPr>
        <w:t>a</w:t>
      </w:r>
    </w:p>
    <w:p>
      <w:pPr>
        <w:spacing w:after="0" w:line="480" w:lineRule="auto"/>
        <w:jc w:val="both"/>
        <w:sectPr>
          <w:footerReference w:type="default" r:id="rId6"/>
          <w:pgSz w:w="12240" w:h="15840"/>
          <w:pgMar w:header="0" w:footer="1068" w:top="1540" w:bottom="1260" w:left="1420" w:right="440"/>
          <w:pgNumType w:start="1"/>
        </w:sectPr>
      </w:pPr>
    </w:p>
    <w:p>
      <w:pPr>
        <w:pStyle w:val="BodyText"/>
        <w:spacing w:line="480" w:lineRule="auto" w:before="72"/>
        <w:ind w:left="380" w:right="1262"/>
        <w:jc w:val="both"/>
      </w:pPr>
      <w:r>
        <w:rPr/>
        <w:t>direct relationship between </w:t>
      </w:r>
      <w:r>
        <w:rPr>
          <w:i/>
        </w:rPr>
        <w:t>in-vivo </w:t>
      </w:r>
      <w:r>
        <w:rPr/>
        <w:t>and </w:t>
      </w:r>
      <w:r>
        <w:rPr>
          <w:i/>
        </w:rPr>
        <w:t>in-vitro </w:t>
      </w:r>
      <w:r>
        <w:rPr/>
        <w:t>data such that measurement of an </w:t>
      </w:r>
      <w:r>
        <w:rPr>
          <w:i/>
        </w:rPr>
        <w:t>in-vitro </w:t>
      </w:r>
      <w:r>
        <w:rPr/>
        <w:t>dissolution rate alone is sufficient to determine the biopharmaceutical rate of the dosage form (Cardot </w:t>
      </w:r>
      <w:r>
        <w:rPr>
          <w:i/>
        </w:rPr>
        <w:t>et al</w:t>
      </w:r>
      <w:r>
        <w:rPr/>
        <w:t>., 2007). IVIVC studies could be employed to establish dissolution specifications, support and validate the use of dissolution methods. This</w:t>
      </w:r>
      <w:r>
        <w:rPr>
          <w:spacing w:val="-2"/>
        </w:rPr>
        <w:t> </w:t>
      </w:r>
      <w:r>
        <w:rPr/>
        <w:t>is</w:t>
      </w:r>
      <w:r>
        <w:rPr>
          <w:spacing w:val="-2"/>
        </w:rPr>
        <w:t> </w:t>
      </w:r>
      <w:r>
        <w:rPr/>
        <w:t>because the IVIVC includes </w:t>
      </w:r>
      <w:r>
        <w:rPr>
          <w:i/>
        </w:rPr>
        <w:t>in vivo </w:t>
      </w:r>
      <w:r>
        <w:rPr/>
        <w:t>relevance to the </w:t>
      </w:r>
      <w:r>
        <w:rPr>
          <w:i/>
        </w:rPr>
        <w:t>in vitro </w:t>
      </w:r>
      <w:r>
        <w:rPr/>
        <w:t>dissolution specifications (Akanni </w:t>
      </w:r>
      <w:r>
        <w:rPr>
          <w:i/>
        </w:rPr>
        <w:t>et al., </w:t>
      </w:r>
      <w:r>
        <w:rPr/>
        <w:t>2000). IVIVC studies can also be used for quality control in the development of new pharmaceuticals, to reduce the number of human studies during formulation development. United States pharmacopoeia defines IVIVC as the establishment of a relationship</w:t>
      </w:r>
      <w:r>
        <w:rPr>
          <w:spacing w:val="40"/>
        </w:rPr>
        <w:t> </w:t>
      </w:r>
      <w:r>
        <w:rPr/>
        <w:t>between a biological property or a parameter derived from a biological property produced by dosage form and the physicochemical property of the same dosage form. Typically the parameter derived from the biological property is AUC or C max while the physicochemical property is the </w:t>
      </w:r>
      <w:r>
        <w:rPr>
          <w:i/>
        </w:rPr>
        <w:t>in-vitro </w:t>
      </w:r>
      <w:r>
        <w:rPr/>
        <w:t>dissolution profile as a surrogate for human studies</w:t>
      </w:r>
      <w:r>
        <w:rPr>
          <w:spacing w:val="-3"/>
        </w:rPr>
        <w:t> </w:t>
      </w:r>
      <w:r>
        <w:rPr/>
        <w:t>(Leeson </w:t>
      </w:r>
      <w:r>
        <w:rPr>
          <w:i/>
        </w:rPr>
        <w:t>et</w:t>
      </w:r>
      <w:r>
        <w:rPr>
          <w:i/>
          <w:spacing w:val="-3"/>
        </w:rPr>
        <w:t> </w:t>
      </w:r>
      <w:r>
        <w:rPr>
          <w:i/>
        </w:rPr>
        <w:t>al</w:t>
      </w:r>
      <w:r>
        <w:rPr/>
        <w:t>.,</w:t>
      </w:r>
      <w:r>
        <w:rPr>
          <w:spacing w:val="-3"/>
        </w:rPr>
        <w:t> </w:t>
      </w:r>
      <w:r>
        <w:rPr/>
        <w:t>1995).</w:t>
      </w:r>
      <w:r>
        <w:rPr>
          <w:spacing w:val="-3"/>
        </w:rPr>
        <w:t> </w:t>
      </w:r>
      <w:r>
        <w:rPr/>
        <w:t>From</w:t>
      </w:r>
      <w:r>
        <w:rPr>
          <w:spacing w:val="-3"/>
        </w:rPr>
        <w:t> </w:t>
      </w:r>
      <w:r>
        <w:rPr/>
        <w:t>biopharmaceutical</w:t>
      </w:r>
      <w:r>
        <w:rPr>
          <w:spacing w:val="-3"/>
        </w:rPr>
        <w:t> </w:t>
      </w:r>
      <w:r>
        <w:rPr/>
        <w:t>point</w:t>
      </w:r>
      <w:r>
        <w:rPr>
          <w:spacing w:val="-3"/>
        </w:rPr>
        <w:t> </w:t>
      </w:r>
      <w:r>
        <w:rPr/>
        <w:t>of</w:t>
      </w:r>
      <w:r>
        <w:rPr>
          <w:spacing w:val="-3"/>
        </w:rPr>
        <w:t> </w:t>
      </w:r>
      <w:r>
        <w:rPr/>
        <w:t>view, IVIVC</w:t>
      </w:r>
      <w:r>
        <w:rPr>
          <w:spacing w:val="-2"/>
        </w:rPr>
        <w:t> </w:t>
      </w:r>
      <w:r>
        <w:rPr/>
        <w:t>is</w:t>
      </w:r>
      <w:r>
        <w:rPr>
          <w:spacing w:val="-3"/>
        </w:rPr>
        <w:t> </w:t>
      </w:r>
      <w:r>
        <w:rPr/>
        <w:t>a</w:t>
      </w:r>
      <w:r>
        <w:rPr>
          <w:spacing w:val="-3"/>
        </w:rPr>
        <w:t> </w:t>
      </w:r>
      <w:r>
        <w:rPr/>
        <w:t>predictive mathematical treatment describing the relationship between an </w:t>
      </w:r>
      <w:r>
        <w:rPr>
          <w:i/>
        </w:rPr>
        <w:t>in vitro </w:t>
      </w:r>
      <w:r>
        <w:rPr/>
        <w:t>property of a dosage form (usually the rate or extent of drug release) and a relevant </w:t>
      </w:r>
      <w:r>
        <w:rPr>
          <w:i/>
        </w:rPr>
        <w:t>in vivo </w:t>
      </w:r>
      <w:r>
        <w:rPr/>
        <w:t>response</w:t>
      </w:r>
      <w:r>
        <w:rPr>
          <w:spacing w:val="40"/>
        </w:rPr>
        <w:t> </w:t>
      </w:r>
      <w:r>
        <w:rPr/>
        <w:t>(e.g. plasma or urine drug concentrations or amount of drug absorbed). Dissolution rate is</w:t>
      </w:r>
      <w:r>
        <w:rPr>
          <w:spacing w:val="40"/>
        </w:rPr>
        <w:t> </w:t>
      </w:r>
      <w:r>
        <w:rPr/>
        <w:t>a critical parameter of pharmaceutical dosage forms because the active pharmaceutical ingredient needs to be dissolved before it can be absorbed. </w:t>
      </w:r>
      <w:r>
        <w:rPr>
          <w:i/>
        </w:rPr>
        <w:t>In vitro </w:t>
      </w:r>
      <w:r>
        <w:rPr/>
        <w:t>dissolution testing is important to screen formulations during development, ensure batch-to-batch quality control during production for evaluating candidate formulations and for understanding the possible risks related to specific gastrointestinal factors such as potential for dose</w:t>
      </w:r>
      <w:r>
        <w:rPr>
          <w:spacing w:val="40"/>
        </w:rPr>
        <w:t> </w:t>
      </w:r>
      <w:r>
        <w:rPr/>
        <w:t>dumping, effects of food on bioavailability and interaction with excipients (Dressmann </w:t>
      </w:r>
      <w:r>
        <w:rPr>
          <w:i/>
        </w:rPr>
        <w:t>et al</w:t>
      </w:r>
      <w:r>
        <w:rPr/>
        <w:t>., 1998).</w:t>
      </w:r>
    </w:p>
    <w:p>
      <w:pPr>
        <w:spacing w:after="0" w:line="480" w:lineRule="auto"/>
        <w:jc w:val="both"/>
        <w:sectPr>
          <w:pgSz w:w="12240" w:h="15840"/>
          <w:pgMar w:header="0" w:footer="1068" w:top="1540" w:bottom="1260" w:left="1420" w:right="440"/>
        </w:sectPr>
      </w:pPr>
    </w:p>
    <w:p>
      <w:pPr>
        <w:pStyle w:val="BodyText"/>
        <w:spacing w:line="480" w:lineRule="auto" w:before="72"/>
        <w:ind w:left="380" w:right="1085"/>
        <w:jc w:val="both"/>
      </w:pPr>
      <w:r>
        <w:rPr/>
        <w:t>Moreover, simulated dissolution method can be employed to correlate the bioequivalence of tabulated drugs. It is essentially the numerical integration of a set of differential equations that coordinate well-characterized physical actions which occur during dissolution,</w:t>
      </w:r>
      <w:r>
        <w:rPr>
          <w:spacing w:val="40"/>
        </w:rPr>
        <w:t> </w:t>
      </w:r>
      <w:r>
        <w:rPr/>
        <w:t>including but not limited to changes in particle size distributions for both active and excipient ingredients, as well as changes in the microclimate (surface) and medium bulk pH as</w:t>
      </w:r>
      <w:r>
        <w:rPr>
          <w:spacing w:val="-4"/>
        </w:rPr>
        <w:t> </w:t>
      </w:r>
      <w:r>
        <w:rPr/>
        <w:t>formulation</w:t>
      </w:r>
      <w:r>
        <w:rPr>
          <w:spacing w:val="-4"/>
        </w:rPr>
        <w:t> </w:t>
      </w:r>
      <w:r>
        <w:rPr/>
        <w:t>constituents</w:t>
      </w:r>
      <w:r>
        <w:rPr>
          <w:spacing w:val="-4"/>
        </w:rPr>
        <w:t> </w:t>
      </w:r>
      <w:r>
        <w:rPr/>
        <w:t>dissolve.</w:t>
      </w:r>
      <w:r>
        <w:rPr>
          <w:spacing w:val="-2"/>
        </w:rPr>
        <w:t> </w:t>
      </w:r>
      <w:r>
        <w:rPr/>
        <w:t>Similarly,</w:t>
      </w:r>
      <w:r>
        <w:rPr>
          <w:spacing w:val="-4"/>
        </w:rPr>
        <w:t> </w:t>
      </w:r>
      <w:r>
        <w:rPr/>
        <w:t>it</w:t>
      </w:r>
      <w:r>
        <w:rPr>
          <w:spacing w:val="-2"/>
        </w:rPr>
        <w:t> </w:t>
      </w:r>
      <w:r>
        <w:rPr/>
        <w:t>track</w:t>
      </w:r>
      <w:r>
        <w:rPr>
          <w:spacing w:val="-2"/>
        </w:rPr>
        <w:t> </w:t>
      </w:r>
      <w:r>
        <w:rPr/>
        <w:t>changes</w:t>
      </w:r>
      <w:r>
        <w:rPr>
          <w:spacing w:val="-2"/>
        </w:rPr>
        <w:t> </w:t>
      </w:r>
      <w:r>
        <w:rPr/>
        <w:t>in</w:t>
      </w:r>
      <w:r>
        <w:rPr>
          <w:spacing w:val="-3"/>
        </w:rPr>
        <w:t> </w:t>
      </w:r>
      <w:r>
        <w:rPr/>
        <w:t>the</w:t>
      </w:r>
      <w:r>
        <w:rPr>
          <w:spacing w:val="-4"/>
        </w:rPr>
        <w:t> </w:t>
      </w:r>
      <w:r>
        <w:rPr/>
        <w:t>microclimate</w:t>
      </w:r>
      <w:r>
        <w:rPr>
          <w:spacing w:val="-4"/>
        </w:rPr>
        <w:t> </w:t>
      </w:r>
      <w:r>
        <w:rPr/>
        <w:t>and</w:t>
      </w:r>
      <w:r>
        <w:rPr>
          <w:spacing w:val="-4"/>
        </w:rPr>
        <w:t> </w:t>
      </w:r>
      <w:r>
        <w:rPr/>
        <w:t>bulk pH levels against time in addition to many experimental 'phases' as one may like to mimic the </w:t>
      </w:r>
      <w:r>
        <w:rPr>
          <w:i/>
        </w:rPr>
        <w:t>in vivo </w:t>
      </w:r>
      <w:r>
        <w:rPr/>
        <w:t>environment which can be helpful when trying to design an </w:t>
      </w:r>
      <w:r>
        <w:rPr>
          <w:i/>
        </w:rPr>
        <w:t>in vitro </w:t>
      </w:r>
      <w:r>
        <w:rPr/>
        <w:t>dissolution method to achieve a meaningful </w:t>
      </w:r>
      <w:hyperlink r:id="rId7">
        <w:r>
          <w:rPr/>
          <w:t>IVIVC</w:t>
        </w:r>
      </w:hyperlink>
      <w:r>
        <w:rPr/>
        <w:t> (Dakkuri and Shah, 1982).</w:t>
      </w:r>
      <w:r>
        <w:rPr>
          <w:spacing w:val="40"/>
        </w:rPr>
        <w:t> </w:t>
      </w:r>
      <w:r>
        <w:rPr/>
        <w:t>Single Simulation is conducted based on the properties of</w:t>
      </w:r>
      <w:r>
        <w:rPr>
          <w:spacing w:val="-1"/>
        </w:rPr>
        <w:t> </w:t>
      </w:r>
      <w:r>
        <w:rPr/>
        <w:t>the compound (whether</w:t>
      </w:r>
      <w:r>
        <w:rPr>
          <w:spacing w:val="-1"/>
        </w:rPr>
        <w:t> </w:t>
      </w:r>
      <w:r>
        <w:rPr/>
        <w:t>measured or</w:t>
      </w:r>
      <w:r>
        <w:rPr>
          <w:spacing w:val="-1"/>
        </w:rPr>
        <w:t> </w:t>
      </w:r>
      <w:r>
        <w:rPr/>
        <w:t>predicted through the ADMET Predictor Model formulation information). Simulated </w:t>
      </w:r>
      <w:r>
        <w:rPr>
          <w:i/>
        </w:rPr>
        <w:t>in vitro </w:t>
      </w:r>
      <w:r>
        <w:rPr/>
        <w:t>dissolution setup could easily run to predict the time course changes in amount (or percent) dissolved for any ingredient in the product. IVIVC is now recommended by various regulatory bodies applicable mostly to drug dosage forms for oral routes and sustained release products. It is also a useful tool for drug dosage form development, because a successful correlation can assist in the selection of drug formulation with appropriate and acceptable dissolution criteria depending on its predictiveness, it can serve as a forecast or surrogate for further bioequivalence studies (Pernarowski, 2005).</w:t>
      </w:r>
    </w:p>
    <w:p>
      <w:pPr>
        <w:pStyle w:val="Heading2"/>
        <w:numPr>
          <w:ilvl w:val="1"/>
          <w:numId w:val="12"/>
        </w:numPr>
        <w:tabs>
          <w:tab w:pos="4153" w:val="left" w:leader="none"/>
        </w:tabs>
        <w:spacing w:line="240" w:lineRule="auto" w:before="7" w:after="0"/>
        <w:ind w:left="4153" w:right="0" w:hanging="360"/>
        <w:jc w:val="both"/>
      </w:pPr>
      <w:bookmarkStart w:name="_TOC_250074" w:id="10"/>
      <w:bookmarkEnd w:id="10"/>
      <w:r>
        <w:rPr>
          <w:spacing w:val="-2"/>
        </w:rPr>
        <w:t>Bioequivalence</w:t>
      </w:r>
    </w:p>
    <w:p>
      <w:pPr>
        <w:pStyle w:val="BodyText"/>
        <w:spacing w:before="235"/>
        <w:rPr>
          <w:b/>
        </w:rPr>
      </w:pPr>
    </w:p>
    <w:p>
      <w:pPr>
        <w:pStyle w:val="BodyText"/>
        <w:spacing w:line="480" w:lineRule="auto" w:before="1"/>
        <w:ind w:left="380" w:right="908"/>
        <w:jc w:val="both"/>
      </w:pPr>
      <w:r>
        <w:rPr/>
        <w:t>In the past, dosage forms of a drug from different manufacturers and even different lots of preparations from a single manufacturer sometimes differed in their bioavailability. Such differences were seen primarily among oral dosage forms of poorly soluble, slowly absorbed drugs</w:t>
      </w:r>
      <w:r>
        <w:rPr>
          <w:spacing w:val="26"/>
        </w:rPr>
        <w:t>  </w:t>
      </w:r>
      <w:r>
        <w:rPr/>
        <w:t>such</w:t>
      </w:r>
      <w:r>
        <w:rPr>
          <w:spacing w:val="27"/>
        </w:rPr>
        <w:t>  </w:t>
      </w:r>
      <w:r>
        <w:rPr/>
        <w:t>as</w:t>
      </w:r>
      <w:r>
        <w:rPr>
          <w:spacing w:val="26"/>
        </w:rPr>
        <w:t>  </w:t>
      </w:r>
      <w:r>
        <w:rPr/>
        <w:t>metronidazole</w:t>
      </w:r>
      <w:r>
        <w:rPr>
          <w:spacing w:val="26"/>
        </w:rPr>
        <w:t>  </w:t>
      </w:r>
      <w:r>
        <w:rPr/>
        <w:t>(FLAGYL</w:t>
      </w:r>
      <w:r>
        <w:rPr>
          <w:vertAlign w:val="superscript"/>
        </w:rPr>
        <w:t>®</w:t>
      </w:r>
      <w:r>
        <w:rPr>
          <w:vertAlign w:val="baseline"/>
        </w:rPr>
        <w:t>;</w:t>
      </w:r>
      <w:r>
        <w:rPr>
          <w:spacing w:val="26"/>
          <w:vertAlign w:val="baseline"/>
        </w:rPr>
        <w:t>  </w:t>
      </w:r>
      <w:r>
        <w:rPr>
          <w:vertAlign w:val="baseline"/>
        </w:rPr>
        <w:t>a</w:t>
      </w:r>
      <w:r>
        <w:rPr>
          <w:spacing w:val="27"/>
          <w:vertAlign w:val="baseline"/>
        </w:rPr>
        <w:t>  </w:t>
      </w:r>
      <w:r>
        <w:rPr>
          <w:vertAlign w:val="baseline"/>
        </w:rPr>
        <w:t>5-nitroimidazole</w:t>
      </w:r>
      <w:r>
        <w:rPr>
          <w:spacing w:val="25"/>
          <w:vertAlign w:val="baseline"/>
        </w:rPr>
        <w:t>  </w:t>
      </w:r>
      <w:r>
        <w:rPr>
          <w:vertAlign w:val="baseline"/>
        </w:rPr>
        <w:t>derivative).</w:t>
      </w:r>
      <w:r>
        <w:rPr>
          <w:spacing w:val="26"/>
          <w:vertAlign w:val="baseline"/>
        </w:rPr>
        <w:t>  </w:t>
      </w:r>
      <w:r>
        <w:rPr>
          <w:vertAlign w:val="baseline"/>
        </w:rPr>
        <w:t>When</w:t>
      </w:r>
      <w:r>
        <w:rPr>
          <w:spacing w:val="27"/>
          <w:vertAlign w:val="baseline"/>
        </w:rPr>
        <w:t>  </w:t>
      </w:r>
      <w:r>
        <w:rPr>
          <w:spacing w:val="-2"/>
          <w:vertAlign w:val="baseline"/>
        </w:rPr>
        <w:t>first</w:t>
      </w:r>
    </w:p>
    <w:p>
      <w:pPr>
        <w:spacing w:after="0" w:line="480" w:lineRule="auto"/>
        <w:jc w:val="both"/>
        <w:sectPr>
          <w:pgSz w:w="12240" w:h="15840"/>
          <w:pgMar w:header="0" w:footer="1068" w:top="1540" w:bottom="1260" w:left="1420" w:right="440"/>
        </w:sectPr>
      </w:pPr>
    </w:p>
    <w:p>
      <w:pPr>
        <w:pStyle w:val="BodyText"/>
        <w:spacing w:line="480" w:lineRule="auto" w:before="72"/>
        <w:ind w:left="380" w:right="905"/>
        <w:jc w:val="both"/>
      </w:pPr>
      <w:r>
        <w:rPr/>
        <w:t>introduced, the generic form was not bioequivalent because the generic manufacturer was not able to mimic the proprietary process used to micro size the drug for absorption initially. Bioequivalence is a term in pharmacokinetics use to assess the expected </w:t>
      </w:r>
      <w:r>
        <w:rPr>
          <w:i/>
        </w:rPr>
        <w:t>in vivo </w:t>
      </w:r>
      <w:r>
        <w:rPr/>
        <w:t>biological equivalence of two proprietary preparations of a drug. If two or more products are said to be bioequivalent it means that they would be expected to be, for all intents and purposes, the same. Birkett (2003) defined bioequivalence by stating that, "two or more pharmaceutical products are bioequivalent if they are pharmaceutically equivalent and their bioavailabilities after administration in the same molar dose are similar to such a degree that their effects, with respect to both efficacy</w:t>
      </w:r>
      <w:r>
        <w:rPr>
          <w:spacing w:val="-3"/>
        </w:rPr>
        <w:t> </w:t>
      </w:r>
      <w:r>
        <w:rPr/>
        <w:t>and safety, can be</w:t>
      </w:r>
      <w:r>
        <w:rPr>
          <w:spacing w:val="-1"/>
        </w:rPr>
        <w:t> </w:t>
      </w:r>
      <w:r>
        <w:rPr/>
        <w:t>expected to be</w:t>
      </w:r>
      <w:r>
        <w:rPr>
          <w:spacing w:val="-1"/>
        </w:rPr>
        <w:t> </w:t>
      </w:r>
      <w:r>
        <w:rPr/>
        <w:t>essentially</w:t>
      </w:r>
      <w:r>
        <w:rPr>
          <w:spacing w:val="-5"/>
        </w:rPr>
        <w:t> </w:t>
      </w:r>
      <w:r>
        <w:rPr/>
        <w:t>the same.</w:t>
      </w:r>
      <w:r>
        <w:rPr>
          <w:spacing w:val="-1"/>
        </w:rPr>
        <w:t> </w:t>
      </w:r>
      <w:r>
        <w:rPr/>
        <w:t>Pharmaceutical equivalence implies the same amount of the same active substance(s), in the same dosage form, for the same route of administration and meeting the same or comparable standards (FDA, 2011). Drug products are considered to be pharmaceutical equivalents if they contain the same active ingredients and are identical in strength or concentration, dosage form, and route of administration. Two pharmaceutically equivalent drug products are considered to be bioequivalent when the rates and extents of bioavailability of the active ingredient in the two products are not significantly different under suitable test conditions (Holford, 2003).</w:t>
      </w:r>
    </w:p>
    <w:p>
      <w:pPr>
        <w:pStyle w:val="BodyText"/>
        <w:spacing w:line="480" w:lineRule="auto" w:before="2"/>
        <w:ind w:left="380" w:right="905"/>
        <w:jc w:val="both"/>
      </w:pPr>
      <w:r>
        <w:rPr/>
        <w:t>The United States Food and Drug Administration (FDA, 2003) has also defined bioequivalence as, "the absence of a significant difference in the rate and extent to which the active ingredient or active moiety in pharmaceutical equivalents or pharmaceutical</w:t>
      </w:r>
      <w:r>
        <w:rPr>
          <w:spacing w:val="40"/>
        </w:rPr>
        <w:t> </w:t>
      </w:r>
      <w:r>
        <w:rPr/>
        <w:t>alternatives becomes available at the site of drug action when administered at the same molar dose under similar conditions in an appropriately designed study. Bioequivalence studies are conducted for the comparison of medicinal products containing same active substance. The studies</w:t>
      </w:r>
      <w:r>
        <w:rPr>
          <w:spacing w:val="70"/>
        </w:rPr>
        <w:t> </w:t>
      </w:r>
      <w:r>
        <w:rPr/>
        <w:t>should</w:t>
      </w:r>
      <w:r>
        <w:rPr>
          <w:spacing w:val="71"/>
        </w:rPr>
        <w:t> </w:t>
      </w:r>
      <w:r>
        <w:rPr/>
        <w:t>be</w:t>
      </w:r>
      <w:r>
        <w:rPr>
          <w:spacing w:val="70"/>
        </w:rPr>
        <w:t> </w:t>
      </w:r>
      <w:r>
        <w:rPr/>
        <w:t>aimed</w:t>
      </w:r>
      <w:r>
        <w:rPr>
          <w:spacing w:val="72"/>
        </w:rPr>
        <w:t> </w:t>
      </w:r>
      <w:r>
        <w:rPr/>
        <w:t>at</w:t>
      </w:r>
      <w:r>
        <w:rPr>
          <w:spacing w:val="75"/>
        </w:rPr>
        <w:t> </w:t>
      </w:r>
      <w:r>
        <w:rPr/>
        <w:t>critically</w:t>
      </w:r>
      <w:r>
        <w:rPr>
          <w:spacing w:val="66"/>
        </w:rPr>
        <w:t> </w:t>
      </w:r>
      <w:r>
        <w:rPr/>
        <w:t>assessing</w:t>
      </w:r>
      <w:r>
        <w:rPr>
          <w:spacing w:val="73"/>
        </w:rPr>
        <w:t> </w:t>
      </w:r>
      <w:r>
        <w:rPr/>
        <w:t>the</w:t>
      </w:r>
      <w:r>
        <w:rPr>
          <w:spacing w:val="71"/>
        </w:rPr>
        <w:t> </w:t>
      </w:r>
      <w:r>
        <w:rPr/>
        <w:t>possibility</w:t>
      </w:r>
      <w:r>
        <w:rPr>
          <w:spacing w:val="64"/>
        </w:rPr>
        <w:t> </w:t>
      </w:r>
      <w:r>
        <w:rPr/>
        <w:t>of</w:t>
      </w:r>
      <w:r>
        <w:rPr>
          <w:spacing w:val="72"/>
        </w:rPr>
        <w:t> </w:t>
      </w:r>
      <w:r>
        <w:rPr/>
        <w:t>alternate</w:t>
      </w:r>
      <w:r>
        <w:rPr>
          <w:spacing w:val="71"/>
        </w:rPr>
        <w:t> </w:t>
      </w:r>
      <w:r>
        <w:rPr/>
        <w:t>use</w:t>
      </w:r>
      <w:r>
        <w:rPr>
          <w:spacing w:val="71"/>
        </w:rPr>
        <w:t> </w:t>
      </w:r>
      <w:r>
        <w:rPr/>
        <w:t>of</w:t>
      </w:r>
      <w:r>
        <w:rPr>
          <w:spacing w:val="72"/>
        </w:rPr>
        <w:t> </w:t>
      </w:r>
      <w:r>
        <w:rPr>
          <w:spacing w:val="-2"/>
        </w:rPr>
        <w:t>these</w:t>
      </w:r>
    </w:p>
    <w:p>
      <w:pPr>
        <w:spacing w:after="0" w:line="480" w:lineRule="auto"/>
        <w:jc w:val="both"/>
        <w:sectPr>
          <w:pgSz w:w="12240" w:h="15840"/>
          <w:pgMar w:header="0" w:footer="1068" w:top="1540" w:bottom="1260" w:left="1420" w:right="440"/>
        </w:sectPr>
      </w:pPr>
    </w:p>
    <w:p>
      <w:pPr>
        <w:pStyle w:val="BodyText"/>
        <w:spacing w:line="480" w:lineRule="auto" w:before="72"/>
        <w:ind w:left="380" w:right="902"/>
        <w:jc w:val="both"/>
      </w:pPr>
      <w:r>
        <w:rPr/>
        <w:t>products. Bioequivalence is actually the comparison of the bioavailability of two drug products. The European Committee for Proprietary Medicinal Products (CPMP) guidance on bioavailability and bioequivalence confers the concept of therapeutic equivalence as: ―A medicinal product is therapeutically equivalent with another product if it contains the same active substance or therapeutic moiety and, clinically, shows the same efficacy and safety as that product, whose efficacy and safety has been established.</w:t>
      </w:r>
      <w:r>
        <w:rPr>
          <w:spacing w:val="40"/>
        </w:rPr>
        <w:t> </w:t>
      </w:r>
      <w:r>
        <w:rPr/>
        <w:t>However, in determining bioequivalence, for example, between two or more products such as a commercially available brand products and a potential to be marketed generic product, pharmacokinetic studies are conducted whereby each of the preparations are administered in a cross-over study to volunteer subjects,</w:t>
      </w:r>
      <w:r>
        <w:rPr>
          <w:spacing w:val="40"/>
        </w:rPr>
        <w:t> </w:t>
      </w:r>
      <w:r>
        <w:rPr/>
        <w:t>generally healthy individuals but occasionally in patients. Serum/plasma samples are obtained at regular intervals and assayed for parent drug (or occasionally metabolite) concentration. Occasionally, blood concentration levels are neither feasible nor possible to compare the products (e.g. inhaled corticosteroids), then pharmacodynamic end points rather than pharmacokinetic endpoints are used for comparison. For a pharmacokinetic comparison, the plasma concentration data are used to assess key</w:t>
      </w:r>
      <w:r>
        <w:rPr>
          <w:spacing w:val="-4"/>
        </w:rPr>
        <w:t> </w:t>
      </w:r>
      <w:r>
        <w:rPr/>
        <w:t>pharmacokinetic parameters such</w:t>
      </w:r>
      <w:r>
        <w:rPr>
          <w:spacing w:val="-1"/>
        </w:rPr>
        <w:t> </w:t>
      </w:r>
      <w:r>
        <w:rPr/>
        <w:t>as area</w:t>
      </w:r>
      <w:r>
        <w:rPr>
          <w:spacing w:val="-1"/>
        </w:rPr>
        <w:t> </w:t>
      </w:r>
      <w:r>
        <w:rPr/>
        <w:t>under</w:t>
      </w:r>
      <w:r>
        <w:rPr>
          <w:spacing w:val="-1"/>
        </w:rPr>
        <w:t> </w:t>
      </w:r>
      <w:r>
        <w:rPr/>
        <w:t>the curve</w:t>
      </w:r>
      <w:r>
        <w:rPr>
          <w:spacing w:val="-2"/>
        </w:rPr>
        <w:t> </w:t>
      </w:r>
      <w:r>
        <w:rPr/>
        <w:t>(AUC),</w:t>
      </w:r>
      <w:r>
        <w:rPr>
          <w:spacing w:val="-1"/>
        </w:rPr>
        <w:t> </w:t>
      </w:r>
      <w:r>
        <w:rPr/>
        <w:t>peak concentration (C </w:t>
      </w:r>
      <w:r>
        <w:rPr>
          <w:vertAlign w:val="subscript"/>
        </w:rPr>
        <w:t>max</w:t>
      </w:r>
      <w:r>
        <w:rPr>
          <w:vertAlign w:val="baseline"/>
        </w:rPr>
        <w:t>),</w:t>
      </w:r>
      <w:r>
        <w:rPr>
          <w:spacing w:val="-1"/>
          <w:vertAlign w:val="baseline"/>
        </w:rPr>
        <w:t> </w:t>
      </w:r>
      <w:r>
        <w:rPr>
          <w:vertAlign w:val="baseline"/>
        </w:rPr>
        <w:t>time</w:t>
      </w:r>
      <w:r>
        <w:rPr>
          <w:spacing w:val="-1"/>
          <w:vertAlign w:val="baseline"/>
        </w:rPr>
        <w:t> </w:t>
      </w:r>
      <w:r>
        <w:rPr>
          <w:vertAlign w:val="baseline"/>
        </w:rPr>
        <w:t>to peak concentration (T </w:t>
      </w:r>
      <w:r>
        <w:rPr>
          <w:vertAlign w:val="subscript"/>
        </w:rPr>
        <w:t>max</w:t>
      </w:r>
      <w:r>
        <w:rPr>
          <w:vertAlign w:val="baseline"/>
        </w:rPr>
        <w:t>), and absorption lag time (t </w:t>
      </w:r>
      <w:r>
        <w:rPr>
          <w:vertAlign w:val="subscript"/>
        </w:rPr>
        <w:t>lag</w:t>
      </w:r>
      <w:r>
        <w:rPr>
          <w:vertAlign w:val="baseline"/>
        </w:rPr>
        <w:t>). Testing should be conducted at several different doses, especially when the drug displays non-linear pharmacokinetics. (Larry, 2008) In addition to data from bioequivalence studies, other data may need to be submitted to meet regulatory requirements for bioequivalence.</w:t>
      </w:r>
    </w:p>
    <w:p>
      <w:pPr>
        <w:pStyle w:val="BodyText"/>
        <w:spacing w:line="480" w:lineRule="auto" w:before="3"/>
        <w:ind w:left="380" w:right="902"/>
        <w:jc w:val="both"/>
      </w:pPr>
      <w:r>
        <w:rPr/>
        <w:t>Such evidence may include analytical method validation and IVIVC studies </w:t>
      </w:r>
      <w:r>
        <w:rPr>
          <w:b/>
        </w:rPr>
        <w:t>(</w:t>
      </w:r>
      <w:r>
        <w:rPr/>
        <w:t>Amidon </w:t>
      </w:r>
      <w:r>
        <w:rPr>
          <w:i/>
        </w:rPr>
        <w:t>et al</w:t>
      </w:r>
      <w:r>
        <w:rPr/>
        <w:t>., </w:t>
      </w:r>
      <w:r>
        <w:rPr>
          <w:spacing w:val="-2"/>
        </w:rPr>
        <w:t>1995).</w:t>
      </w:r>
    </w:p>
    <w:p>
      <w:pPr>
        <w:spacing w:after="0" w:line="480" w:lineRule="auto"/>
        <w:jc w:val="both"/>
        <w:sectPr>
          <w:pgSz w:w="12240" w:h="15840"/>
          <w:pgMar w:header="0" w:footer="1068" w:top="1540" w:bottom="1260" w:left="1420" w:right="440"/>
        </w:sectPr>
      </w:pPr>
    </w:p>
    <w:p>
      <w:pPr>
        <w:pStyle w:val="Heading2"/>
        <w:numPr>
          <w:ilvl w:val="1"/>
          <w:numId w:val="12"/>
        </w:numPr>
        <w:tabs>
          <w:tab w:pos="4065" w:val="left" w:leader="none"/>
        </w:tabs>
        <w:spacing w:line="240" w:lineRule="auto" w:before="77" w:after="0"/>
        <w:ind w:left="4065" w:right="0" w:hanging="480"/>
        <w:jc w:val="both"/>
      </w:pPr>
      <w:bookmarkStart w:name="_TOC_250073" w:id="11"/>
      <w:bookmarkEnd w:id="11"/>
      <w:r>
        <w:rPr>
          <w:spacing w:val="-2"/>
        </w:rPr>
        <w:t>Pharmacokinetics</w:t>
      </w:r>
    </w:p>
    <w:p>
      <w:pPr>
        <w:pStyle w:val="BodyText"/>
        <w:spacing w:line="480" w:lineRule="auto" w:before="271"/>
        <w:ind w:left="380" w:right="1088"/>
        <w:jc w:val="both"/>
      </w:pPr>
      <w:r>
        <w:rPr/>
        <w:t>Pharmacokinetic describes the time course of a drug in the body, encompassing absorption, distribution, metabolism, and excretion (also known as ADME). Simply put, it describes what the body does to the drug (Timothy, 2006). The biological, physiological, and physicochemical factors, which influence the transfer processes of drugs in the body, also influence the rate and extent of ADME of those drugs in the body (Larry, 2008). The three primary processes of pharmacokinetics are absorption, distribution, and elimination (Holford, 2003).</w:t>
      </w:r>
    </w:p>
    <w:p>
      <w:pPr>
        <w:pStyle w:val="Heading2"/>
        <w:numPr>
          <w:ilvl w:val="2"/>
          <w:numId w:val="12"/>
        </w:numPr>
        <w:tabs>
          <w:tab w:pos="920" w:val="left" w:leader="none"/>
        </w:tabs>
        <w:spacing w:line="240" w:lineRule="auto" w:before="6" w:after="0"/>
        <w:ind w:left="920" w:right="0" w:hanging="540"/>
        <w:jc w:val="both"/>
      </w:pPr>
      <w:bookmarkStart w:name="_TOC_250072" w:id="12"/>
      <w:bookmarkEnd w:id="12"/>
      <w:r>
        <w:rPr>
          <w:spacing w:val="-2"/>
        </w:rPr>
        <w:t>Bioavailability</w:t>
      </w:r>
    </w:p>
    <w:p>
      <w:pPr>
        <w:pStyle w:val="BodyText"/>
        <w:spacing w:line="480" w:lineRule="auto" w:before="271"/>
        <w:ind w:left="380" w:right="1174" w:firstLine="62"/>
        <w:jc w:val="both"/>
      </w:pPr>
      <w:r>
        <w:rPr/>
        <w:t>In the 2003 United States Food and Drug Administration (FDA) guidance, bioavailability was defined as: ―the rate and extent to which the active ingredient or active moiety is absorbed from</w:t>
      </w:r>
      <w:r>
        <w:rPr>
          <w:spacing w:val="-2"/>
        </w:rPr>
        <w:t> </w:t>
      </w:r>
      <w:r>
        <w:rPr/>
        <w:t>a</w:t>
      </w:r>
      <w:r>
        <w:rPr>
          <w:spacing w:val="-1"/>
        </w:rPr>
        <w:t> </w:t>
      </w:r>
      <w:r>
        <w:rPr/>
        <w:t>drug</w:t>
      </w:r>
      <w:r>
        <w:rPr>
          <w:spacing w:val="-5"/>
        </w:rPr>
        <w:t> </w:t>
      </w:r>
      <w:r>
        <w:rPr/>
        <w:t>product</w:t>
      </w:r>
      <w:r>
        <w:rPr>
          <w:spacing w:val="-2"/>
        </w:rPr>
        <w:t> </w:t>
      </w:r>
      <w:r>
        <w:rPr/>
        <w:t>and</w:t>
      </w:r>
      <w:r>
        <w:rPr>
          <w:spacing w:val="-2"/>
        </w:rPr>
        <w:t> </w:t>
      </w:r>
      <w:r>
        <w:rPr/>
        <w:t>becomes</w:t>
      </w:r>
      <w:r>
        <w:rPr>
          <w:spacing w:val="-1"/>
        </w:rPr>
        <w:t> </w:t>
      </w:r>
      <w:r>
        <w:rPr/>
        <w:t>available</w:t>
      </w:r>
      <w:r>
        <w:rPr>
          <w:spacing w:val="-2"/>
        </w:rPr>
        <w:t> </w:t>
      </w:r>
      <w:r>
        <w:rPr/>
        <w:t>at</w:t>
      </w:r>
      <w:r>
        <w:rPr>
          <w:spacing w:val="-2"/>
        </w:rPr>
        <w:t> </w:t>
      </w:r>
      <w:r>
        <w:rPr/>
        <w:t>the</w:t>
      </w:r>
      <w:r>
        <w:rPr>
          <w:spacing w:val="-3"/>
        </w:rPr>
        <w:t> </w:t>
      </w:r>
      <w:r>
        <w:rPr/>
        <w:t>site</w:t>
      </w:r>
      <w:r>
        <w:rPr>
          <w:spacing w:val="-3"/>
        </w:rPr>
        <w:t> </w:t>
      </w:r>
      <w:r>
        <w:rPr/>
        <w:t>of</w:t>
      </w:r>
      <w:r>
        <w:rPr>
          <w:spacing w:val="-2"/>
        </w:rPr>
        <w:t> </w:t>
      </w:r>
      <w:r>
        <w:rPr/>
        <w:t>action.</w:t>
      </w:r>
      <w:r>
        <w:rPr>
          <w:spacing w:val="-2"/>
        </w:rPr>
        <w:t> </w:t>
      </w:r>
      <w:r>
        <w:rPr/>
        <w:t>For</w:t>
      </w:r>
      <w:r>
        <w:rPr>
          <w:spacing w:val="-3"/>
        </w:rPr>
        <w:t> </w:t>
      </w:r>
      <w:r>
        <w:rPr/>
        <w:t>drug</w:t>
      </w:r>
      <w:r>
        <w:rPr>
          <w:spacing w:val="-5"/>
        </w:rPr>
        <w:t> </w:t>
      </w:r>
      <w:r>
        <w:rPr/>
        <w:t>products that are not intended to be absorbed into the blood stream, bioavailability may be assessed by measurements intended to reflect the rate and extent to which the active ingredient or active moiety becomes available at the site of action‖ FDA, (2003).</w:t>
      </w:r>
    </w:p>
    <w:p>
      <w:pPr>
        <w:pStyle w:val="BodyText"/>
        <w:spacing w:before="1"/>
        <w:ind w:left="440"/>
        <w:jc w:val="both"/>
      </w:pPr>
      <w:r>
        <w:rPr/>
        <w:t>According</w:t>
      </w:r>
      <w:r>
        <w:rPr>
          <w:spacing w:val="-6"/>
        </w:rPr>
        <w:t> </w:t>
      </w:r>
      <w:r>
        <w:rPr/>
        <w:t>to</w:t>
      </w:r>
      <w:r>
        <w:rPr>
          <w:spacing w:val="-1"/>
        </w:rPr>
        <w:t> </w:t>
      </w:r>
      <w:r>
        <w:rPr/>
        <w:t>World</w:t>
      </w:r>
      <w:r>
        <w:rPr>
          <w:spacing w:val="-1"/>
        </w:rPr>
        <w:t> </w:t>
      </w:r>
      <w:r>
        <w:rPr/>
        <w:t>Health Organization</w:t>
      </w:r>
      <w:r>
        <w:rPr>
          <w:spacing w:val="-1"/>
        </w:rPr>
        <w:t> </w:t>
      </w:r>
      <w:r>
        <w:rPr/>
        <w:t>(WHO) guideline,</w:t>
      </w:r>
      <w:r>
        <w:rPr>
          <w:spacing w:val="-2"/>
        </w:rPr>
        <w:t> </w:t>
      </w:r>
      <w:r>
        <w:rPr/>
        <w:t>bioavailability</w:t>
      </w:r>
      <w:r>
        <w:rPr>
          <w:spacing w:val="76"/>
        </w:rPr>
        <w:t> </w:t>
      </w:r>
      <w:r>
        <w:rPr/>
        <w:t>is</w:t>
      </w:r>
      <w:r>
        <w:rPr>
          <w:spacing w:val="77"/>
        </w:rPr>
        <w:t> </w:t>
      </w:r>
      <w:r>
        <w:rPr/>
        <w:t>defined</w:t>
      </w:r>
      <w:r>
        <w:rPr>
          <w:spacing w:val="76"/>
        </w:rPr>
        <w:t> </w:t>
      </w:r>
      <w:r>
        <w:rPr>
          <w:spacing w:val="-5"/>
        </w:rPr>
        <w:t>as:</w:t>
      </w:r>
    </w:p>
    <w:p>
      <w:pPr>
        <w:pStyle w:val="BodyText"/>
      </w:pPr>
    </w:p>
    <w:p>
      <w:pPr>
        <w:pStyle w:val="BodyText"/>
        <w:spacing w:line="480" w:lineRule="auto"/>
        <w:ind w:left="380" w:right="1173"/>
        <w:jc w:val="both"/>
      </w:pPr>
      <w:r>
        <w:rPr/>
        <w:t>―the rate and extent to which the active drug ingredient or therapeutic moiety is absorbed from a drug product and becomes available at the site of drug action‖ (WHO, 1986). Bioavailability is the fraction of unchanged drug reaching the systemic circulation following administration by any route. The area under the blood concentration-time curve (AUC) is a common measure of the extent of bioavailability for a drug given by a</w:t>
      </w:r>
      <w:r>
        <w:rPr>
          <w:spacing w:val="80"/>
        </w:rPr>
        <w:t> </w:t>
      </w:r>
      <w:r>
        <w:rPr/>
        <w:t>particular</w:t>
      </w:r>
      <w:r>
        <w:rPr>
          <w:spacing w:val="23"/>
        </w:rPr>
        <w:t> </w:t>
      </w:r>
      <w:r>
        <w:rPr/>
        <w:t>route.</w:t>
      </w:r>
      <w:r>
        <w:rPr>
          <w:spacing w:val="28"/>
        </w:rPr>
        <w:t> </w:t>
      </w:r>
      <w:r>
        <w:rPr/>
        <w:t>For</w:t>
      </w:r>
      <w:r>
        <w:rPr>
          <w:spacing w:val="26"/>
        </w:rPr>
        <w:t> </w:t>
      </w:r>
      <w:r>
        <w:rPr/>
        <w:t>drugs</w:t>
      </w:r>
      <w:r>
        <w:rPr>
          <w:spacing w:val="27"/>
        </w:rPr>
        <w:t> </w:t>
      </w:r>
      <w:r>
        <w:rPr/>
        <w:t>administered</w:t>
      </w:r>
      <w:r>
        <w:rPr>
          <w:spacing w:val="27"/>
        </w:rPr>
        <w:t> </w:t>
      </w:r>
      <w:r>
        <w:rPr/>
        <w:t>orally,</w:t>
      </w:r>
      <w:r>
        <w:rPr>
          <w:spacing w:val="33"/>
        </w:rPr>
        <w:t> </w:t>
      </w:r>
      <w:r>
        <w:rPr/>
        <w:t>bioavailability</w:t>
      </w:r>
      <w:r>
        <w:rPr>
          <w:spacing w:val="24"/>
        </w:rPr>
        <w:t> </w:t>
      </w:r>
      <w:r>
        <w:rPr/>
        <w:t>is</w:t>
      </w:r>
      <w:r>
        <w:rPr>
          <w:spacing w:val="28"/>
        </w:rPr>
        <w:t> </w:t>
      </w:r>
      <w:r>
        <w:rPr/>
        <w:t>usually</w:t>
      </w:r>
      <w:r>
        <w:rPr>
          <w:spacing w:val="70"/>
        </w:rPr>
        <w:t>  </w:t>
      </w:r>
      <w:r>
        <w:rPr/>
        <w:t>determined</w:t>
      </w:r>
      <w:r>
        <w:rPr>
          <w:spacing w:val="29"/>
        </w:rPr>
        <w:t> </w:t>
      </w:r>
      <w:r>
        <w:rPr>
          <w:spacing w:val="-5"/>
        </w:rPr>
        <w:t>by</w:t>
      </w:r>
    </w:p>
    <w:p>
      <w:pPr>
        <w:spacing w:after="0" w:line="480" w:lineRule="auto"/>
        <w:jc w:val="both"/>
        <w:sectPr>
          <w:pgSz w:w="12240" w:h="15840"/>
          <w:pgMar w:header="0" w:footer="1068" w:top="1540" w:bottom="1260" w:left="1420" w:right="440"/>
        </w:sectPr>
      </w:pPr>
    </w:p>
    <w:p>
      <w:pPr>
        <w:pStyle w:val="BodyText"/>
        <w:spacing w:line="480" w:lineRule="auto" w:before="72"/>
        <w:ind w:left="380" w:right="1178"/>
        <w:jc w:val="both"/>
      </w:pPr>
      <w:r>
        <w:rPr/>
        <w:t>comparing the area under the concentration–time curve (AUC) in the systemic circulation after oral ingestion with the AUC after IV dosing.</w:t>
      </w:r>
    </w:p>
    <w:p>
      <w:pPr>
        <w:pStyle w:val="BodyText"/>
        <w:spacing w:line="480" w:lineRule="auto"/>
        <w:ind w:left="380" w:right="1265"/>
        <w:jc w:val="both"/>
      </w:pPr>
      <w:r>
        <w:rPr/>
        <w:t>For an intravenous dose of the drug, bioavailability is assumed to be equal to unity</w:t>
      </w:r>
      <w:r>
        <w:rPr>
          <w:spacing w:val="-3"/>
        </w:rPr>
        <w:t> </w:t>
      </w:r>
      <w:r>
        <w:rPr/>
        <w:t>but for a drug administered orally, bioavailability may be less than 100 % for two main reasons namely: Incomplete</w:t>
      </w:r>
      <w:r>
        <w:rPr>
          <w:spacing w:val="-3"/>
        </w:rPr>
        <w:t> </w:t>
      </w:r>
      <w:r>
        <w:rPr/>
        <w:t>extent</w:t>
      </w:r>
      <w:r>
        <w:rPr>
          <w:spacing w:val="-2"/>
        </w:rPr>
        <w:t> </w:t>
      </w:r>
      <w:r>
        <w:rPr/>
        <w:t>of</w:t>
      </w:r>
      <w:r>
        <w:rPr>
          <w:spacing w:val="-3"/>
        </w:rPr>
        <w:t> </w:t>
      </w:r>
      <w:r>
        <w:rPr/>
        <w:t>absorption</w:t>
      </w:r>
      <w:r>
        <w:rPr>
          <w:spacing w:val="-2"/>
        </w:rPr>
        <w:t> </w:t>
      </w:r>
      <w:r>
        <w:rPr/>
        <w:t>and</w:t>
      </w:r>
      <w:r>
        <w:rPr>
          <w:spacing w:val="-2"/>
        </w:rPr>
        <w:t> </w:t>
      </w:r>
      <w:r>
        <w:rPr/>
        <w:t>first-pass</w:t>
      </w:r>
      <w:r>
        <w:rPr>
          <w:spacing w:val="-2"/>
        </w:rPr>
        <w:t> </w:t>
      </w:r>
      <w:r>
        <w:rPr/>
        <w:t>elimination</w:t>
      </w:r>
      <w:r>
        <w:rPr>
          <w:spacing w:val="-2"/>
        </w:rPr>
        <w:t> </w:t>
      </w:r>
      <w:r>
        <w:rPr/>
        <w:t>(Iain,</w:t>
      </w:r>
      <w:r>
        <w:rPr>
          <w:spacing w:val="-2"/>
        </w:rPr>
        <w:t> </w:t>
      </w:r>
      <w:r>
        <w:rPr/>
        <w:t>2006).</w:t>
      </w:r>
      <w:r>
        <w:rPr>
          <w:spacing w:val="-1"/>
        </w:rPr>
        <w:t> </w:t>
      </w:r>
      <w:r>
        <w:rPr/>
        <w:t>Moreover, bioavailability is the fractional rate and extent to which a dose of drug reaches its site of action. It’s important to distinguish between the rate and extent of drug absorption and the amount of drug that ultimately reaches the systemic circulation. The amount of the drug that reaches the systemic circulation depends not only on the administered dose but also</w:t>
      </w:r>
      <w:r>
        <w:rPr>
          <w:spacing w:val="40"/>
        </w:rPr>
        <w:t> </w:t>
      </w:r>
      <w:r>
        <w:rPr/>
        <w:t>on the</w:t>
      </w:r>
      <w:r>
        <w:rPr>
          <w:spacing w:val="-1"/>
        </w:rPr>
        <w:t> </w:t>
      </w:r>
      <w:r>
        <w:rPr/>
        <w:t>fraction of</w:t>
      </w:r>
      <w:r>
        <w:rPr>
          <w:spacing w:val="-1"/>
        </w:rPr>
        <w:t> </w:t>
      </w:r>
      <w:r>
        <w:rPr/>
        <w:t>the</w:t>
      </w:r>
      <w:r>
        <w:rPr>
          <w:spacing w:val="-1"/>
        </w:rPr>
        <w:t> </w:t>
      </w:r>
      <w:r>
        <w:rPr/>
        <w:t>dose</w:t>
      </w:r>
      <w:r>
        <w:rPr>
          <w:spacing w:val="-1"/>
        </w:rPr>
        <w:t> </w:t>
      </w:r>
      <w:r>
        <w:rPr/>
        <w:t>(</w:t>
      </w:r>
      <w:r>
        <w:rPr>
          <w:i/>
        </w:rPr>
        <w:t>F</w:t>
      </w:r>
      <w:r>
        <w:rPr/>
        <w:t>)</w:t>
      </w:r>
      <w:r>
        <w:rPr>
          <w:spacing w:val="-1"/>
        </w:rPr>
        <w:t> </w:t>
      </w:r>
      <w:r>
        <w:rPr/>
        <w:t>that is absorbed and escapes any</w:t>
      </w:r>
      <w:r>
        <w:rPr>
          <w:spacing w:val="-5"/>
        </w:rPr>
        <w:t> </w:t>
      </w:r>
      <w:r>
        <w:rPr/>
        <w:t>first-pass elimination. This fraction is the drug's bioavailability (Holford, 2003).</w:t>
      </w:r>
    </w:p>
    <w:p>
      <w:pPr>
        <w:pStyle w:val="Heading2"/>
        <w:numPr>
          <w:ilvl w:val="2"/>
          <w:numId w:val="12"/>
        </w:numPr>
        <w:tabs>
          <w:tab w:pos="920" w:val="left" w:leader="none"/>
        </w:tabs>
        <w:spacing w:line="240" w:lineRule="auto" w:before="6" w:after="0"/>
        <w:ind w:left="920" w:right="0" w:hanging="540"/>
        <w:jc w:val="both"/>
      </w:pPr>
      <w:bookmarkStart w:name="_TOC_250071" w:id="13"/>
      <w:bookmarkEnd w:id="13"/>
      <w:r>
        <w:rPr>
          <w:spacing w:val="-2"/>
        </w:rPr>
        <w:t>Absorption</w:t>
      </w:r>
    </w:p>
    <w:p>
      <w:pPr>
        <w:pStyle w:val="BodyText"/>
        <w:spacing w:line="480" w:lineRule="auto" w:before="272"/>
        <w:ind w:left="380" w:right="1087"/>
        <w:jc w:val="both"/>
      </w:pPr>
      <w:r>
        <w:rPr/>
        <w:t>This is the movement of a drug from its site of administration into the central compartment and the extent to which this occurs. For solid dosage forms, absorption first requires dissolution of the tablet or capsule, thus liberating the drug. The clinician is concerned primarily with bioavailability rather than absorption (Iain, 2006). The rate of absorption is determined by the site of administration and the drug formulation. Both the rate of absorption</w:t>
      </w:r>
      <w:r>
        <w:rPr>
          <w:spacing w:val="-3"/>
        </w:rPr>
        <w:t> </w:t>
      </w:r>
      <w:r>
        <w:rPr/>
        <w:t>and</w:t>
      </w:r>
      <w:r>
        <w:rPr>
          <w:spacing w:val="-3"/>
        </w:rPr>
        <w:t> </w:t>
      </w:r>
      <w:r>
        <w:rPr/>
        <w:t>the</w:t>
      </w:r>
      <w:r>
        <w:rPr>
          <w:spacing w:val="-4"/>
        </w:rPr>
        <w:t> </w:t>
      </w:r>
      <w:r>
        <w:rPr/>
        <w:t>extent</w:t>
      </w:r>
      <w:r>
        <w:rPr>
          <w:spacing w:val="-3"/>
        </w:rPr>
        <w:t> </w:t>
      </w:r>
      <w:r>
        <w:rPr/>
        <w:t>of</w:t>
      </w:r>
      <w:r>
        <w:rPr>
          <w:spacing w:val="-4"/>
        </w:rPr>
        <w:t> </w:t>
      </w:r>
      <w:r>
        <w:rPr/>
        <w:t>input</w:t>
      </w:r>
      <w:r>
        <w:rPr>
          <w:spacing w:val="-3"/>
        </w:rPr>
        <w:t> </w:t>
      </w:r>
      <w:r>
        <w:rPr/>
        <w:t>can</w:t>
      </w:r>
      <w:r>
        <w:rPr>
          <w:spacing w:val="-3"/>
        </w:rPr>
        <w:t> </w:t>
      </w:r>
      <w:r>
        <w:rPr/>
        <w:t>influence</w:t>
      </w:r>
      <w:r>
        <w:rPr>
          <w:spacing w:val="-2"/>
        </w:rPr>
        <w:t> </w:t>
      </w:r>
      <w:r>
        <w:rPr/>
        <w:t>the</w:t>
      </w:r>
      <w:r>
        <w:rPr>
          <w:spacing w:val="-3"/>
        </w:rPr>
        <w:t> </w:t>
      </w:r>
      <w:r>
        <w:rPr/>
        <w:t>clinical</w:t>
      </w:r>
      <w:r>
        <w:rPr>
          <w:spacing w:val="-1"/>
        </w:rPr>
        <w:t> </w:t>
      </w:r>
      <w:r>
        <w:rPr/>
        <w:t>effectiveness</w:t>
      </w:r>
      <w:r>
        <w:rPr>
          <w:spacing w:val="-3"/>
        </w:rPr>
        <w:t> </w:t>
      </w:r>
      <w:r>
        <w:rPr/>
        <w:t>of</w:t>
      </w:r>
      <w:r>
        <w:rPr>
          <w:spacing w:val="-2"/>
        </w:rPr>
        <w:t> </w:t>
      </w:r>
      <w:r>
        <w:rPr/>
        <w:t>a</w:t>
      </w:r>
      <w:r>
        <w:rPr>
          <w:spacing w:val="-4"/>
        </w:rPr>
        <w:t> </w:t>
      </w:r>
      <w:r>
        <w:rPr/>
        <w:t>drug (Holford, 2003). A fraction of the administered and absorbed dose of drug will be inactivated or diverted before it can reach the general circulation and be distributed to its sites of action If the metabolic or excretory capacity of the liver for the drug is large, bioavailability will be reduced substantially (the first-pass effect). This decrease in availability is a function of the drug</w:t>
      </w:r>
      <w:r>
        <w:rPr>
          <w:spacing w:val="36"/>
        </w:rPr>
        <w:t> </w:t>
      </w:r>
      <w:r>
        <w:rPr/>
        <w:t>physicochemical</w:t>
      </w:r>
      <w:r>
        <w:rPr>
          <w:spacing w:val="42"/>
        </w:rPr>
        <w:t> </w:t>
      </w:r>
      <w:r>
        <w:rPr/>
        <w:t>properties</w:t>
      </w:r>
      <w:r>
        <w:rPr>
          <w:spacing w:val="40"/>
        </w:rPr>
        <w:t> </w:t>
      </w:r>
      <w:r>
        <w:rPr/>
        <w:t>and</w:t>
      </w:r>
      <w:r>
        <w:rPr>
          <w:spacing w:val="44"/>
        </w:rPr>
        <w:t> </w:t>
      </w:r>
      <w:r>
        <w:rPr/>
        <w:t>anatomical</w:t>
      </w:r>
      <w:r>
        <w:rPr>
          <w:spacing w:val="43"/>
        </w:rPr>
        <w:t> </w:t>
      </w:r>
      <w:r>
        <w:rPr/>
        <w:t>site</w:t>
      </w:r>
      <w:r>
        <w:rPr>
          <w:spacing w:val="40"/>
        </w:rPr>
        <w:t> </w:t>
      </w:r>
      <w:r>
        <w:rPr/>
        <w:t>from</w:t>
      </w:r>
      <w:r>
        <w:rPr>
          <w:spacing w:val="42"/>
        </w:rPr>
        <w:t> </w:t>
      </w:r>
      <w:r>
        <w:rPr/>
        <w:t>which</w:t>
      </w:r>
      <w:r>
        <w:rPr>
          <w:spacing w:val="41"/>
        </w:rPr>
        <w:t> </w:t>
      </w:r>
      <w:r>
        <w:rPr/>
        <w:t>absorption</w:t>
      </w:r>
      <w:r>
        <w:rPr>
          <w:spacing w:val="40"/>
        </w:rPr>
        <w:t> </w:t>
      </w:r>
      <w:r>
        <w:rPr/>
        <w:t>takes</w:t>
      </w:r>
      <w:r>
        <w:rPr>
          <w:spacing w:val="42"/>
        </w:rPr>
        <w:t> </w:t>
      </w:r>
      <w:r>
        <w:rPr>
          <w:spacing w:val="-2"/>
        </w:rPr>
        <w:t>place;</w:t>
      </w:r>
    </w:p>
    <w:p>
      <w:pPr>
        <w:spacing w:after="0" w:line="480" w:lineRule="auto"/>
        <w:jc w:val="both"/>
        <w:sectPr>
          <w:pgSz w:w="12240" w:h="15840"/>
          <w:pgMar w:header="0" w:footer="1068" w:top="1540" w:bottom="1260" w:left="1420" w:right="440"/>
        </w:sectPr>
      </w:pPr>
    </w:p>
    <w:p>
      <w:pPr>
        <w:pStyle w:val="BodyText"/>
        <w:spacing w:line="480" w:lineRule="auto" w:before="72"/>
        <w:ind w:left="380" w:right="1085"/>
        <w:jc w:val="both"/>
      </w:pPr>
      <w:r>
        <w:rPr/>
        <w:t>these anatomical, physiological, physicochemical and pathological factors can influence bioavailability and the choice of the route of drug administration (Katzung, 2004;</w:t>
      </w:r>
      <w:r>
        <w:rPr>
          <w:spacing w:val="40"/>
        </w:rPr>
        <w:t> </w:t>
      </w:r>
      <w:r>
        <w:rPr/>
        <w:t>Goodmann 2006).</w:t>
      </w:r>
    </w:p>
    <w:p>
      <w:pPr>
        <w:pStyle w:val="BodyText"/>
        <w:spacing w:line="480" w:lineRule="auto"/>
        <w:ind w:left="380" w:right="1085"/>
        <w:jc w:val="both"/>
      </w:pPr>
      <w:r>
        <w:rPr/>
        <w:t>Moreover, the amount of drug that enters the body depends on the patient's compliance with the prescribed regimen and on the rate and extent of transfer from the site of administration into the blood.</w:t>
      </w:r>
    </w:p>
    <w:p>
      <w:pPr>
        <w:pStyle w:val="Heading2"/>
        <w:numPr>
          <w:ilvl w:val="2"/>
          <w:numId w:val="12"/>
        </w:numPr>
        <w:tabs>
          <w:tab w:pos="920" w:val="left" w:leader="none"/>
        </w:tabs>
        <w:spacing w:line="240" w:lineRule="auto" w:before="6" w:after="0"/>
        <w:ind w:left="920" w:right="0" w:hanging="540"/>
        <w:jc w:val="both"/>
      </w:pPr>
      <w:bookmarkStart w:name="_TOC_250070" w:id="14"/>
      <w:bookmarkEnd w:id="14"/>
      <w:r>
        <w:rPr>
          <w:spacing w:val="-2"/>
        </w:rPr>
        <w:t>Distribution</w:t>
      </w:r>
    </w:p>
    <w:p>
      <w:pPr>
        <w:pStyle w:val="BodyText"/>
        <w:spacing w:line="480" w:lineRule="auto" w:before="271"/>
        <w:ind w:left="380" w:right="1085"/>
        <w:jc w:val="both"/>
      </w:pPr>
      <w:r>
        <w:rPr/>
        <w:t>After absorption or systemic administration into the bloodstream, the drug is then</w:t>
      </w:r>
      <w:r>
        <w:rPr>
          <w:spacing w:val="80"/>
        </w:rPr>
        <w:t> </w:t>
      </w:r>
      <w:r>
        <w:rPr/>
        <w:t>distributed into interstitial and intracellular fluids depending on the physicochemical properties of the drug. The rate and extent of drug distribution into tissues depend on the cardiac output, regional blood flow, capillary permeability, and tissue perfusion (Timothy, 2006). Lipid solubility and transmembrane pH gradients are important determinants of uptake for drugs that are either weak acids or bases. However, in general, ion trapping is associated with transmembrane pH gradient which is not large because the pH difference between tissue and blood (approximately 7.0 to 7.4) is small. The more important determinant of blood-tissue partitioning is the relative binding of drug to plasma proteins</w:t>
      </w:r>
      <w:r>
        <w:rPr>
          <w:spacing w:val="40"/>
        </w:rPr>
        <w:t> </w:t>
      </w:r>
      <w:r>
        <w:rPr/>
        <w:t>and tissue macromolecules (Katzung, 2004).</w:t>
      </w:r>
    </w:p>
    <w:p>
      <w:pPr>
        <w:pStyle w:val="Heading2"/>
        <w:numPr>
          <w:ilvl w:val="2"/>
          <w:numId w:val="12"/>
        </w:numPr>
        <w:tabs>
          <w:tab w:pos="920" w:val="left" w:leader="none"/>
        </w:tabs>
        <w:spacing w:line="240" w:lineRule="auto" w:before="6" w:after="0"/>
        <w:ind w:left="920" w:right="0" w:hanging="540"/>
        <w:jc w:val="both"/>
      </w:pPr>
      <w:bookmarkStart w:name="_TOC_250069" w:id="15"/>
      <w:bookmarkEnd w:id="15"/>
      <w:r>
        <w:rPr>
          <w:spacing w:val="-2"/>
        </w:rPr>
        <w:t>Metabolism</w:t>
      </w:r>
    </w:p>
    <w:p>
      <w:pPr>
        <w:pStyle w:val="BodyText"/>
        <w:spacing w:line="480" w:lineRule="auto" w:before="271"/>
        <w:ind w:left="380" w:right="1088"/>
        <w:jc w:val="both"/>
      </w:pPr>
      <w:r>
        <w:rPr/>
        <w:t>An alternative process that can lead to the termination or alteration of biologic activity is metabolism; it is the chemical conversion of the drug molecule, usually through an enzymatic reaction, into another chemical entity referred to as a metabolite</w:t>
      </w:r>
      <w:r>
        <w:rPr>
          <w:i/>
        </w:rPr>
        <w:t>. </w:t>
      </w:r>
      <w:r>
        <w:rPr/>
        <w:t>The process is also termed biotransformation (Larry, 2008). Pharmacologically active organic molecules tend</w:t>
      </w:r>
      <w:r>
        <w:rPr>
          <w:spacing w:val="18"/>
        </w:rPr>
        <w:t> </w:t>
      </w:r>
      <w:r>
        <w:rPr/>
        <w:t>to</w:t>
      </w:r>
      <w:r>
        <w:rPr>
          <w:spacing w:val="19"/>
        </w:rPr>
        <w:t> </w:t>
      </w:r>
      <w:r>
        <w:rPr/>
        <w:t>be</w:t>
      </w:r>
      <w:r>
        <w:rPr>
          <w:spacing w:val="20"/>
        </w:rPr>
        <w:t> </w:t>
      </w:r>
      <w:r>
        <w:rPr/>
        <w:t>lipophilic</w:t>
      </w:r>
      <w:r>
        <w:rPr>
          <w:spacing w:val="18"/>
        </w:rPr>
        <w:t> </w:t>
      </w:r>
      <w:r>
        <w:rPr/>
        <w:t>and</w:t>
      </w:r>
      <w:r>
        <w:rPr>
          <w:spacing w:val="21"/>
        </w:rPr>
        <w:t> </w:t>
      </w:r>
      <w:r>
        <w:rPr/>
        <w:t>remain</w:t>
      </w:r>
      <w:r>
        <w:rPr>
          <w:spacing w:val="21"/>
        </w:rPr>
        <w:t> </w:t>
      </w:r>
      <w:r>
        <w:rPr/>
        <w:t>unionized</w:t>
      </w:r>
      <w:r>
        <w:rPr>
          <w:spacing w:val="18"/>
        </w:rPr>
        <w:t> </w:t>
      </w:r>
      <w:r>
        <w:rPr/>
        <w:t>or</w:t>
      </w:r>
      <w:r>
        <w:rPr>
          <w:spacing w:val="18"/>
        </w:rPr>
        <w:t> </w:t>
      </w:r>
      <w:r>
        <w:rPr/>
        <w:t>only</w:t>
      </w:r>
      <w:r>
        <w:rPr>
          <w:spacing w:val="16"/>
        </w:rPr>
        <w:t> </w:t>
      </w:r>
      <w:r>
        <w:rPr/>
        <w:t>partially</w:t>
      </w:r>
      <w:r>
        <w:rPr>
          <w:spacing w:val="14"/>
        </w:rPr>
        <w:t> </w:t>
      </w:r>
      <w:r>
        <w:rPr/>
        <w:t>ionized</w:t>
      </w:r>
      <w:r>
        <w:rPr>
          <w:spacing w:val="18"/>
        </w:rPr>
        <w:t> </w:t>
      </w:r>
      <w:r>
        <w:rPr/>
        <w:t>at</w:t>
      </w:r>
      <w:r>
        <w:rPr>
          <w:spacing w:val="21"/>
        </w:rPr>
        <w:t> </w:t>
      </w:r>
      <w:r>
        <w:rPr/>
        <w:t>physiologic</w:t>
      </w:r>
      <w:r>
        <w:rPr>
          <w:spacing w:val="18"/>
        </w:rPr>
        <w:t> </w:t>
      </w:r>
      <w:r>
        <w:rPr/>
        <w:t>pH;</w:t>
      </w:r>
      <w:r>
        <w:rPr>
          <w:spacing w:val="22"/>
        </w:rPr>
        <w:t> </w:t>
      </w:r>
      <w:r>
        <w:rPr>
          <w:spacing w:val="-5"/>
        </w:rPr>
        <w:t>the</w:t>
      </w:r>
    </w:p>
    <w:p>
      <w:pPr>
        <w:spacing w:after="0" w:line="480" w:lineRule="auto"/>
        <w:jc w:val="both"/>
        <w:sectPr>
          <w:pgSz w:w="12240" w:h="15840"/>
          <w:pgMar w:header="0" w:footer="1068" w:top="1540" w:bottom="1260" w:left="1420" w:right="440"/>
        </w:sectPr>
      </w:pPr>
    </w:p>
    <w:p>
      <w:pPr>
        <w:pStyle w:val="BodyText"/>
        <w:tabs>
          <w:tab w:pos="1166" w:val="left" w:leader="none"/>
          <w:tab w:pos="2488" w:val="left" w:leader="none"/>
          <w:tab w:pos="2905" w:val="left" w:leader="none"/>
          <w:tab w:pos="4266" w:val="left" w:leader="none"/>
          <w:tab w:pos="5650" w:val="left" w:leader="none"/>
          <w:tab w:pos="6148" w:val="left" w:leader="none"/>
          <w:tab w:pos="7176" w:val="left" w:leader="none"/>
          <w:tab w:pos="8047" w:val="left" w:leader="none"/>
        </w:tabs>
        <w:spacing w:line="480" w:lineRule="auto" w:before="72"/>
        <w:ind w:left="380" w:right="1082"/>
      </w:pPr>
      <w:r>
        <w:rPr/>
        <w:t>lipophilic characteristics of drugs that promote their passage through biological membranes and</w:t>
      </w:r>
      <w:r>
        <w:rPr>
          <w:spacing w:val="27"/>
        </w:rPr>
        <w:t> </w:t>
      </w:r>
      <w:r>
        <w:rPr/>
        <w:t>subsequent</w:t>
      </w:r>
      <w:r>
        <w:rPr>
          <w:spacing w:val="28"/>
        </w:rPr>
        <w:t> </w:t>
      </w:r>
      <w:r>
        <w:rPr/>
        <w:t>access</w:t>
      </w:r>
      <w:r>
        <w:rPr>
          <w:spacing w:val="28"/>
        </w:rPr>
        <w:t> </w:t>
      </w:r>
      <w:r>
        <w:rPr/>
        <w:t>to</w:t>
      </w:r>
      <w:r>
        <w:rPr>
          <w:spacing w:val="28"/>
        </w:rPr>
        <w:t> </w:t>
      </w:r>
      <w:r>
        <w:rPr/>
        <w:t>their</w:t>
      </w:r>
      <w:r>
        <w:rPr>
          <w:spacing w:val="27"/>
        </w:rPr>
        <w:t> </w:t>
      </w:r>
      <w:r>
        <w:rPr/>
        <w:t>site</w:t>
      </w:r>
      <w:r>
        <w:rPr>
          <w:spacing w:val="27"/>
        </w:rPr>
        <w:t> </w:t>
      </w:r>
      <w:r>
        <w:rPr/>
        <w:t>of</w:t>
      </w:r>
      <w:r>
        <w:rPr>
          <w:spacing w:val="27"/>
        </w:rPr>
        <w:t> </w:t>
      </w:r>
      <w:r>
        <w:rPr/>
        <w:t>action</w:t>
      </w:r>
      <w:r>
        <w:rPr>
          <w:spacing w:val="27"/>
        </w:rPr>
        <w:t> </w:t>
      </w:r>
      <w:r>
        <w:rPr/>
        <w:t>also</w:t>
      </w:r>
      <w:r>
        <w:rPr>
          <w:spacing w:val="27"/>
        </w:rPr>
        <w:t> </w:t>
      </w:r>
      <w:r>
        <w:rPr/>
        <w:t>serve</w:t>
      </w:r>
      <w:r>
        <w:rPr>
          <w:spacing w:val="26"/>
        </w:rPr>
        <w:t> </w:t>
      </w:r>
      <w:r>
        <w:rPr/>
        <w:t>to</w:t>
      </w:r>
      <w:r>
        <w:rPr>
          <w:spacing w:val="28"/>
        </w:rPr>
        <w:t> </w:t>
      </w:r>
      <w:r>
        <w:rPr/>
        <w:t>hinder</w:t>
      </w:r>
      <w:r>
        <w:rPr>
          <w:spacing w:val="26"/>
        </w:rPr>
        <w:t> </w:t>
      </w:r>
      <w:r>
        <w:rPr/>
        <w:t>their</w:t>
      </w:r>
      <w:r>
        <w:rPr>
          <w:spacing w:val="27"/>
        </w:rPr>
        <w:t> </w:t>
      </w:r>
      <w:r>
        <w:rPr/>
        <w:t>excretion</w:t>
      </w:r>
      <w:r>
        <w:rPr>
          <w:spacing w:val="27"/>
        </w:rPr>
        <w:t> </w:t>
      </w:r>
      <w:r>
        <w:rPr/>
        <w:t>from</w:t>
      </w:r>
      <w:r>
        <w:rPr>
          <w:spacing w:val="28"/>
        </w:rPr>
        <w:t> </w:t>
      </w:r>
      <w:r>
        <w:rPr/>
        <w:t>the body. The metabolism of drugs and other xenobiotics into more hydrophilic metabolites is essential for their elimination from the body,</w:t>
      </w:r>
      <w:r>
        <w:rPr>
          <w:spacing w:val="24"/>
        </w:rPr>
        <w:t> </w:t>
      </w:r>
      <w:r>
        <w:rPr/>
        <w:t>as well as for termination of their biological</w:t>
      </w:r>
      <w:r>
        <w:rPr>
          <w:spacing w:val="80"/>
        </w:rPr>
        <w:t> </w:t>
      </w:r>
      <w:r>
        <w:rPr/>
        <w:t>and pharmacological activity. In general, biotransformation reactions generate more polar, inactive</w:t>
      </w:r>
      <w:r>
        <w:rPr>
          <w:spacing w:val="40"/>
        </w:rPr>
        <w:t> </w:t>
      </w:r>
      <w:r>
        <w:rPr/>
        <w:t>metabolites</w:t>
      </w:r>
      <w:r>
        <w:rPr>
          <w:spacing w:val="40"/>
        </w:rPr>
        <w:t> </w:t>
      </w:r>
      <w:r>
        <w:rPr/>
        <w:t>that</w:t>
      </w:r>
      <w:r>
        <w:rPr>
          <w:spacing w:val="40"/>
        </w:rPr>
        <w:t> </w:t>
      </w:r>
      <w:r>
        <w:rPr/>
        <w:t>are</w:t>
      </w:r>
      <w:r>
        <w:rPr>
          <w:spacing w:val="40"/>
        </w:rPr>
        <w:t> </w:t>
      </w:r>
      <w:r>
        <w:rPr/>
        <w:t>readily</w:t>
      </w:r>
      <w:r>
        <w:rPr>
          <w:spacing w:val="40"/>
        </w:rPr>
        <w:t> </w:t>
      </w:r>
      <w:r>
        <w:rPr/>
        <w:t>excreted</w:t>
      </w:r>
      <w:r>
        <w:rPr>
          <w:spacing w:val="40"/>
        </w:rPr>
        <w:t> </w:t>
      </w:r>
      <w:r>
        <w:rPr/>
        <w:t>from</w:t>
      </w:r>
      <w:r>
        <w:rPr>
          <w:spacing w:val="40"/>
        </w:rPr>
        <w:t> </w:t>
      </w:r>
      <w:r>
        <w:rPr/>
        <w:t>the</w:t>
      </w:r>
      <w:r>
        <w:rPr>
          <w:spacing w:val="40"/>
        </w:rPr>
        <w:t> </w:t>
      </w:r>
      <w:r>
        <w:rPr/>
        <w:t>body.</w:t>
      </w:r>
      <w:r>
        <w:rPr>
          <w:spacing w:val="40"/>
        </w:rPr>
        <w:t> </w:t>
      </w:r>
      <w:r>
        <w:rPr/>
        <w:t>However,</w:t>
      </w:r>
      <w:r>
        <w:rPr>
          <w:spacing w:val="40"/>
        </w:rPr>
        <w:t> </w:t>
      </w:r>
      <w:r>
        <w:rPr/>
        <w:t>in</w:t>
      </w:r>
      <w:r>
        <w:rPr>
          <w:spacing w:val="40"/>
        </w:rPr>
        <w:t> </w:t>
      </w:r>
      <w:r>
        <w:rPr/>
        <w:t>some</w:t>
      </w:r>
      <w:r>
        <w:rPr>
          <w:spacing w:val="40"/>
        </w:rPr>
        <w:t> </w:t>
      </w:r>
      <w:r>
        <w:rPr/>
        <w:t>cases, metabolites</w:t>
      </w:r>
      <w:r>
        <w:rPr>
          <w:spacing w:val="32"/>
        </w:rPr>
        <w:t> </w:t>
      </w:r>
      <w:r>
        <w:rPr/>
        <w:t>with</w:t>
      </w:r>
      <w:r>
        <w:rPr>
          <w:spacing w:val="32"/>
        </w:rPr>
        <w:t> </w:t>
      </w:r>
      <w:r>
        <w:rPr/>
        <w:t>potent</w:t>
      </w:r>
      <w:r>
        <w:rPr>
          <w:spacing w:val="29"/>
        </w:rPr>
        <w:t> </w:t>
      </w:r>
      <w:r>
        <w:rPr/>
        <w:t>biological</w:t>
      </w:r>
      <w:r>
        <w:rPr>
          <w:spacing w:val="32"/>
        </w:rPr>
        <w:t> </w:t>
      </w:r>
      <w:r>
        <w:rPr/>
        <w:t>activity</w:t>
      </w:r>
      <w:r>
        <w:rPr>
          <w:spacing w:val="27"/>
        </w:rPr>
        <w:t> </w:t>
      </w:r>
      <w:r>
        <w:rPr/>
        <w:t>or</w:t>
      </w:r>
      <w:r>
        <w:rPr>
          <w:spacing w:val="31"/>
        </w:rPr>
        <w:t> </w:t>
      </w:r>
      <w:r>
        <w:rPr/>
        <w:t>toxic</w:t>
      </w:r>
      <w:r>
        <w:rPr>
          <w:spacing w:val="31"/>
        </w:rPr>
        <w:t> </w:t>
      </w:r>
      <w:r>
        <w:rPr/>
        <w:t>properties</w:t>
      </w:r>
      <w:r>
        <w:rPr>
          <w:spacing w:val="31"/>
        </w:rPr>
        <w:t> </w:t>
      </w:r>
      <w:r>
        <w:rPr/>
        <w:t>are</w:t>
      </w:r>
      <w:r>
        <w:rPr>
          <w:spacing w:val="32"/>
        </w:rPr>
        <w:t> </w:t>
      </w:r>
      <w:r>
        <w:rPr/>
        <w:t>generated.</w:t>
      </w:r>
      <w:r>
        <w:rPr>
          <w:spacing w:val="31"/>
        </w:rPr>
        <w:t> </w:t>
      </w:r>
      <w:r>
        <w:rPr/>
        <w:t>Many</w:t>
      </w:r>
      <w:r>
        <w:rPr>
          <w:spacing w:val="27"/>
        </w:rPr>
        <w:t> </w:t>
      </w:r>
      <w:r>
        <w:rPr/>
        <w:t>of</w:t>
      </w:r>
      <w:r>
        <w:rPr>
          <w:spacing w:val="31"/>
        </w:rPr>
        <w:t> </w:t>
      </w:r>
      <w:r>
        <w:rPr/>
        <w:t>the enzyme</w:t>
      </w:r>
      <w:r>
        <w:rPr>
          <w:spacing w:val="40"/>
        </w:rPr>
        <w:t> </w:t>
      </w:r>
      <w:r>
        <w:rPr/>
        <w:t>systems</w:t>
      </w:r>
      <w:r>
        <w:rPr>
          <w:spacing w:val="40"/>
        </w:rPr>
        <w:t> </w:t>
      </w:r>
      <w:r>
        <w:rPr/>
        <w:t>that</w:t>
      </w:r>
      <w:r>
        <w:rPr>
          <w:spacing w:val="40"/>
        </w:rPr>
        <w:t> </w:t>
      </w:r>
      <w:r>
        <w:rPr/>
        <w:t>transform</w:t>
      </w:r>
      <w:r>
        <w:rPr>
          <w:spacing w:val="40"/>
        </w:rPr>
        <w:t> </w:t>
      </w:r>
      <w:r>
        <w:rPr/>
        <w:t>drugs</w:t>
      </w:r>
      <w:r>
        <w:rPr>
          <w:spacing w:val="40"/>
        </w:rPr>
        <w:t> </w:t>
      </w:r>
      <w:r>
        <w:rPr/>
        <w:t>to</w:t>
      </w:r>
      <w:r>
        <w:rPr>
          <w:spacing w:val="40"/>
        </w:rPr>
        <w:t> </w:t>
      </w:r>
      <w:r>
        <w:rPr/>
        <w:t>inactive</w:t>
      </w:r>
      <w:r>
        <w:rPr>
          <w:spacing w:val="40"/>
        </w:rPr>
        <w:t> </w:t>
      </w:r>
      <w:r>
        <w:rPr/>
        <w:t>metabolites</w:t>
      </w:r>
      <w:r>
        <w:rPr>
          <w:spacing w:val="40"/>
        </w:rPr>
        <w:t> </w:t>
      </w:r>
      <w:r>
        <w:rPr/>
        <w:t>also</w:t>
      </w:r>
      <w:r>
        <w:rPr>
          <w:spacing w:val="40"/>
        </w:rPr>
        <w:t> </w:t>
      </w:r>
      <w:r>
        <w:rPr/>
        <w:t>generate</w:t>
      </w:r>
      <w:r>
        <w:rPr>
          <w:spacing w:val="40"/>
        </w:rPr>
        <w:t> </w:t>
      </w:r>
      <w:r>
        <w:rPr/>
        <w:t>biologically </w:t>
      </w:r>
      <w:r>
        <w:rPr>
          <w:spacing w:val="-2"/>
        </w:rPr>
        <w:t>active</w:t>
      </w:r>
      <w:r>
        <w:rPr/>
        <w:tab/>
      </w:r>
      <w:r>
        <w:rPr>
          <w:spacing w:val="-2"/>
        </w:rPr>
        <w:t>metabolites</w:t>
      </w:r>
      <w:r>
        <w:rPr/>
        <w:tab/>
      </w:r>
      <w:r>
        <w:rPr>
          <w:spacing w:val="-6"/>
        </w:rPr>
        <w:t>of</w:t>
      </w:r>
      <w:r>
        <w:rPr/>
        <w:tab/>
      </w:r>
      <w:r>
        <w:rPr>
          <w:spacing w:val="-2"/>
        </w:rPr>
        <w:t>endogenous</w:t>
      </w:r>
      <w:r>
        <w:rPr/>
        <w:tab/>
      </w:r>
      <w:r>
        <w:rPr>
          <w:spacing w:val="-2"/>
        </w:rPr>
        <w:t>compounds,</w:t>
      </w:r>
      <w:r>
        <w:rPr/>
        <w:tab/>
      </w:r>
      <w:r>
        <w:rPr>
          <w:spacing w:val="-4"/>
        </w:rPr>
        <w:t>for</w:t>
      </w:r>
      <w:r>
        <w:rPr/>
        <w:tab/>
      </w:r>
      <w:r>
        <w:rPr>
          <w:spacing w:val="-2"/>
        </w:rPr>
        <w:t>example</w:t>
      </w:r>
      <w:r>
        <w:rPr/>
        <w:tab/>
      </w:r>
      <w:r>
        <w:rPr>
          <w:spacing w:val="-2"/>
        </w:rPr>
        <w:t>steroid</w:t>
      </w:r>
      <w:r>
        <w:rPr/>
        <w:tab/>
      </w:r>
      <w:r>
        <w:rPr>
          <w:spacing w:val="-2"/>
        </w:rPr>
        <w:t>biosynthesis. </w:t>
      </w:r>
      <w:r>
        <w:rPr/>
        <w:t>Drug metabolism or biotransformation reactions are classified as either phase I, Functionalization reactions or phase II, biosynthetic (conjugation) reactions.</w:t>
      </w:r>
    </w:p>
    <w:p>
      <w:pPr>
        <w:pStyle w:val="BodyText"/>
        <w:spacing w:line="480" w:lineRule="auto" w:before="1"/>
        <w:ind w:left="380" w:right="1084"/>
        <w:jc w:val="both"/>
      </w:pPr>
      <w:r>
        <w:rPr/>
        <w:t>Phase</w:t>
      </w:r>
      <w:r>
        <w:rPr>
          <w:spacing w:val="-1"/>
        </w:rPr>
        <w:t> </w:t>
      </w:r>
      <w:r>
        <w:rPr/>
        <w:t>I reactions introduce by unmasking a functional group (-OH, -NH</w:t>
      </w:r>
      <w:r>
        <w:rPr>
          <w:vertAlign w:val="subscript"/>
        </w:rPr>
        <w:t>2</w:t>
      </w:r>
      <w:r>
        <w:rPr>
          <w:vertAlign w:val="baseline"/>
        </w:rPr>
        <w:t>, -SH) or expose a functional group on the parent compound such as occurs in hydrolysis reactions. Phase I reactions generally result in the loss of pharmacological activity, although there are examples</w:t>
      </w:r>
      <w:r>
        <w:rPr>
          <w:spacing w:val="-3"/>
          <w:vertAlign w:val="baseline"/>
        </w:rPr>
        <w:t> </w:t>
      </w:r>
      <w:r>
        <w:rPr>
          <w:vertAlign w:val="baseline"/>
        </w:rPr>
        <w:t>of</w:t>
      </w:r>
      <w:r>
        <w:rPr>
          <w:spacing w:val="-3"/>
          <w:vertAlign w:val="baseline"/>
        </w:rPr>
        <w:t> </w:t>
      </w:r>
      <w:r>
        <w:rPr>
          <w:vertAlign w:val="baseline"/>
        </w:rPr>
        <w:t>retention</w:t>
      </w:r>
      <w:r>
        <w:rPr>
          <w:spacing w:val="-3"/>
          <w:vertAlign w:val="baseline"/>
        </w:rPr>
        <w:t> </w:t>
      </w:r>
      <w:r>
        <w:rPr>
          <w:vertAlign w:val="baseline"/>
        </w:rPr>
        <w:t>or enhancement</w:t>
      </w:r>
      <w:r>
        <w:rPr>
          <w:spacing w:val="-3"/>
          <w:vertAlign w:val="baseline"/>
        </w:rPr>
        <w:t> </w:t>
      </w:r>
      <w:r>
        <w:rPr>
          <w:vertAlign w:val="baseline"/>
        </w:rPr>
        <w:t>of</w:t>
      </w:r>
      <w:r>
        <w:rPr>
          <w:spacing w:val="-2"/>
          <w:vertAlign w:val="baseline"/>
        </w:rPr>
        <w:t> </w:t>
      </w:r>
      <w:r>
        <w:rPr>
          <w:vertAlign w:val="baseline"/>
        </w:rPr>
        <w:t>activity.</w:t>
      </w:r>
      <w:r>
        <w:rPr>
          <w:spacing w:val="-1"/>
          <w:vertAlign w:val="baseline"/>
        </w:rPr>
        <w:t> </w:t>
      </w:r>
      <w:r>
        <w:rPr>
          <w:vertAlign w:val="baseline"/>
        </w:rPr>
        <w:t>In</w:t>
      </w:r>
      <w:r>
        <w:rPr>
          <w:spacing w:val="-1"/>
          <w:vertAlign w:val="baseline"/>
        </w:rPr>
        <w:t> </w:t>
      </w:r>
      <w:r>
        <w:rPr>
          <w:vertAlign w:val="baseline"/>
        </w:rPr>
        <w:t>rare</w:t>
      </w:r>
      <w:r>
        <w:rPr>
          <w:spacing w:val="-5"/>
          <w:vertAlign w:val="baseline"/>
        </w:rPr>
        <w:t> </w:t>
      </w:r>
      <w:r>
        <w:rPr>
          <w:vertAlign w:val="baseline"/>
        </w:rPr>
        <w:t>instances,</w:t>
      </w:r>
      <w:r>
        <w:rPr>
          <w:spacing w:val="-3"/>
          <w:vertAlign w:val="baseline"/>
        </w:rPr>
        <w:t> </w:t>
      </w:r>
      <w:r>
        <w:rPr>
          <w:vertAlign w:val="baseline"/>
        </w:rPr>
        <w:t>metabolism</w:t>
      </w:r>
      <w:r>
        <w:rPr>
          <w:spacing w:val="-3"/>
          <w:vertAlign w:val="baseline"/>
        </w:rPr>
        <w:t> </w:t>
      </w:r>
      <w:r>
        <w:rPr>
          <w:vertAlign w:val="baseline"/>
        </w:rPr>
        <w:t>is</w:t>
      </w:r>
      <w:r>
        <w:rPr>
          <w:spacing w:val="-3"/>
          <w:vertAlign w:val="baseline"/>
        </w:rPr>
        <w:t> </w:t>
      </w:r>
      <w:r>
        <w:rPr>
          <w:vertAlign w:val="baseline"/>
        </w:rPr>
        <w:t>associated with an altered pharmacological activity. Pro drugs are pharmacologically inactive compounds designed to maximize the amount of the active species that reaches its site of action. Inactive pro-drugs are converted rapidly to biologically active metabolites often by the hydrolysis of an ester or amide linkage. Such is the case with a number of angiotensin- converting enzyme (ACE) inhibitors employed in the management of high blood pressure. Moreover, phase II conjugation reactions lead to the formation of a covalent linkage</w:t>
      </w:r>
      <w:r>
        <w:rPr>
          <w:spacing w:val="40"/>
          <w:vertAlign w:val="baseline"/>
        </w:rPr>
        <w:t> </w:t>
      </w:r>
      <w:r>
        <w:rPr>
          <w:vertAlign w:val="baseline"/>
        </w:rPr>
        <w:t>between</w:t>
      </w:r>
      <w:r>
        <w:rPr>
          <w:spacing w:val="-1"/>
          <w:vertAlign w:val="baseline"/>
        </w:rPr>
        <w:t> </w:t>
      </w:r>
      <w:r>
        <w:rPr>
          <w:vertAlign w:val="baseline"/>
        </w:rPr>
        <w:t>a functional group</w:t>
      </w:r>
      <w:r>
        <w:rPr>
          <w:spacing w:val="-1"/>
          <w:vertAlign w:val="baseline"/>
        </w:rPr>
        <w:t> </w:t>
      </w:r>
      <w:r>
        <w:rPr>
          <w:vertAlign w:val="baseline"/>
        </w:rPr>
        <w:t>on</w:t>
      </w:r>
      <w:r>
        <w:rPr>
          <w:spacing w:val="-1"/>
          <w:vertAlign w:val="baseline"/>
        </w:rPr>
        <w:t> </w:t>
      </w:r>
      <w:r>
        <w:rPr>
          <w:vertAlign w:val="baseline"/>
        </w:rPr>
        <w:t>the</w:t>
      </w:r>
      <w:r>
        <w:rPr>
          <w:spacing w:val="-2"/>
          <w:vertAlign w:val="baseline"/>
        </w:rPr>
        <w:t> </w:t>
      </w:r>
      <w:r>
        <w:rPr>
          <w:vertAlign w:val="baseline"/>
        </w:rPr>
        <w:t>parent</w:t>
      </w:r>
      <w:r>
        <w:rPr>
          <w:spacing w:val="-1"/>
          <w:vertAlign w:val="baseline"/>
        </w:rPr>
        <w:t> </w:t>
      </w:r>
      <w:r>
        <w:rPr>
          <w:vertAlign w:val="baseline"/>
        </w:rPr>
        <w:t>compound</w:t>
      </w:r>
      <w:r>
        <w:rPr>
          <w:spacing w:val="-1"/>
          <w:vertAlign w:val="baseline"/>
        </w:rPr>
        <w:t> </w:t>
      </w:r>
      <w:r>
        <w:rPr>
          <w:vertAlign w:val="baseline"/>
        </w:rPr>
        <w:t>or</w:t>
      </w:r>
      <w:r>
        <w:rPr>
          <w:spacing w:val="-2"/>
          <w:vertAlign w:val="baseline"/>
        </w:rPr>
        <w:t> </w:t>
      </w:r>
      <w:r>
        <w:rPr>
          <w:vertAlign w:val="baseline"/>
        </w:rPr>
        <w:t>phase I</w:t>
      </w:r>
      <w:r>
        <w:rPr>
          <w:spacing w:val="-4"/>
          <w:vertAlign w:val="baseline"/>
        </w:rPr>
        <w:t> </w:t>
      </w:r>
      <w:r>
        <w:rPr>
          <w:vertAlign w:val="baseline"/>
        </w:rPr>
        <w:t>metabolite and</w:t>
      </w:r>
      <w:r>
        <w:rPr>
          <w:spacing w:val="-1"/>
          <w:vertAlign w:val="baseline"/>
        </w:rPr>
        <w:t> </w:t>
      </w:r>
      <w:r>
        <w:rPr>
          <w:vertAlign w:val="baseline"/>
        </w:rPr>
        <w:t>endogenously derived</w:t>
      </w:r>
      <w:r>
        <w:rPr>
          <w:spacing w:val="38"/>
          <w:vertAlign w:val="baseline"/>
        </w:rPr>
        <w:t> </w:t>
      </w:r>
      <w:r>
        <w:rPr>
          <w:vertAlign w:val="baseline"/>
        </w:rPr>
        <w:t>glucuronic</w:t>
      </w:r>
      <w:r>
        <w:rPr>
          <w:spacing w:val="39"/>
          <w:vertAlign w:val="baseline"/>
        </w:rPr>
        <w:t> </w:t>
      </w:r>
      <w:r>
        <w:rPr>
          <w:vertAlign w:val="baseline"/>
        </w:rPr>
        <w:t>acid,</w:t>
      </w:r>
      <w:r>
        <w:rPr>
          <w:spacing w:val="42"/>
          <w:vertAlign w:val="baseline"/>
        </w:rPr>
        <w:t> </w:t>
      </w:r>
      <w:r>
        <w:rPr>
          <w:vertAlign w:val="baseline"/>
        </w:rPr>
        <w:t>sulfate,</w:t>
      </w:r>
      <w:r>
        <w:rPr>
          <w:spacing w:val="38"/>
          <w:vertAlign w:val="baseline"/>
        </w:rPr>
        <w:t> </w:t>
      </w:r>
      <w:r>
        <w:rPr>
          <w:vertAlign w:val="baseline"/>
        </w:rPr>
        <w:t>glutathione,</w:t>
      </w:r>
      <w:r>
        <w:rPr>
          <w:spacing w:val="41"/>
          <w:vertAlign w:val="baseline"/>
        </w:rPr>
        <w:t> </w:t>
      </w:r>
      <w:r>
        <w:rPr>
          <w:vertAlign w:val="baseline"/>
        </w:rPr>
        <w:t>amino</w:t>
      </w:r>
      <w:r>
        <w:rPr>
          <w:spacing w:val="38"/>
          <w:vertAlign w:val="baseline"/>
        </w:rPr>
        <w:t> </w:t>
      </w:r>
      <w:r>
        <w:rPr>
          <w:vertAlign w:val="baseline"/>
        </w:rPr>
        <w:t>acids,</w:t>
      </w:r>
      <w:r>
        <w:rPr>
          <w:spacing w:val="40"/>
          <w:vertAlign w:val="baseline"/>
        </w:rPr>
        <w:t> </w:t>
      </w:r>
      <w:r>
        <w:rPr>
          <w:vertAlign w:val="baseline"/>
        </w:rPr>
        <w:t>or</w:t>
      </w:r>
      <w:r>
        <w:rPr>
          <w:spacing w:val="37"/>
          <w:vertAlign w:val="baseline"/>
        </w:rPr>
        <w:t> </w:t>
      </w:r>
      <w:r>
        <w:rPr>
          <w:vertAlign w:val="baseline"/>
        </w:rPr>
        <w:t>acetate.</w:t>
      </w:r>
      <w:r>
        <w:rPr>
          <w:spacing w:val="39"/>
          <w:vertAlign w:val="baseline"/>
        </w:rPr>
        <w:t> </w:t>
      </w:r>
      <w:r>
        <w:rPr>
          <w:vertAlign w:val="baseline"/>
        </w:rPr>
        <w:t>These</w:t>
      </w:r>
      <w:r>
        <w:rPr>
          <w:spacing w:val="37"/>
          <w:vertAlign w:val="baseline"/>
        </w:rPr>
        <w:t> </w:t>
      </w:r>
      <w:r>
        <w:rPr>
          <w:vertAlign w:val="baseline"/>
        </w:rPr>
        <w:t>highly</w:t>
      </w:r>
      <w:r>
        <w:rPr>
          <w:spacing w:val="34"/>
          <w:vertAlign w:val="baseline"/>
        </w:rPr>
        <w:t> </w:t>
      </w:r>
      <w:r>
        <w:rPr>
          <w:spacing w:val="-2"/>
          <w:vertAlign w:val="baseline"/>
        </w:rPr>
        <w:t>polar</w:t>
      </w:r>
    </w:p>
    <w:p>
      <w:pPr>
        <w:spacing w:after="0" w:line="480" w:lineRule="auto"/>
        <w:jc w:val="both"/>
        <w:sectPr>
          <w:pgSz w:w="12240" w:h="15840"/>
          <w:pgMar w:header="0" w:footer="1068" w:top="1540" w:bottom="1260" w:left="1420" w:right="440"/>
        </w:sectPr>
      </w:pPr>
    </w:p>
    <w:p>
      <w:pPr>
        <w:pStyle w:val="BodyText"/>
        <w:spacing w:line="480" w:lineRule="auto" w:before="72"/>
        <w:ind w:left="380" w:right="1084"/>
        <w:jc w:val="both"/>
      </w:pPr>
      <w:r>
        <w:rPr/>
        <w:t>conjugates generally are inactive and are excreted rapidly in the urine and faeces. An example of an active conjugate is the 6-glucuronide metabolite of </w:t>
      </w:r>
      <w:r>
        <w:rPr>
          <w:i/>
        </w:rPr>
        <w:t>morphine, </w:t>
      </w:r>
      <w:r>
        <w:rPr/>
        <w:t>which is a</w:t>
      </w:r>
      <w:r>
        <w:rPr>
          <w:spacing w:val="40"/>
        </w:rPr>
        <w:t> </w:t>
      </w:r>
      <w:r>
        <w:rPr/>
        <w:t>more potent analgesic than its parent. The enzyme systems involved in the</w:t>
      </w:r>
      <w:r>
        <w:rPr>
          <w:spacing w:val="40"/>
        </w:rPr>
        <w:t> </w:t>
      </w:r>
      <w:r>
        <w:rPr/>
        <w:t>biotransformation of drugs are localized primarily in the liver, although every tissue examined has some metabolic activity. Other organs with significant metabolic capacity include the GI tract, kidneys, and lungs (Katzung, 2004; Iain, 2006).</w:t>
      </w:r>
    </w:p>
    <w:p>
      <w:pPr>
        <w:pStyle w:val="Heading2"/>
        <w:numPr>
          <w:ilvl w:val="2"/>
          <w:numId w:val="12"/>
        </w:numPr>
        <w:tabs>
          <w:tab w:pos="920" w:val="left" w:leader="none"/>
        </w:tabs>
        <w:spacing w:line="240" w:lineRule="auto" w:before="6" w:after="0"/>
        <w:ind w:left="920" w:right="0" w:hanging="540"/>
        <w:jc w:val="both"/>
      </w:pPr>
      <w:bookmarkStart w:name="_TOC_250068" w:id="16"/>
      <w:bookmarkEnd w:id="16"/>
      <w:r>
        <w:rPr>
          <w:spacing w:val="-2"/>
        </w:rPr>
        <w:t>Excretion</w:t>
      </w:r>
    </w:p>
    <w:p>
      <w:pPr>
        <w:pStyle w:val="BodyText"/>
        <w:spacing w:line="480" w:lineRule="auto" w:before="271"/>
        <w:ind w:left="380" w:right="1082"/>
        <w:jc w:val="both"/>
      </w:pPr>
      <w:r>
        <w:rPr/>
        <w:t>This is the irreversible removal of drug from the body and commonly occurs via the kidney or biliary tract. Drugs are eliminated from the body either unchanged by the process of excretion or converted to metabolites. Excretory organs, the lung excluded, eliminate polar compounds more efficiently than substances with high lipid solubility. Lipid-soluble drugs thus</w:t>
      </w:r>
      <w:r>
        <w:rPr>
          <w:spacing w:val="40"/>
        </w:rPr>
        <w:t> </w:t>
      </w:r>
      <w:r>
        <w:rPr/>
        <w:t>are</w:t>
      </w:r>
      <w:r>
        <w:rPr>
          <w:spacing w:val="40"/>
        </w:rPr>
        <w:t> </w:t>
      </w:r>
      <w:r>
        <w:rPr/>
        <w:t>not</w:t>
      </w:r>
      <w:r>
        <w:rPr>
          <w:spacing w:val="40"/>
        </w:rPr>
        <w:t> </w:t>
      </w:r>
      <w:r>
        <w:rPr/>
        <w:t>readily</w:t>
      </w:r>
      <w:r>
        <w:rPr>
          <w:spacing w:val="40"/>
        </w:rPr>
        <w:t> </w:t>
      </w:r>
      <w:r>
        <w:rPr/>
        <w:t>eliminated</w:t>
      </w:r>
      <w:r>
        <w:rPr>
          <w:spacing w:val="40"/>
        </w:rPr>
        <w:t> </w:t>
      </w:r>
      <w:r>
        <w:rPr/>
        <w:t>until</w:t>
      </w:r>
      <w:r>
        <w:rPr>
          <w:spacing w:val="40"/>
        </w:rPr>
        <w:t> </w:t>
      </w:r>
      <w:r>
        <w:rPr/>
        <w:t>they</w:t>
      </w:r>
      <w:r>
        <w:rPr>
          <w:spacing w:val="40"/>
        </w:rPr>
        <w:t> </w:t>
      </w:r>
      <w:r>
        <w:rPr/>
        <w:t>are</w:t>
      </w:r>
      <w:r>
        <w:rPr>
          <w:spacing w:val="40"/>
        </w:rPr>
        <w:t> </w:t>
      </w:r>
      <w:r>
        <w:rPr/>
        <w:t>metabolized</w:t>
      </w:r>
      <w:r>
        <w:rPr>
          <w:spacing w:val="40"/>
        </w:rPr>
        <w:t> </w:t>
      </w:r>
      <w:r>
        <w:rPr/>
        <w:t>to</w:t>
      </w:r>
      <w:r>
        <w:rPr>
          <w:spacing w:val="40"/>
        </w:rPr>
        <w:t> </w:t>
      </w:r>
      <w:r>
        <w:rPr/>
        <w:t>more</w:t>
      </w:r>
      <w:r>
        <w:rPr>
          <w:spacing w:val="40"/>
        </w:rPr>
        <w:t> </w:t>
      </w:r>
      <w:r>
        <w:rPr/>
        <w:t>polar</w:t>
      </w:r>
      <w:r>
        <w:rPr>
          <w:spacing w:val="-2"/>
        </w:rPr>
        <w:t> </w:t>
      </w:r>
      <w:r>
        <w:rPr/>
        <w:t>compounds.</w:t>
      </w:r>
      <w:r>
        <w:rPr>
          <w:spacing w:val="40"/>
        </w:rPr>
        <w:t> </w:t>
      </w:r>
      <w:r>
        <w:rPr/>
        <w:t>The kidney is the most important organ for excreting drugs and their metabolites. Renal excretion of unchanged drug plays only a modest role in the overall elimination of most therapeutic agents because lipophilic compounds filtered through the glomerulus are largely reabsorbed into the systemic circulation during passage through the renal tubules.</w:t>
      </w:r>
      <w:r>
        <w:rPr>
          <w:spacing w:val="40"/>
        </w:rPr>
        <w:t> </w:t>
      </w:r>
      <w:r>
        <w:rPr/>
        <w:t>Substances excreted in the faeces are principally unabsorbed.</w:t>
      </w:r>
      <w:r>
        <w:rPr>
          <w:spacing w:val="40"/>
        </w:rPr>
        <w:t> </w:t>
      </w:r>
      <w:r>
        <w:rPr/>
        <w:t>Orally ingested drugs or drug metabolites excreted either in the bile or secreted directly into the intestinal tract and not reabsorbed. Excretion of drugs in breast milk is important not because of the amounts eliminated, but because the excreted drugs are potential sources of unwanted pharmacological effects in the nursing infant. Excretion from the lung is important mainly for the elimination of anesthetic gases (Katzung, 2004; Iain, 2006).</w:t>
      </w:r>
    </w:p>
    <w:p>
      <w:pPr>
        <w:spacing w:after="0" w:line="480" w:lineRule="auto"/>
        <w:jc w:val="both"/>
        <w:sectPr>
          <w:pgSz w:w="12240" w:h="15840"/>
          <w:pgMar w:header="0" w:footer="1068" w:top="1540" w:bottom="1260" w:left="1420" w:right="440"/>
        </w:sectPr>
      </w:pPr>
    </w:p>
    <w:p>
      <w:pPr>
        <w:pStyle w:val="Heading2"/>
        <w:numPr>
          <w:ilvl w:val="1"/>
          <w:numId w:val="12"/>
        </w:numPr>
        <w:tabs>
          <w:tab w:pos="3702" w:val="left" w:leader="none"/>
        </w:tabs>
        <w:spacing w:line="240" w:lineRule="auto" w:before="77" w:after="0"/>
        <w:ind w:left="3702" w:right="0" w:hanging="360"/>
        <w:jc w:val="left"/>
      </w:pPr>
      <w:bookmarkStart w:name="_TOC_250067" w:id="17"/>
      <w:r>
        <w:rPr/>
        <w:t>Theoretical</w:t>
      </w:r>
      <w:r>
        <w:rPr>
          <w:spacing w:val="-3"/>
        </w:rPr>
        <w:t> </w:t>
      </w:r>
      <w:bookmarkEnd w:id="17"/>
      <w:r>
        <w:rPr>
          <w:spacing w:val="-2"/>
        </w:rPr>
        <w:t>Framework</w:t>
      </w:r>
    </w:p>
    <w:p>
      <w:pPr>
        <w:pStyle w:val="BodyText"/>
        <w:spacing w:before="36"/>
        <w:rPr>
          <w:b/>
        </w:rPr>
      </w:pPr>
    </w:p>
    <w:p>
      <w:pPr>
        <w:pStyle w:val="BodyText"/>
        <w:spacing w:line="480" w:lineRule="auto"/>
        <w:ind w:left="380" w:right="1087"/>
        <w:jc w:val="both"/>
      </w:pPr>
      <w:r>
        <w:rPr/>
        <w:t>Accurate </w:t>
      </w:r>
      <w:r>
        <w:rPr>
          <w:i/>
        </w:rPr>
        <w:t>in vitro </w:t>
      </w:r>
      <w:r>
        <w:rPr/>
        <w:t>dissolution tests can be employed as a regulatory tool for the replacement of certain bioequivalence studies. The intrinsic dissolution test is a tool for determining the solubility of drugs within the scope of the BCS (Michele </w:t>
      </w:r>
      <w:r>
        <w:rPr>
          <w:i/>
        </w:rPr>
        <w:t>et al</w:t>
      </w:r>
      <w:r>
        <w:rPr>
          <w:b/>
          <w:i/>
        </w:rPr>
        <w:t>., </w:t>
      </w:r>
      <w:r>
        <w:rPr/>
        <w:t>2011).</w:t>
      </w:r>
      <w:r>
        <w:rPr>
          <w:spacing w:val="40"/>
        </w:rPr>
        <w:t> </w:t>
      </w:r>
      <w:r>
        <w:rPr/>
        <w:t>The introduction of the biopharmaceutics classification system in 1995 as a result of continuous effort on mathematical analysis to elucidate the kinetics and dynamics of drug processes in the</w:t>
      </w:r>
      <w:r>
        <w:rPr>
          <w:spacing w:val="80"/>
        </w:rPr>
        <w:t> </w:t>
      </w:r>
      <w:r>
        <w:rPr/>
        <w:t>gastro-intestinal track (GIT) These steps certainly reduce timelines in drug evaluation process including unnecessary drug exposure in healthy volunteers hence allowing the prediction of </w:t>
      </w:r>
      <w:r>
        <w:rPr>
          <w:i/>
        </w:rPr>
        <w:t>in vivo </w:t>
      </w:r>
      <w:r>
        <w:rPr/>
        <w:t>pharmacokinetics profile of orally administered drugs. It also allows solubility determination</w:t>
      </w:r>
      <w:r>
        <w:rPr>
          <w:spacing w:val="40"/>
        </w:rPr>
        <w:t> </w:t>
      </w:r>
      <w:r>
        <w:rPr/>
        <w:t>depending on the ionization characterististics of the test drug in standard</w:t>
      </w:r>
      <w:r>
        <w:rPr>
          <w:spacing w:val="-2"/>
        </w:rPr>
        <w:t> </w:t>
      </w:r>
      <w:r>
        <w:rPr/>
        <w:t>buffer</w:t>
      </w:r>
      <w:r>
        <w:rPr>
          <w:spacing w:val="-2"/>
        </w:rPr>
        <w:t> </w:t>
      </w:r>
      <w:r>
        <w:rPr/>
        <w:t>solutions described</w:t>
      </w:r>
      <w:r>
        <w:rPr>
          <w:spacing w:val="-1"/>
        </w:rPr>
        <w:t> </w:t>
      </w:r>
      <w:r>
        <w:rPr/>
        <w:t>by</w:t>
      </w:r>
      <w:r>
        <w:rPr>
          <w:spacing w:val="-6"/>
        </w:rPr>
        <w:t> </w:t>
      </w:r>
      <w:r>
        <w:rPr/>
        <w:t>the</w:t>
      </w:r>
      <w:r>
        <w:rPr>
          <w:spacing w:val="-2"/>
        </w:rPr>
        <w:t> </w:t>
      </w:r>
      <w:r>
        <w:rPr/>
        <w:t>pharmacopeias</w:t>
      </w:r>
      <w:r>
        <w:rPr>
          <w:spacing w:val="-2"/>
        </w:rPr>
        <w:t> </w:t>
      </w:r>
      <w:r>
        <w:rPr/>
        <w:t>to</w:t>
      </w:r>
      <w:r>
        <w:rPr>
          <w:spacing w:val="-1"/>
        </w:rPr>
        <w:t> </w:t>
      </w:r>
      <w:r>
        <w:rPr/>
        <w:t>be</w:t>
      </w:r>
      <w:r>
        <w:rPr>
          <w:spacing w:val="-2"/>
        </w:rPr>
        <w:t> </w:t>
      </w:r>
      <w:r>
        <w:rPr/>
        <w:t>determined using</w:t>
      </w:r>
      <w:r>
        <w:rPr>
          <w:spacing w:val="-3"/>
        </w:rPr>
        <w:t> </w:t>
      </w:r>
      <w:r>
        <w:rPr/>
        <w:t>a validated assays,</w:t>
      </w:r>
      <w:r>
        <w:rPr>
          <w:spacing w:val="80"/>
        </w:rPr>
        <w:t> </w:t>
      </w:r>
      <w:r>
        <w:rPr/>
        <w:t>UV-Visible spectrophotometry</w:t>
      </w:r>
      <w:r>
        <w:rPr>
          <w:spacing w:val="-3"/>
        </w:rPr>
        <w:t> </w:t>
      </w:r>
      <w:r>
        <w:rPr/>
        <w:t>is among</w:t>
      </w:r>
      <w:r>
        <w:rPr>
          <w:spacing w:val="40"/>
        </w:rPr>
        <w:t> </w:t>
      </w:r>
      <w:r>
        <w:rPr/>
        <w:t>the most frequently</w:t>
      </w:r>
      <w:r>
        <w:rPr>
          <w:spacing w:val="-3"/>
        </w:rPr>
        <w:t> </w:t>
      </w:r>
      <w:r>
        <w:rPr/>
        <w:t>employed techniques in pharmaceutical analysis. It involves measuring the amount of ultraviolet or visible radiation absorbed by a substance in solution (David, 2000; Behera </w:t>
      </w:r>
      <w:r>
        <w:rPr>
          <w:i/>
        </w:rPr>
        <w:t>et al., </w:t>
      </w:r>
      <w:r>
        <w:rPr/>
        <w:t>2012).</w:t>
      </w:r>
    </w:p>
    <w:p>
      <w:pPr>
        <w:pStyle w:val="BodyText"/>
        <w:spacing w:line="480" w:lineRule="auto" w:before="40"/>
        <w:ind w:left="380" w:right="1084"/>
        <w:jc w:val="both"/>
      </w:pPr>
      <w:r>
        <w:rPr/>
        <w:t>In qualitative analysis, organic compounds can be identified by use of UV spectrophotometer, though not a very reliable tool for identification compared to infrared spectroscopy and melting points determination.</w:t>
      </w:r>
      <w:r>
        <w:rPr>
          <w:spacing w:val="40"/>
        </w:rPr>
        <w:t> </w:t>
      </w:r>
      <w:r>
        <w:rPr/>
        <w:t>Spectrophotometric technique is simple, rapid, economical,</w:t>
      </w:r>
      <w:r>
        <w:rPr>
          <w:spacing w:val="-3"/>
        </w:rPr>
        <w:t> </w:t>
      </w:r>
      <w:r>
        <w:rPr/>
        <w:t>reproducible, yet reliable, moderately specific and applicable to small quantities of compounds (Behera </w:t>
      </w:r>
      <w:r>
        <w:rPr>
          <w:i/>
        </w:rPr>
        <w:t>et al., </w:t>
      </w:r>
      <w:r>
        <w:rPr/>
        <w:t>2012).</w:t>
      </w:r>
    </w:p>
    <w:p>
      <w:pPr>
        <w:pStyle w:val="BodyText"/>
        <w:spacing w:line="480" w:lineRule="auto" w:before="42"/>
        <w:ind w:left="380" w:right="1086"/>
        <w:jc w:val="both"/>
      </w:pPr>
      <w:r>
        <w:rPr/>
        <w:t>Quantitative analysis using UV/ Visible spectroscopy basically relates the concentration of analyte</w:t>
      </w:r>
      <w:r>
        <w:rPr>
          <w:spacing w:val="-3"/>
        </w:rPr>
        <w:t> </w:t>
      </w:r>
      <w:r>
        <w:rPr/>
        <w:t>and</w:t>
      </w:r>
      <w:r>
        <w:rPr>
          <w:spacing w:val="-2"/>
        </w:rPr>
        <w:t> </w:t>
      </w:r>
      <w:r>
        <w:rPr/>
        <w:t>the</w:t>
      </w:r>
      <w:r>
        <w:rPr>
          <w:spacing w:val="-3"/>
        </w:rPr>
        <w:t> </w:t>
      </w:r>
      <w:r>
        <w:rPr/>
        <w:t>intensity</w:t>
      </w:r>
      <w:r>
        <w:rPr>
          <w:spacing w:val="-5"/>
        </w:rPr>
        <w:t> </w:t>
      </w:r>
      <w:r>
        <w:rPr/>
        <w:t>of</w:t>
      </w:r>
      <w:r>
        <w:rPr>
          <w:spacing w:val="-3"/>
        </w:rPr>
        <w:t> </w:t>
      </w:r>
      <w:r>
        <w:rPr/>
        <w:t>light</w:t>
      </w:r>
      <w:r>
        <w:rPr>
          <w:spacing w:val="-2"/>
        </w:rPr>
        <w:t> </w:t>
      </w:r>
      <w:r>
        <w:rPr/>
        <w:t>absorbed. In</w:t>
      </w:r>
      <w:r>
        <w:rPr>
          <w:spacing w:val="-2"/>
        </w:rPr>
        <w:t> </w:t>
      </w:r>
      <w:r>
        <w:rPr/>
        <w:t>addition,</w:t>
      </w:r>
      <w:r>
        <w:rPr>
          <w:spacing w:val="-2"/>
        </w:rPr>
        <w:t> </w:t>
      </w:r>
      <w:r>
        <w:rPr/>
        <w:t>features</w:t>
      </w:r>
      <w:r>
        <w:rPr>
          <w:spacing w:val="-2"/>
        </w:rPr>
        <w:t> </w:t>
      </w:r>
      <w:r>
        <w:rPr/>
        <w:t>of</w:t>
      </w:r>
      <w:r>
        <w:rPr>
          <w:spacing w:val="-2"/>
        </w:rPr>
        <w:t> </w:t>
      </w:r>
      <w:r>
        <w:rPr/>
        <w:t>absorption</w:t>
      </w:r>
      <w:r>
        <w:rPr>
          <w:spacing w:val="-2"/>
        </w:rPr>
        <w:t> </w:t>
      </w:r>
      <w:r>
        <w:rPr/>
        <w:t>spectra</w:t>
      </w:r>
      <w:r>
        <w:rPr>
          <w:spacing w:val="-2"/>
        </w:rPr>
        <w:t> </w:t>
      </w:r>
      <w:r>
        <w:rPr/>
        <w:t>such</w:t>
      </w:r>
      <w:r>
        <w:rPr>
          <w:spacing w:val="-3"/>
        </w:rPr>
        <w:t> </w:t>
      </w:r>
      <w:r>
        <w:rPr/>
        <w:t>as the molar absorptivity, spectral position, and shape and breadth of the absorption band are related</w:t>
      </w:r>
      <w:r>
        <w:rPr>
          <w:spacing w:val="37"/>
        </w:rPr>
        <w:t> </w:t>
      </w:r>
      <w:r>
        <w:rPr/>
        <w:t>to</w:t>
      </w:r>
      <w:r>
        <w:rPr>
          <w:spacing w:val="40"/>
        </w:rPr>
        <w:t> </w:t>
      </w:r>
      <w:r>
        <w:rPr/>
        <w:t>molecular</w:t>
      </w:r>
      <w:r>
        <w:rPr>
          <w:spacing w:val="39"/>
        </w:rPr>
        <w:t> </w:t>
      </w:r>
      <w:r>
        <w:rPr/>
        <w:t>structure</w:t>
      </w:r>
      <w:r>
        <w:rPr>
          <w:spacing w:val="38"/>
        </w:rPr>
        <w:t> </w:t>
      </w:r>
      <w:r>
        <w:rPr/>
        <w:t>and</w:t>
      </w:r>
      <w:r>
        <w:rPr>
          <w:spacing w:val="39"/>
        </w:rPr>
        <w:t> </w:t>
      </w:r>
      <w:r>
        <w:rPr/>
        <w:t>environment</w:t>
      </w:r>
      <w:r>
        <w:rPr>
          <w:spacing w:val="42"/>
        </w:rPr>
        <w:t> </w:t>
      </w:r>
      <w:r>
        <w:rPr/>
        <w:t>and</w:t>
      </w:r>
      <w:r>
        <w:rPr>
          <w:spacing w:val="40"/>
        </w:rPr>
        <w:t> </w:t>
      </w:r>
      <w:r>
        <w:rPr/>
        <w:t>therefore</w:t>
      </w:r>
      <w:r>
        <w:rPr>
          <w:spacing w:val="37"/>
        </w:rPr>
        <w:t> </w:t>
      </w:r>
      <w:r>
        <w:rPr/>
        <w:t>can</w:t>
      </w:r>
      <w:r>
        <w:rPr>
          <w:spacing w:val="39"/>
        </w:rPr>
        <w:t> </w:t>
      </w:r>
      <w:r>
        <w:rPr/>
        <w:t>be</w:t>
      </w:r>
      <w:r>
        <w:rPr>
          <w:spacing w:val="39"/>
        </w:rPr>
        <w:t> </w:t>
      </w:r>
      <w:r>
        <w:rPr/>
        <w:t>used</w:t>
      </w:r>
      <w:r>
        <w:rPr>
          <w:spacing w:val="39"/>
        </w:rPr>
        <w:t> </w:t>
      </w:r>
      <w:r>
        <w:rPr/>
        <w:t>for</w:t>
      </w:r>
      <w:r>
        <w:rPr>
          <w:spacing w:val="39"/>
        </w:rPr>
        <w:t> </w:t>
      </w:r>
      <w:r>
        <w:rPr>
          <w:spacing w:val="-2"/>
        </w:rPr>
        <w:t>qualitative</w:t>
      </w:r>
    </w:p>
    <w:p>
      <w:pPr>
        <w:spacing w:after="0" w:line="480" w:lineRule="auto"/>
        <w:jc w:val="both"/>
        <w:sectPr>
          <w:pgSz w:w="12240" w:h="15840"/>
          <w:pgMar w:header="0" w:footer="1068" w:top="1540" w:bottom="1260" w:left="1420" w:right="440"/>
        </w:sectPr>
      </w:pPr>
    </w:p>
    <w:p>
      <w:pPr>
        <w:pStyle w:val="BodyText"/>
        <w:spacing w:line="480" w:lineRule="auto" w:before="72"/>
        <w:ind w:left="380" w:right="1087"/>
        <w:jc w:val="both"/>
      </w:pPr>
      <w:r>
        <w:rPr/>
        <w:t>analysis. With the aid of UV spectroscopy alone, methods of analysis can be developed; validated or even modification of an already existing method can be made and re-validated (Behera </w:t>
      </w:r>
      <w:r>
        <w:rPr>
          <w:i/>
        </w:rPr>
        <w:t>et al., </w:t>
      </w:r>
      <w:r>
        <w:rPr/>
        <w:t>2012).</w:t>
      </w:r>
    </w:p>
    <w:p>
      <w:pPr>
        <w:pStyle w:val="BodyText"/>
        <w:spacing w:line="480" w:lineRule="auto" w:before="41"/>
        <w:ind w:left="380" w:right="1083"/>
        <w:jc w:val="both"/>
      </w:pPr>
      <w:r>
        <w:rPr/>
        <w:t>Quantification of medicinal substance using UV spectrophotometer may be carried out by preparing solution in a clear transparent solvent and measuring it’s absorbance at suitable wavelength. The wavelength normally selected is wavelength of maximum absorption (λmax), where small error in setting the wavelength scale has little effect on measured absorbance. Ideally, concentration should be adjusted to give an absorbance of approximately 0.9 around which the accuracy and precision of</w:t>
      </w:r>
      <w:r>
        <w:rPr>
          <w:spacing w:val="80"/>
        </w:rPr>
        <w:t> </w:t>
      </w:r>
      <w:r>
        <w:rPr/>
        <w:t>the measurements are optimal (Behera </w:t>
      </w:r>
      <w:r>
        <w:rPr>
          <w:i/>
        </w:rPr>
        <w:t>et al., </w:t>
      </w:r>
      <w:r>
        <w:rPr/>
        <w:t>2012; David, 2000).Tinidazole can as well be analysed using UV spectrophotometer due to its chromophoric groups</w:t>
      </w:r>
    </w:p>
    <w:p>
      <w:pPr>
        <w:pStyle w:val="Heading2"/>
        <w:numPr>
          <w:ilvl w:val="1"/>
          <w:numId w:val="12"/>
        </w:numPr>
        <w:tabs>
          <w:tab w:pos="3301" w:val="left" w:leader="none"/>
        </w:tabs>
        <w:spacing w:line="240" w:lineRule="auto" w:before="44" w:after="0"/>
        <w:ind w:left="3301" w:right="0" w:hanging="360"/>
        <w:jc w:val="both"/>
      </w:pPr>
      <w:bookmarkStart w:name="_TOC_250066" w:id="18"/>
      <w:r>
        <w:rPr/>
        <w:t>Statement</w:t>
      </w:r>
      <w:r>
        <w:rPr>
          <w:spacing w:val="-3"/>
        </w:rPr>
        <w:t> </w:t>
      </w:r>
      <w:r>
        <w:rPr/>
        <w:t>of</w:t>
      </w:r>
      <w:r>
        <w:rPr>
          <w:spacing w:val="-2"/>
        </w:rPr>
        <w:t> </w:t>
      </w:r>
      <w:r>
        <w:rPr/>
        <w:t>Research</w:t>
      </w:r>
      <w:bookmarkEnd w:id="18"/>
      <w:r>
        <w:rPr>
          <w:spacing w:val="-2"/>
        </w:rPr>
        <w:t> Problem</w:t>
      </w:r>
    </w:p>
    <w:p>
      <w:pPr>
        <w:pStyle w:val="BodyText"/>
        <w:spacing w:line="480" w:lineRule="auto" w:before="272"/>
        <w:ind w:left="380" w:right="1086"/>
        <w:jc w:val="both"/>
      </w:pPr>
      <w:r>
        <w:rPr/>
        <w:t>In the last four decades, there is an increased use of generic drug products in order to lower the healthcare cost. With increased availability and use of these generic drug products, prescribers are encountered with a large number of multisource products from which they have to select therapeutically equivalent products. Generic substitution is of concern not</w:t>
      </w:r>
      <w:r>
        <w:rPr>
          <w:spacing w:val="40"/>
        </w:rPr>
        <w:t> </w:t>
      </w:r>
      <w:r>
        <w:rPr/>
        <w:t>only for healthcare professionals but also for pharmaceutical industries, consumers and government officials. Many research papers have pointed out the concern regarding standards for approval of generic products, which may not always ensure therapeutic equivalence (Chen and Lesko, 2001;</w:t>
      </w:r>
      <w:r>
        <w:rPr>
          <w:spacing w:val="40"/>
        </w:rPr>
        <w:t> </w:t>
      </w:r>
      <w:r>
        <w:rPr/>
        <w:t>Boix-Montanes, 2011). The potential non equivalence of different preparations of the same drug has been a matter of concern. Reinforced regulatory</w:t>
      </w:r>
      <w:r>
        <w:rPr>
          <w:spacing w:val="-4"/>
        </w:rPr>
        <w:t> </w:t>
      </w:r>
      <w:r>
        <w:rPr/>
        <w:t>requirements have resulted in few documented cases of non-equivalence between approved</w:t>
      </w:r>
      <w:r>
        <w:rPr>
          <w:spacing w:val="1"/>
        </w:rPr>
        <w:t> </w:t>
      </w:r>
      <w:r>
        <w:rPr/>
        <w:t>drug</w:t>
      </w:r>
      <w:r>
        <w:rPr>
          <w:spacing w:val="2"/>
        </w:rPr>
        <w:t> </w:t>
      </w:r>
      <w:r>
        <w:rPr/>
        <w:t>products</w:t>
      </w:r>
      <w:r>
        <w:rPr>
          <w:spacing w:val="5"/>
        </w:rPr>
        <w:t> </w:t>
      </w:r>
      <w:r>
        <w:rPr/>
        <w:t>in</w:t>
      </w:r>
      <w:r>
        <w:rPr>
          <w:spacing w:val="3"/>
        </w:rPr>
        <w:t> </w:t>
      </w:r>
      <w:r>
        <w:rPr/>
        <w:t>recent</w:t>
      </w:r>
      <w:r>
        <w:rPr>
          <w:spacing w:val="9"/>
        </w:rPr>
        <w:t> </w:t>
      </w:r>
      <w:r>
        <w:rPr/>
        <w:t>years.</w:t>
      </w:r>
      <w:r>
        <w:rPr>
          <w:spacing w:val="4"/>
        </w:rPr>
        <w:t> </w:t>
      </w:r>
      <w:r>
        <w:rPr/>
        <w:t>Several</w:t>
      </w:r>
      <w:r>
        <w:rPr>
          <w:spacing w:val="6"/>
        </w:rPr>
        <w:t> </w:t>
      </w:r>
      <w:r>
        <w:rPr/>
        <w:t>brands</w:t>
      </w:r>
      <w:r>
        <w:rPr>
          <w:spacing w:val="4"/>
        </w:rPr>
        <w:t> </w:t>
      </w:r>
      <w:r>
        <w:rPr/>
        <w:t>of</w:t>
      </w:r>
      <w:r>
        <w:rPr>
          <w:spacing w:val="3"/>
        </w:rPr>
        <w:t> </w:t>
      </w:r>
      <w:r>
        <w:rPr/>
        <w:t>tinidazole</w:t>
      </w:r>
      <w:r>
        <w:rPr>
          <w:spacing w:val="3"/>
        </w:rPr>
        <w:t> </w:t>
      </w:r>
      <w:r>
        <w:rPr/>
        <w:t>tablets</w:t>
      </w:r>
      <w:r>
        <w:rPr>
          <w:spacing w:val="7"/>
        </w:rPr>
        <w:t> </w:t>
      </w:r>
      <w:r>
        <w:rPr/>
        <w:t>exist</w:t>
      </w:r>
      <w:r>
        <w:rPr>
          <w:spacing w:val="5"/>
        </w:rPr>
        <w:t> </w:t>
      </w:r>
      <w:r>
        <w:rPr/>
        <w:t>in</w:t>
      </w:r>
      <w:r>
        <w:rPr>
          <w:spacing w:val="5"/>
        </w:rPr>
        <w:t> </w:t>
      </w:r>
      <w:r>
        <w:rPr>
          <w:spacing w:val="-2"/>
        </w:rPr>
        <w:t>addition</w:t>
      </w:r>
    </w:p>
    <w:p>
      <w:pPr>
        <w:spacing w:after="0" w:line="480" w:lineRule="auto"/>
        <w:jc w:val="both"/>
        <w:sectPr>
          <w:pgSz w:w="12240" w:h="15840"/>
          <w:pgMar w:header="0" w:footer="1068" w:top="1540" w:bottom="1260" w:left="1420" w:right="440"/>
        </w:sectPr>
      </w:pPr>
    </w:p>
    <w:p>
      <w:pPr>
        <w:pStyle w:val="BodyText"/>
        <w:spacing w:line="480" w:lineRule="auto" w:before="72"/>
        <w:ind w:left="380" w:right="1083"/>
        <w:jc w:val="both"/>
      </w:pPr>
      <w:r>
        <w:rPr/>
        <w:t>to its several other dosage forms particularly capsules because of the claim that tinidazole capsules are more potent and well complied with, by patients than there tablet counterparts because</w:t>
      </w:r>
      <w:r>
        <w:rPr>
          <w:spacing w:val="-2"/>
        </w:rPr>
        <w:t> </w:t>
      </w:r>
      <w:r>
        <w:rPr/>
        <w:t>of</w:t>
      </w:r>
      <w:r>
        <w:rPr>
          <w:spacing w:val="40"/>
        </w:rPr>
        <w:t> </w:t>
      </w:r>
      <w:r>
        <w:rPr/>
        <w:t>its</w:t>
      </w:r>
      <w:r>
        <w:rPr>
          <w:spacing w:val="-1"/>
        </w:rPr>
        <w:t> </w:t>
      </w:r>
      <w:r>
        <w:rPr/>
        <w:t>bitter</w:t>
      </w:r>
      <w:r>
        <w:rPr>
          <w:spacing w:val="-3"/>
        </w:rPr>
        <w:t> </w:t>
      </w:r>
      <w:r>
        <w:rPr/>
        <w:t>and</w:t>
      </w:r>
      <w:r>
        <w:rPr>
          <w:spacing w:val="-3"/>
        </w:rPr>
        <w:t> </w:t>
      </w:r>
      <w:r>
        <w:rPr/>
        <w:t>metallic</w:t>
      </w:r>
      <w:r>
        <w:rPr>
          <w:spacing w:val="-2"/>
        </w:rPr>
        <w:t> </w:t>
      </w:r>
      <w:r>
        <w:rPr/>
        <w:t>taste.</w:t>
      </w:r>
      <w:r>
        <w:rPr>
          <w:spacing w:val="-1"/>
        </w:rPr>
        <w:t> </w:t>
      </w:r>
      <w:r>
        <w:rPr/>
        <w:t>Similarly, it</w:t>
      </w:r>
      <w:r>
        <w:rPr>
          <w:spacing w:val="-1"/>
        </w:rPr>
        <w:t> </w:t>
      </w:r>
      <w:r>
        <w:rPr/>
        <w:t>is</w:t>
      </w:r>
      <w:r>
        <w:rPr>
          <w:spacing w:val="-3"/>
        </w:rPr>
        <w:t> </w:t>
      </w:r>
      <w:r>
        <w:rPr/>
        <w:t>claimed</w:t>
      </w:r>
      <w:r>
        <w:rPr>
          <w:spacing w:val="-2"/>
        </w:rPr>
        <w:t> </w:t>
      </w:r>
      <w:r>
        <w:rPr/>
        <w:t>that</w:t>
      </w:r>
      <w:r>
        <w:rPr>
          <w:spacing w:val="-1"/>
        </w:rPr>
        <w:t> </w:t>
      </w:r>
      <w:r>
        <w:rPr/>
        <w:t>generic drugs</w:t>
      </w:r>
      <w:r>
        <w:rPr>
          <w:spacing w:val="-1"/>
        </w:rPr>
        <w:t> </w:t>
      </w:r>
      <w:r>
        <w:rPr/>
        <w:t>are</w:t>
      </w:r>
      <w:r>
        <w:rPr>
          <w:spacing w:val="-2"/>
        </w:rPr>
        <w:t> </w:t>
      </w:r>
      <w:r>
        <w:rPr/>
        <w:t>inferior to brand name products (WHO, 1993).</w:t>
      </w:r>
    </w:p>
    <w:p>
      <w:pPr>
        <w:pStyle w:val="Heading2"/>
        <w:numPr>
          <w:ilvl w:val="1"/>
          <w:numId w:val="13"/>
        </w:numPr>
        <w:tabs>
          <w:tab w:pos="3760" w:val="left" w:leader="none"/>
        </w:tabs>
        <w:spacing w:line="240" w:lineRule="auto" w:before="125" w:after="0"/>
        <w:ind w:left="3760" w:right="0" w:hanging="360"/>
        <w:jc w:val="both"/>
      </w:pPr>
      <w:bookmarkStart w:name="_TOC_250065" w:id="19"/>
      <w:r>
        <w:rPr/>
        <w:t>Justification</w:t>
      </w:r>
      <w:r>
        <w:rPr>
          <w:spacing w:val="-3"/>
        </w:rPr>
        <w:t> </w:t>
      </w:r>
      <w:r>
        <w:rPr/>
        <w:t>of</w:t>
      </w:r>
      <w:r>
        <w:rPr>
          <w:spacing w:val="-1"/>
        </w:rPr>
        <w:t> </w:t>
      </w:r>
      <w:bookmarkEnd w:id="19"/>
      <w:r>
        <w:rPr>
          <w:spacing w:val="-2"/>
        </w:rPr>
        <w:t>Studies</w:t>
      </w:r>
    </w:p>
    <w:p>
      <w:pPr>
        <w:pStyle w:val="BodyText"/>
        <w:spacing w:line="480" w:lineRule="auto" w:before="271"/>
        <w:ind w:left="380" w:right="1267"/>
        <w:jc w:val="both"/>
      </w:pPr>
      <w:r>
        <w:rPr/>
        <w:t>Parasitic and bacterial infections of the gastrointestinal tract are</w:t>
      </w:r>
      <w:r>
        <w:rPr>
          <w:spacing w:val="-1"/>
        </w:rPr>
        <w:t> </w:t>
      </w:r>
      <w:r>
        <w:rPr/>
        <w:t>responsible for significant morbidity</w:t>
      </w:r>
      <w:r>
        <w:rPr>
          <w:spacing w:val="-4"/>
        </w:rPr>
        <w:t> </w:t>
      </w:r>
      <w:r>
        <w:rPr/>
        <w:t>and mortality worldwide </w:t>
      </w:r>
      <w:r>
        <w:rPr>
          <w:color w:val="212121"/>
        </w:rPr>
        <w:t>(Pierce and Kirkpatric, 2</w:t>
      </w:r>
      <w:r>
        <w:rPr/>
        <w:t>009) with substantial increase of </w:t>
      </w:r>
      <w:r>
        <w:rPr>
          <w:i/>
        </w:rPr>
        <w:t>trichomoniasis </w:t>
      </w:r>
      <w:r>
        <w:rPr/>
        <w:t>infection among</w:t>
      </w:r>
      <w:r>
        <w:rPr>
          <w:spacing w:val="-1"/>
        </w:rPr>
        <w:t> </w:t>
      </w:r>
      <w:r>
        <w:rPr/>
        <w:t>African women (Schineider </w:t>
      </w:r>
      <w:r>
        <w:rPr>
          <w:i/>
        </w:rPr>
        <w:t>et al</w:t>
      </w:r>
      <w:r>
        <w:rPr/>
        <w:t>., 1998).The weakness of the regulatory agencies in Nigeria may be responsible for increase in the prevalence of fake drugs. Several tablet and capsule brands of tinidazole are marketed in Nigeria. It is therefore important to carryout comparative </w:t>
      </w:r>
      <w:r>
        <w:rPr>
          <w:i/>
        </w:rPr>
        <w:t>in-vitro </w:t>
      </w:r>
      <w:r>
        <w:rPr/>
        <w:t>bioavailability studies of different brands of tinidazole in order to assess their bioequivalences. Biopharmaceutics classification system (BCS) is a tool associated with dissolution and absorption model which are the key parameters for control drug dissolution and absorption. The system classifies</w:t>
      </w:r>
      <w:r>
        <w:rPr>
          <w:spacing w:val="-2"/>
        </w:rPr>
        <w:t> </w:t>
      </w:r>
      <w:r>
        <w:rPr/>
        <w:t>drugs</w:t>
      </w:r>
      <w:r>
        <w:rPr>
          <w:spacing w:val="-2"/>
        </w:rPr>
        <w:t> </w:t>
      </w:r>
      <w:r>
        <w:rPr/>
        <w:t>on</w:t>
      </w:r>
      <w:r>
        <w:rPr>
          <w:spacing w:val="-2"/>
        </w:rPr>
        <w:t> </w:t>
      </w:r>
      <w:r>
        <w:rPr/>
        <w:t>the</w:t>
      </w:r>
      <w:r>
        <w:rPr>
          <w:spacing w:val="-2"/>
        </w:rPr>
        <w:t> </w:t>
      </w:r>
      <w:r>
        <w:rPr/>
        <w:t>basis</w:t>
      </w:r>
      <w:r>
        <w:rPr>
          <w:spacing w:val="-1"/>
        </w:rPr>
        <w:t> </w:t>
      </w:r>
      <w:r>
        <w:rPr/>
        <w:t>of</w:t>
      </w:r>
      <w:r>
        <w:rPr>
          <w:spacing w:val="-3"/>
        </w:rPr>
        <w:t> </w:t>
      </w:r>
      <w:r>
        <w:rPr/>
        <w:t>their</w:t>
      </w:r>
      <w:r>
        <w:rPr>
          <w:spacing w:val="-3"/>
        </w:rPr>
        <w:t> </w:t>
      </w:r>
      <w:r>
        <w:rPr/>
        <w:t>solubility</w:t>
      </w:r>
      <w:r>
        <w:rPr>
          <w:spacing w:val="-9"/>
        </w:rPr>
        <w:t> </w:t>
      </w:r>
      <w:r>
        <w:rPr/>
        <w:t>and permeability</w:t>
      </w:r>
      <w:r>
        <w:rPr>
          <w:spacing w:val="-7"/>
        </w:rPr>
        <w:t> </w:t>
      </w:r>
      <w:r>
        <w:rPr/>
        <w:t>in</w:t>
      </w:r>
      <w:r>
        <w:rPr>
          <w:spacing w:val="-2"/>
        </w:rPr>
        <w:t> </w:t>
      </w:r>
      <w:r>
        <w:rPr/>
        <w:t>the GIT</w:t>
      </w:r>
      <w:r>
        <w:rPr>
          <w:spacing w:val="-2"/>
        </w:rPr>
        <w:t> </w:t>
      </w:r>
      <w:r>
        <w:rPr/>
        <w:t>utilizing IVIVC as a surrogate for</w:t>
      </w:r>
      <w:r>
        <w:rPr>
          <w:spacing w:val="-1"/>
        </w:rPr>
        <w:t> </w:t>
      </w:r>
      <w:r>
        <w:rPr>
          <w:i/>
        </w:rPr>
        <w:t>in vivo </w:t>
      </w:r>
      <w:r>
        <w:rPr/>
        <w:t>availability</w:t>
      </w:r>
      <w:r>
        <w:rPr>
          <w:spacing w:val="-3"/>
        </w:rPr>
        <w:t> </w:t>
      </w:r>
      <w:r>
        <w:rPr/>
        <w:t>of drugs and assist in supporting bio wavers (Drewe and Guitard, 1993). Tinidazole belong to class 3 of the biopharmaceutics classification system (BCS). It has low permeability but possess good solubility in the ranges of acidic </w:t>
      </w:r>
      <w:r>
        <w:rPr>
          <w:spacing w:val="-4"/>
        </w:rPr>
        <w:t>pH.</w:t>
      </w:r>
    </w:p>
    <w:p>
      <w:pPr>
        <w:pStyle w:val="Heading2"/>
        <w:numPr>
          <w:ilvl w:val="1"/>
          <w:numId w:val="13"/>
        </w:numPr>
        <w:tabs>
          <w:tab w:pos="3090" w:val="left" w:leader="none"/>
        </w:tabs>
        <w:spacing w:line="240" w:lineRule="auto" w:before="7" w:after="0"/>
        <w:ind w:left="3090" w:right="0" w:hanging="360"/>
        <w:jc w:val="left"/>
      </w:pPr>
      <w:bookmarkStart w:name="_TOC_250064" w:id="20"/>
      <w:r>
        <w:rPr/>
        <w:t>Aim</w:t>
      </w:r>
      <w:r>
        <w:rPr>
          <w:spacing w:val="-5"/>
        </w:rPr>
        <w:t> </w:t>
      </w:r>
      <w:r>
        <w:rPr/>
        <w:t>and</w:t>
      </w:r>
      <w:r>
        <w:rPr>
          <w:spacing w:val="-1"/>
        </w:rPr>
        <w:t> </w:t>
      </w:r>
      <w:r>
        <w:rPr/>
        <w:t>Objectives of the</w:t>
      </w:r>
      <w:r>
        <w:rPr>
          <w:spacing w:val="-1"/>
        </w:rPr>
        <w:t> </w:t>
      </w:r>
      <w:bookmarkEnd w:id="20"/>
      <w:r>
        <w:rPr>
          <w:spacing w:val="-2"/>
        </w:rPr>
        <w:t>Research</w:t>
      </w:r>
    </w:p>
    <w:p>
      <w:pPr>
        <w:pStyle w:val="BodyText"/>
        <w:rPr>
          <w:b/>
        </w:rPr>
      </w:pPr>
    </w:p>
    <w:p>
      <w:pPr>
        <w:pStyle w:val="Heading2"/>
        <w:numPr>
          <w:ilvl w:val="2"/>
          <w:numId w:val="13"/>
        </w:numPr>
        <w:tabs>
          <w:tab w:pos="919" w:val="left" w:leader="none"/>
        </w:tabs>
        <w:spacing w:line="240" w:lineRule="auto" w:before="0" w:after="0"/>
        <w:ind w:left="919" w:right="0" w:hanging="539"/>
        <w:jc w:val="left"/>
      </w:pPr>
      <w:bookmarkStart w:name="_TOC_250063" w:id="21"/>
      <w:bookmarkEnd w:id="21"/>
      <w:r>
        <w:rPr>
          <w:spacing w:val="-5"/>
        </w:rPr>
        <w:t>Aim</w:t>
      </w:r>
    </w:p>
    <w:p>
      <w:pPr>
        <w:pStyle w:val="BodyText"/>
        <w:spacing w:line="480" w:lineRule="auto" w:before="272"/>
        <w:ind w:left="380" w:right="1084"/>
        <w:jc w:val="both"/>
      </w:pPr>
      <w:r>
        <w:rPr/>
        <w:t>To conduct an </w:t>
      </w:r>
      <w:r>
        <w:rPr>
          <w:i/>
        </w:rPr>
        <w:t>in-vitro </w:t>
      </w:r>
      <w:r>
        <w:rPr/>
        <w:t>bioequivalence studies on four different tablet brands of tinidazole using their dissolution profiles in simulated biological fluids</w:t>
      </w:r>
    </w:p>
    <w:p>
      <w:pPr>
        <w:spacing w:after="0" w:line="480" w:lineRule="auto"/>
        <w:jc w:val="both"/>
        <w:sectPr>
          <w:pgSz w:w="12240" w:h="15840"/>
          <w:pgMar w:header="0" w:footer="1068" w:top="1540" w:bottom="1260" w:left="1420" w:right="440"/>
        </w:sectPr>
      </w:pPr>
    </w:p>
    <w:p>
      <w:pPr>
        <w:pStyle w:val="Heading2"/>
        <w:numPr>
          <w:ilvl w:val="2"/>
          <w:numId w:val="13"/>
        </w:numPr>
        <w:tabs>
          <w:tab w:pos="919" w:val="left" w:leader="none"/>
        </w:tabs>
        <w:spacing w:line="240" w:lineRule="auto" w:before="77" w:after="0"/>
        <w:ind w:left="919" w:right="0" w:hanging="539"/>
        <w:jc w:val="left"/>
      </w:pPr>
      <w:bookmarkStart w:name="_TOC_250062" w:id="22"/>
      <w:bookmarkEnd w:id="22"/>
      <w:r>
        <w:rPr>
          <w:spacing w:val="-2"/>
        </w:rPr>
        <w:t>Objectives</w:t>
      </w:r>
    </w:p>
    <w:p>
      <w:pPr>
        <w:pStyle w:val="ListParagraph"/>
        <w:numPr>
          <w:ilvl w:val="3"/>
          <w:numId w:val="13"/>
        </w:numPr>
        <w:tabs>
          <w:tab w:pos="920" w:val="left" w:leader="none"/>
          <w:tab w:pos="2404" w:val="left" w:leader="none"/>
        </w:tabs>
        <w:spacing w:line="480" w:lineRule="auto" w:before="271" w:after="0"/>
        <w:ind w:left="920" w:right="1085" w:hanging="360"/>
        <w:jc w:val="left"/>
        <w:rPr>
          <w:sz w:val="24"/>
        </w:rPr>
      </w:pPr>
      <w:r>
        <w:rPr>
          <w:sz w:val="24"/>
        </w:rPr>
        <w:t>To</w:t>
      </w:r>
      <w:r>
        <w:rPr>
          <w:spacing w:val="40"/>
          <w:sz w:val="24"/>
        </w:rPr>
        <w:t> </w:t>
      </w:r>
      <w:r>
        <w:rPr>
          <w:sz w:val="24"/>
        </w:rPr>
        <w:t>carry</w:t>
      </w:r>
      <w:r>
        <w:rPr>
          <w:spacing w:val="40"/>
          <w:sz w:val="24"/>
        </w:rPr>
        <w:t> </w:t>
      </w:r>
      <w:r>
        <w:rPr>
          <w:sz w:val="24"/>
        </w:rPr>
        <w:t>out</w:t>
        <w:tab/>
        <w:t>quality</w:t>
      </w:r>
      <w:r>
        <w:rPr>
          <w:spacing w:val="37"/>
          <w:sz w:val="24"/>
        </w:rPr>
        <w:t> </w:t>
      </w:r>
      <w:r>
        <w:rPr>
          <w:sz w:val="24"/>
        </w:rPr>
        <w:t>control</w:t>
      </w:r>
      <w:r>
        <w:rPr>
          <w:spacing w:val="40"/>
          <w:sz w:val="24"/>
        </w:rPr>
        <w:t> </w:t>
      </w:r>
      <w:r>
        <w:rPr>
          <w:sz w:val="24"/>
        </w:rPr>
        <w:t>studies</w:t>
      </w:r>
      <w:r>
        <w:rPr>
          <w:spacing w:val="40"/>
          <w:sz w:val="24"/>
        </w:rPr>
        <w:t> </w:t>
      </w:r>
      <w:r>
        <w:rPr>
          <w:sz w:val="24"/>
        </w:rPr>
        <w:t>on</w:t>
      </w:r>
      <w:r>
        <w:rPr>
          <w:spacing w:val="40"/>
          <w:sz w:val="24"/>
        </w:rPr>
        <w:t> </w:t>
      </w:r>
      <w:r>
        <w:rPr>
          <w:sz w:val="24"/>
        </w:rPr>
        <w:t>four</w:t>
      </w:r>
      <w:r>
        <w:rPr>
          <w:spacing w:val="40"/>
          <w:sz w:val="24"/>
        </w:rPr>
        <w:t> </w:t>
      </w:r>
      <w:r>
        <w:rPr>
          <w:sz w:val="24"/>
        </w:rPr>
        <w:t>different</w:t>
      </w:r>
      <w:r>
        <w:rPr>
          <w:spacing w:val="40"/>
          <w:sz w:val="24"/>
        </w:rPr>
        <w:t> </w:t>
      </w:r>
      <w:r>
        <w:rPr>
          <w:sz w:val="24"/>
        </w:rPr>
        <w:t>tablet</w:t>
      </w:r>
      <w:r>
        <w:rPr>
          <w:spacing w:val="40"/>
          <w:sz w:val="24"/>
        </w:rPr>
        <w:t> </w:t>
      </w:r>
      <w:r>
        <w:rPr>
          <w:sz w:val="24"/>
        </w:rPr>
        <w:t>samples</w:t>
      </w:r>
      <w:r>
        <w:rPr>
          <w:spacing w:val="40"/>
          <w:sz w:val="24"/>
        </w:rPr>
        <w:t> </w:t>
      </w:r>
      <w:r>
        <w:rPr>
          <w:sz w:val="24"/>
        </w:rPr>
        <w:t>of</w:t>
      </w:r>
      <w:r>
        <w:rPr>
          <w:spacing w:val="40"/>
          <w:sz w:val="24"/>
        </w:rPr>
        <w:t> </w:t>
      </w:r>
      <w:r>
        <w:rPr>
          <w:sz w:val="24"/>
        </w:rPr>
        <w:t>tinidazole </w:t>
      </w:r>
      <w:r>
        <w:rPr>
          <w:spacing w:val="-2"/>
          <w:sz w:val="24"/>
        </w:rPr>
        <w:t>samples</w:t>
      </w:r>
    </w:p>
    <w:p>
      <w:pPr>
        <w:pStyle w:val="ListParagraph"/>
        <w:numPr>
          <w:ilvl w:val="3"/>
          <w:numId w:val="13"/>
        </w:numPr>
        <w:tabs>
          <w:tab w:pos="920" w:val="left" w:leader="none"/>
        </w:tabs>
        <w:spacing w:line="480" w:lineRule="auto" w:before="0" w:after="0"/>
        <w:ind w:left="920" w:right="1091" w:hanging="360"/>
        <w:jc w:val="left"/>
        <w:rPr>
          <w:sz w:val="24"/>
        </w:rPr>
      </w:pPr>
      <w:r>
        <w:rPr>
          <w:sz w:val="24"/>
        </w:rPr>
        <w:t>To develop and validate UV spectrophotometric method for the analysis of tinidazole in simulated gastric, intestinal and blood dissolution media.</w:t>
      </w:r>
    </w:p>
    <w:p>
      <w:pPr>
        <w:pStyle w:val="ListParagraph"/>
        <w:numPr>
          <w:ilvl w:val="3"/>
          <w:numId w:val="13"/>
        </w:numPr>
        <w:tabs>
          <w:tab w:pos="920" w:val="left" w:leader="none"/>
        </w:tabs>
        <w:spacing w:line="480" w:lineRule="auto" w:before="0" w:after="0"/>
        <w:ind w:left="920" w:right="1084" w:hanging="360"/>
        <w:jc w:val="left"/>
        <w:rPr>
          <w:sz w:val="24"/>
        </w:rPr>
      </w:pPr>
      <w:r>
        <w:rPr>
          <w:sz w:val="24"/>
        </w:rPr>
        <w:t>To</w:t>
      </w:r>
      <w:r>
        <w:rPr>
          <w:spacing w:val="40"/>
          <w:sz w:val="24"/>
        </w:rPr>
        <w:t> </w:t>
      </w:r>
      <w:r>
        <w:rPr>
          <w:sz w:val="24"/>
        </w:rPr>
        <w:t>carry</w:t>
      </w:r>
      <w:r>
        <w:rPr>
          <w:spacing w:val="37"/>
          <w:sz w:val="24"/>
        </w:rPr>
        <w:t> </w:t>
      </w:r>
      <w:r>
        <w:rPr>
          <w:sz w:val="24"/>
        </w:rPr>
        <w:t>out</w:t>
      </w:r>
      <w:r>
        <w:rPr>
          <w:spacing w:val="40"/>
          <w:sz w:val="24"/>
        </w:rPr>
        <w:t> </w:t>
      </w:r>
      <w:r>
        <w:rPr>
          <w:i/>
          <w:sz w:val="24"/>
        </w:rPr>
        <w:t>in-vitro</w:t>
      </w:r>
      <w:r>
        <w:rPr>
          <w:i/>
          <w:spacing w:val="40"/>
          <w:sz w:val="24"/>
        </w:rPr>
        <w:t> </w:t>
      </w:r>
      <w:r>
        <w:rPr>
          <w:sz w:val="24"/>
        </w:rPr>
        <w:t>bioavailability</w:t>
      </w:r>
      <w:r>
        <w:rPr>
          <w:spacing w:val="37"/>
          <w:sz w:val="24"/>
        </w:rPr>
        <w:t> </w:t>
      </w:r>
      <w:r>
        <w:rPr>
          <w:sz w:val="24"/>
        </w:rPr>
        <w:t>studies</w:t>
      </w:r>
      <w:r>
        <w:rPr>
          <w:spacing w:val="40"/>
          <w:sz w:val="24"/>
        </w:rPr>
        <w:t> </w:t>
      </w:r>
      <w:r>
        <w:rPr>
          <w:sz w:val="24"/>
        </w:rPr>
        <w:t>on</w:t>
      </w:r>
      <w:r>
        <w:rPr>
          <w:spacing w:val="40"/>
          <w:sz w:val="24"/>
        </w:rPr>
        <w:t> </w:t>
      </w:r>
      <w:r>
        <w:rPr>
          <w:sz w:val="24"/>
        </w:rPr>
        <w:t>the</w:t>
      </w:r>
      <w:r>
        <w:rPr>
          <w:spacing w:val="40"/>
          <w:sz w:val="24"/>
        </w:rPr>
        <w:t> </w:t>
      </w:r>
      <w:r>
        <w:rPr>
          <w:sz w:val="24"/>
        </w:rPr>
        <w:t>four</w:t>
      </w:r>
      <w:r>
        <w:rPr>
          <w:spacing w:val="40"/>
          <w:sz w:val="24"/>
        </w:rPr>
        <w:t> </w:t>
      </w:r>
      <w:r>
        <w:rPr>
          <w:sz w:val="24"/>
        </w:rPr>
        <w:t>different</w:t>
      </w:r>
      <w:r>
        <w:rPr>
          <w:spacing w:val="40"/>
          <w:sz w:val="24"/>
        </w:rPr>
        <w:t> </w:t>
      </w:r>
      <w:r>
        <w:rPr>
          <w:sz w:val="24"/>
        </w:rPr>
        <w:t>tablet</w:t>
      </w:r>
      <w:r>
        <w:rPr>
          <w:spacing w:val="40"/>
          <w:sz w:val="24"/>
        </w:rPr>
        <w:t> </w:t>
      </w:r>
      <w:r>
        <w:rPr>
          <w:sz w:val="24"/>
        </w:rPr>
        <w:t>samples</w:t>
      </w:r>
      <w:r>
        <w:rPr>
          <w:spacing w:val="40"/>
          <w:sz w:val="24"/>
        </w:rPr>
        <w:t> </w:t>
      </w:r>
      <w:r>
        <w:rPr>
          <w:sz w:val="24"/>
        </w:rPr>
        <w:t>of tinidazole in simulated gastric, intestinal and blood pH’s</w:t>
      </w:r>
    </w:p>
    <w:p>
      <w:pPr>
        <w:pStyle w:val="ListParagraph"/>
        <w:numPr>
          <w:ilvl w:val="3"/>
          <w:numId w:val="13"/>
        </w:numPr>
        <w:tabs>
          <w:tab w:pos="920" w:val="left" w:leader="none"/>
        </w:tabs>
        <w:spacing w:line="480" w:lineRule="auto" w:before="1" w:after="0"/>
        <w:ind w:left="920" w:right="1085" w:hanging="360"/>
        <w:jc w:val="left"/>
        <w:rPr>
          <w:sz w:val="24"/>
        </w:rPr>
      </w:pPr>
      <w:r>
        <w:rPr>
          <w:sz w:val="24"/>
        </w:rPr>
        <w:t>To study the bioequivalence and interchangeability of various samples from different brands of tinidazole tablets.</w:t>
      </w:r>
    </w:p>
    <w:p>
      <w:pPr>
        <w:pStyle w:val="Heading2"/>
        <w:numPr>
          <w:ilvl w:val="1"/>
          <w:numId w:val="13"/>
        </w:numPr>
        <w:tabs>
          <w:tab w:pos="4360" w:val="left" w:leader="none"/>
        </w:tabs>
        <w:spacing w:line="240" w:lineRule="auto" w:before="5" w:after="0"/>
        <w:ind w:left="4360" w:right="0" w:hanging="360"/>
        <w:jc w:val="left"/>
      </w:pPr>
      <w:bookmarkStart w:name="_TOC_250061" w:id="23"/>
      <w:bookmarkEnd w:id="23"/>
      <w:r>
        <w:rPr>
          <w:spacing w:val="-2"/>
        </w:rPr>
        <w:t>Hypothesis</w:t>
      </w:r>
    </w:p>
    <w:p>
      <w:pPr>
        <w:pStyle w:val="BodyText"/>
        <w:spacing w:line="480" w:lineRule="auto" w:before="271"/>
        <w:ind w:left="380" w:right="1175"/>
      </w:pPr>
      <w:r>
        <w:rPr/>
        <w:t>There is no significant difference in </w:t>
      </w:r>
      <w:r>
        <w:rPr>
          <w:i/>
        </w:rPr>
        <w:t>in-vitro </w:t>
      </w:r>
      <w:r>
        <w:rPr/>
        <w:t>bioequivalence and biopharmaceutics between the different brands of tinidazole tablets</w:t>
      </w:r>
    </w:p>
    <w:p>
      <w:pPr>
        <w:spacing w:after="0" w:line="480" w:lineRule="auto"/>
        <w:sectPr>
          <w:pgSz w:w="12240" w:h="15840"/>
          <w:pgMar w:header="0" w:footer="1068" w:top="1540" w:bottom="1260" w:left="1420" w:right="440"/>
        </w:sectPr>
      </w:pPr>
    </w:p>
    <w:p>
      <w:pPr>
        <w:pStyle w:val="Heading1"/>
        <w:spacing w:before="77"/>
        <w:ind w:right="708"/>
      </w:pPr>
      <w:bookmarkStart w:name="_TOC_250060" w:id="24"/>
      <w:r>
        <w:rPr/>
        <w:t>CHAPTER</w:t>
      </w:r>
      <w:r>
        <w:rPr>
          <w:spacing w:val="-4"/>
        </w:rPr>
        <w:t> </w:t>
      </w:r>
      <w:bookmarkEnd w:id="24"/>
      <w:r>
        <w:rPr>
          <w:spacing w:val="-5"/>
        </w:rPr>
        <w:t>TWO</w:t>
      </w:r>
    </w:p>
    <w:p>
      <w:pPr>
        <w:pStyle w:val="BodyText"/>
        <w:spacing w:before="120"/>
        <w:rPr>
          <w:b/>
        </w:rPr>
      </w:pPr>
    </w:p>
    <w:p>
      <w:pPr>
        <w:pStyle w:val="Heading1"/>
        <w:numPr>
          <w:ilvl w:val="1"/>
          <w:numId w:val="14"/>
        </w:numPr>
        <w:tabs>
          <w:tab w:pos="3693" w:val="left" w:leader="none"/>
        </w:tabs>
        <w:spacing w:line="240" w:lineRule="auto" w:before="0" w:after="0"/>
        <w:ind w:left="3693" w:right="0" w:hanging="360"/>
        <w:jc w:val="left"/>
      </w:pPr>
      <w:bookmarkStart w:name="_TOC_250059" w:id="25"/>
      <w:r>
        <w:rPr/>
        <w:t>LITERATURE</w:t>
      </w:r>
      <w:bookmarkEnd w:id="25"/>
      <w:r>
        <w:rPr>
          <w:spacing w:val="-2"/>
        </w:rPr>
        <w:t> REVIEW</w:t>
      </w:r>
    </w:p>
    <w:p>
      <w:pPr>
        <w:pStyle w:val="BodyText"/>
        <w:spacing w:before="120"/>
        <w:rPr>
          <w:b/>
        </w:rPr>
      </w:pPr>
    </w:p>
    <w:p>
      <w:pPr>
        <w:pStyle w:val="Heading2"/>
        <w:numPr>
          <w:ilvl w:val="1"/>
          <w:numId w:val="14"/>
        </w:numPr>
        <w:tabs>
          <w:tab w:pos="3249" w:val="left" w:leader="none"/>
        </w:tabs>
        <w:spacing w:line="240" w:lineRule="auto" w:before="0" w:after="0"/>
        <w:ind w:left="3249" w:right="0" w:hanging="360"/>
        <w:jc w:val="left"/>
      </w:pPr>
      <w:bookmarkStart w:name="_TOC_250058" w:id="26"/>
      <w:r>
        <w:rPr/>
        <w:t>General</w:t>
      </w:r>
      <w:r>
        <w:rPr>
          <w:spacing w:val="-2"/>
        </w:rPr>
        <w:t> </w:t>
      </w:r>
      <w:r>
        <w:rPr/>
        <w:t>Properties of</w:t>
      </w:r>
      <w:r>
        <w:rPr>
          <w:spacing w:val="-1"/>
        </w:rPr>
        <w:t> </w:t>
      </w:r>
      <w:bookmarkEnd w:id="26"/>
      <w:r>
        <w:rPr>
          <w:spacing w:val="-2"/>
        </w:rPr>
        <w:t>Tinidazole</w:t>
      </w:r>
    </w:p>
    <w:p>
      <w:pPr>
        <w:pStyle w:val="BodyText"/>
        <w:spacing w:line="480" w:lineRule="auto" w:before="271"/>
        <w:ind w:left="380" w:right="1264"/>
        <w:jc w:val="both"/>
      </w:pPr>
      <w:r>
        <w:rPr/>
        <w:t>Tinidazole is an antiparasitic, antibacterial drug belonging</w:t>
      </w:r>
      <w:r>
        <w:rPr>
          <w:spacing w:val="-3"/>
        </w:rPr>
        <w:t> </w:t>
      </w:r>
      <w:r>
        <w:rPr/>
        <w:t>to the family</w:t>
      </w:r>
      <w:r>
        <w:rPr>
          <w:spacing w:val="-3"/>
        </w:rPr>
        <w:t> </w:t>
      </w:r>
      <w:r>
        <w:rPr/>
        <w:t>of nitroimidazoles with potent activity</w:t>
      </w:r>
      <w:r>
        <w:rPr>
          <w:spacing w:val="-1"/>
        </w:rPr>
        <w:t> </w:t>
      </w:r>
      <w:r>
        <w:rPr/>
        <w:t>against protozoans. Chemically, it is 1-[2-(ethyl sulphonyl) ethyl] – 2- methyl – 5- nitro – 1H- imidazole with it a molecular formula of </w:t>
      </w:r>
      <w:r>
        <w:rPr>
          <w:sz w:val="28"/>
        </w:rPr>
        <w:t>C</w:t>
      </w:r>
      <w:r>
        <w:rPr>
          <w:sz w:val="28"/>
          <w:vertAlign w:val="subscript"/>
        </w:rPr>
        <w:t>8</w:t>
      </w:r>
      <w:r>
        <w:rPr>
          <w:sz w:val="28"/>
          <w:vertAlign w:val="baseline"/>
        </w:rPr>
        <w:t>H</w:t>
      </w:r>
      <w:r>
        <w:rPr>
          <w:sz w:val="28"/>
          <w:vertAlign w:val="subscript"/>
        </w:rPr>
        <w:t>13</w:t>
      </w:r>
      <w:r>
        <w:rPr>
          <w:sz w:val="28"/>
          <w:vertAlign w:val="baseline"/>
        </w:rPr>
        <w:t>N</w:t>
      </w:r>
      <w:r>
        <w:rPr>
          <w:sz w:val="28"/>
          <w:vertAlign w:val="subscript"/>
        </w:rPr>
        <w:t>3</w:t>
      </w:r>
      <w:r>
        <w:rPr>
          <w:sz w:val="28"/>
          <w:vertAlign w:val="baseline"/>
        </w:rPr>
        <w:t>O</w:t>
      </w:r>
      <w:r>
        <w:rPr>
          <w:sz w:val="28"/>
          <w:vertAlign w:val="subscript"/>
        </w:rPr>
        <w:t>4</w:t>
      </w:r>
      <w:r>
        <w:rPr>
          <w:sz w:val="28"/>
          <w:vertAlign w:val="baseline"/>
        </w:rPr>
        <w:t>S </w:t>
      </w:r>
      <w:r>
        <w:rPr>
          <w:vertAlign w:val="baseline"/>
        </w:rPr>
        <w:t>and </w:t>
      </w:r>
      <w:r>
        <w:rPr>
          <w:sz w:val="28"/>
          <w:vertAlign w:val="baseline"/>
        </w:rPr>
        <w:t>a </w:t>
      </w:r>
      <w:r>
        <w:rPr>
          <w:vertAlign w:val="baseline"/>
        </w:rPr>
        <w:t>molecular weight of 247.27152 gmol</w:t>
      </w:r>
      <w:r>
        <w:rPr>
          <w:vertAlign w:val="superscript"/>
        </w:rPr>
        <w:t>-1</w:t>
      </w:r>
      <w:r>
        <w:rPr>
          <w:vertAlign w:val="baseline"/>
        </w:rPr>
        <w:t>. It exist as a solid, almost white or pale yellow, crystalline powder with a melting point range of 125 to 128 °C practically insoluble in water, sparingly</w:t>
      </w:r>
      <w:r>
        <w:rPr>
          <w:spacing w:val="-5"/>
          <w:vertAlign w:val="baseline"/>
        </w:rPr>
        <w:t> </w:t>
      </w:r>
      <w:r>
        <w:rPr>
          <w:vertAlign w:val="baseline"/>
        </w:rPr>
        <w:t>soluble in chloroform,</w:t>
      </w:r>
      <w:r>
        <w:rPr>
          <w:spacing w:val="-1"/>
          <w:vertAlign w:val="baseline"/>
        </w:rPr>
        <w:t> </w:t>
      </w:r>
      <w:r>
        <w:rPr>
          <w:vertAlign w:val="baseline"/>
        </w:rPr>
        <w:t>acetone and methanol and has a Solubility</w:t>
      </w:r>
      <w:r>
        <w:rPr>
          <w:spacing w:val="-4"/>
          <w:vertAlign w:val="baseline"/>
        </w:rPr>
        <w:t> </w:t>
      </w:r>
      <w:r>
        <w:rPr>
          <w:vertAlign w:val="baseline"/>
        </w:rPr>
        <w:t>–Log</w:t>
      </w:r>
      <w:r>
        <w:rPr>
          <w:spacing w:val="-3"/>
          <w:vertAlign w:val="baseline"/>
        </w:rPr>
        <w:t> </w:t>
      </w:r>
      <w:r>
        <w:rPr>
          <w:vertAlign w:val="baseline"/>
        </w:rPr>
        <w:t>P/ Hydrophobicity</w:t>
      </w:r>
      <w:r>
        <w:rPr>
          <w:spacing w:val="80"/>
          <w:vertAlign w:val="baseline"/>
        </w:rPr>
        <w:t> </w:t>
      </w:r>
      <w:r>
        <w:rPr>
          <w:vertAlign w:val="baseline"/>
        </w:rPr>
        <w:t>of</w:t>
      </w:r>
      <w:r>
        <w:rPr>
          <w:spacing w:val="80"/>
          <w:vertAlign w:val="baseline"/>
        </w:rPr>
        <w:t> </w:t>
      </w:r>
      <w:r>
        <w:rPr>
          <w:vertAlign w:val="baseline"/>
        </w:rPr>
        <w:t>0.7. It is stored at controlled room temperature of 20-25 °C; excursions are permitted within 15-30 °C and protected from sunlight and moisture. It is usually administered via the Oral, Rectal or Intravenous routes. Tablets are stored below 30</w:t>
      </w:r>
      <w:r>
        <w:rPr>
          <w:spacing w:val="-1"/>
          <w:vertAlign w:val="baseline"/>
        </w:rPr>
        <w:t> </w:t>
      </w:r>
      <w:r>
        <w:rPr>
          <w:vertAlign w:val="superscript"/>
        </w:rPr>
        <w:t>o</w:t>
      </w:r>
      <w:r>
        <w:rPr>
          <w:vertAlign w:val="baseline"/>
        </w:rPr>
        <w:t>C in</w:t>
      </w:r>
      <w:r>
        <w:rPr>
          <w:spacing w:val="-1"/>
          <w:vertAlign w:val="baseline"/>
        </w:rPr>
        <w:t> </w:t>
      </w:r>
      <w:r>
        <w:rPr>
          <w:vertAlign w:val="baseline"/>
        </w:rPr>
        <w:t>a</w:t>
      </w:r>
      <w:r>
        <w:rPr>
          <w:spacing w:val="-2"/>
          <w:vertAlign w:val="baseline"/>
        </w:rPr>
        <w:t> </w:t>
      </w:r>
      <w:r>
        <w:rPr>
          <w:vertAlign w:val="baseline"/>
        </w:rPr>
        <w:t>well-closed container</w:t>
      </w:r>
      <w:r>
        <w:rPr>
          <w:spacing w:val="-2"/>
          <w:vertAlign w:val="baseline"/>
        </w:rPr>
        <w:t> </w:t>
      </w:r>
      <w:r>
        <w:rPr>
          <w:vertAlign w:val="baseline"/>
        </w:rPr>
        <w:t>(Naikwade </w:t>
      </w:r>
      <w:r>
        <w:rPr>
          <w:i/>
          <w:vertAlign w:val="baseline"/>
        </w:rPr>
        <w:t>et</w:t>
      </w:r>
      <w:r>
        <w:rPr>
          <w:i/>
          <w:spacing w:val="-1"/>
          <w:vertAlign w:val="baseline"/>
        </w:rPr>
        <w:t> </w:t>
      </w:r>
      <w:r>
        <w:rPr>
          <w:i/>
          <w:vertAlign w:val="baseline"/>
        </w:rPr>
        <w:t>al</w:t>
      </w:r>
      <w:r>
        <w:rPr>
          <w:vertAlign w:val="baseline"/>
        </w:rPr>
        <w:t>., 2008).</w:t>
      </w:r>
      <w:r>
        <w:rPr>
          <w:spacing w:val="-1"/>
          <w:vertAlign w:val="baseline"/>
        </w:rPr>
        <w:t> </w:t>
      </w:r>
      <w:r>
        <w:rPr>
          <w:vertAlign w:val="baseline"/>
        </w:rPr>
        <w:t>The British Pharmacopoeia 2009 recommends the use of melting point determination and infrared absorption spectrophotometry as the first line of identification of the pure tinidazole powder and its formulations while ultraviolet and visible absorption spectrophotometry and thin layer chromatography as second line identification.</w:t>
      </w:r>
    </w:p>
    <w:p>
      <w:pPr>
        <w:spacing w:after="0" w:line="480" w:lineRule="auto"/>
        <w:jc w:val="both"/>
        <w:sectPr>
          <w:pgSz w:w="12240" w:h="15840"/>
          <w:pgMar w:header="0" w:footer="1068" w:top="1540" w:bottom="1260" w:left="1420" w:right="4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8"/>
      </w:pPr>
    </w:p>
    <w:p>
      <w:pPr>
        <w:pStyle w:val="BodyText"/>
        <w:spacing w:line="360" w:lineRule="auto" w:before="1"/>
        <w:ind w:left="1760" w:right="1266" w:hanging="1380"/>
        <w:jc w:val="both"/>
      </w:pPr>
      <w:r>
        <w:rPr>
          <w:b/>
        </w:rPr>
        <w:t>Figure- 2.1: </w:t>
      </w:r>
      <w:r>
        <w:rPr/>
        <w:t>Chemical Structure of Tinidazole (1-[2-(ethylsulfonyl) ethyl]-2-methyl- 5- </w:t>
      </w:r>
      <w:r>
        <w:rPr>
          <w:spacing w:val="-2"/>
        </w:rPr>
        <w:t>nitroimidazole)</w:t>
      </w:r>
    </w:p>
    <w:p>
      <w:pPr>
        <w:pStyle w:val="Heading2"/>
        <w:numPr>
          <w:ilvl w:val="1"/>
          <w:numId w:val="14"/>
        </w:numPr>
        <w:tabs>
          <w:tab w:pos="3467" w:val="left" w:leader="none"/>
        </w:tabs>
        <w:spacing w:line="240" w:lineRule="auto" w:before="123" w:after="0"/>
        <w:ind w:left="3467" w:right="0" w:hanging="480"/>
        <w:jc w:val="both"/>
      </w:pPr>
      <w:bookmarkStart w:name="_TOC_250057" w:id="27"/>
      <w:r>
        <w:rPr/>
        <w:t>5-Nitro</w:t>
      </w:r>
      <w:r>
        <w:rPr>
          <w:spacing w:val="-3"/>
        </w:rPr>
        <w:t> </w:t>
      </w:r>
      <w:r>
        <w:rPr/>
        <w:t>Imidazole</w:t>
      </w:r>
      <w:r>
        <w:rPr>
          <w:spacing w:val="-1"/>
        </w:rPr>
        <w:t> </w:t>
      </w:r>
      <w:bookmarkEnd w:id="27"/>
      <w:r>
        <w:rPr>
          <w:spacing w:val="-2"/>
        </w:rPr>
        <w:t>Derivatives</w:t>
      </w:r>
    </w:p>
    <w:p>
      <w:pPr>
        <w:pStyle w:val="BodyText"/>
        <w:spacing w:line="480" w:lineRule="auto" w:before="271"/>
        <w:ind w:left="380" w:right="1263"/>
        <w:jc w:val="both"/>
      </w:pPr>
      <w:r>
        <w:rPr/>
        <w:t>5-Nitroimidazoles drugs are a well-established group of antiprotozoal and antibacterial agents that have potential to inhibit the growth of anaerobic bacteria and certain anaerobic protozoa, for example </w:t>
      </w:r>
      <w:r>
        <w:rPr>
          <w:i/>
        </w:rPr>
        <w:t>Trichomonas vaginalis</w:t>
      </w:r>
      <w:r>
        <w:rPr/>
        <w:t>, </w:t>
      </w:r>
      <w:r>
        <w:rPr>
          <w:i/>
        </w:rPr>
        <w:t>Entamoeba histolytica </w:t>
      </w:r>
      <w:r>
        <w:rPr/>
        <w:t>and </w:t>
      </w:r>
      <w:r>
        <w:rPr>
          <w:i/>
        </w:rPr>
        <w:t>Giardia lamblia </w:t>
      </w:r>
      <w:r>
        <w:rPr/>
        <w:t>(Amit </w:t>
      </w:r>
      <w:r>
        <w:rPr>
          <w:i/>
        </w:rPr>
        <w:t>et al</w:t>
      </w:r>
      <w:r>
        <w:rPr/>
        <w:t>., 2013). After the discovery of imidazoles drugs, many protozoa and bacteria have developed resistance towards</w:t>
      </w:r>
      <w:r>
        <w:rPr>
          <w:spacing w:val="80"/>
        </w:rPr>
        <w:t> </w:t>
      </w:r>
      <w:r>
        <w:rPr/>
        <w:t>the older imidazoles in the market. Due to this fact, medicinal</w:t>
      </w:r>
      <w:r>
        <w:rPr>
          <w:spacing w:val="-1"/>
        </w:rPr>
        <w:t> </w:t>
      </w:r>
      <w:r>
        <w:rPr/>
        <w:t>chemists</w:t>
      </w:r>
      <w:r>
        <w:rPr>
          <w:spacing w:val="-1"/>
        </w:rPr>
        <w:t> </w:t>
      </w:r>
      <w:r>
        <w:rPr/>
        <w:t>work</w:t>
      </w:r>
      <w:r>
        <w:rPr>
          <w:spacing w:val="-1"/>
        </w:rPr>
        <w:t> </w:t>
      </w:r>
      <w:r>
        <w:rPr/>
        <w:t>on</w:t>
      </w:r>
      <w:r>
        <w:rPr>
          <w:spacing w:val="-1"/>
        </w:rPr>
        <w:t> </w:t>
      </w:r>
      <w:r>
        <w:rPr/>
        <w:t>this</w:t>
      </w:r>
      <w:r>
        <w:rPr>
          <w:spacing w:val="-1"/>
        </w:rPr>
        <w:t> </w:t>
      </w:r>
      <w:r>
        <w:rPr/>
        <w:t>pharmacophore</w:t>
      </w:r>
      <w:r>
        <w:rPr>
          <w:spacing w:val="-2"/>
        </w:rPr>
        <w:t> </w:t>
      </w:r>
      <w:r>
        <w:rPr/>
        <w:t>and</w:t>
      </w:r>
      <w:r>
        <w:rPr>
          <w:spacing w:val="-1"/>
        </w:rPr>
        <w:t> </w:t>
      </w:r>
      <w:r>
        <w:rPr/>
        <w:t>develop</w:t>
      </w:r>
      <w:r>
        <w:rPr>
          <w:spacing w:val="-1"/>
        </w:rPr>
        <w:t> </w:t>
      </w:r>
      <w:r>
        <w:rPr/>
        <w:t>new</w:t>
      </w:r>
      <w:r>
        <w:rPr>
          <w:spacing w:val="-2"/>
        </w:rPr>
        <w:t> </w:t>
      </w:r>
      <w:r>
        <w:rPr/>
        <w:t>hybrid</w:t>
      </w:r>
      <w:r>
        <w:rPr>
          <w:spacing w:val="-2"/>
        </w:rPr>
        <w:t> </w:t>
      </w:r>
      <w:r>
        <w:rPr/>
        <w:t>molecules</w:t>
      </w:r>
      <w:r>
        <w:rPr>
          <w:spacing w:val="-2"/>
        </w:rPr>
        <w:t> </w:t>
      </w:r>
      <w:r>
        <w:rPr/>
        <w:t>which may give lead molecule for further studies. Many modifications have been done on 5- nitroimidazole nucleus and new hybrid molecules have been synthesized but yet there is a huge scope of modification for future advancement. The Imidazole moiety exhibit wide range of biological activities </w:t>
      </w:r>
      <w:r>
        <w:rPr>
          <w:b/>
        </w:rPr>
        <w:t>(</w:t>
      </w:r>
      <w:r>
        <w:rPr/>
        <w:t>Amit and Rawat, 2013).</w:t>
      </w:r>
    </w:p>
    <w:p>
      <w:pPr>
        <w:pStyle w:val="BodyText"/>
        <w:spacing w:line="480" w:lineRule="auto" w:before="183"/>
        <w:ind w:left="380" w:right="1262"/>
        <w:jc w:val="both"/>
      </w:pPr>
      <w:r>
        <w:rPr/>
        <w:t>The importance of</w:t>
      </w:r>
      <w:r>
        <w:rPr>
          <w:spacing w:val="80"/>
          <w:w w:val="150"/>
        </w:rPr>
        <w:t> </w:t>
      </w:r>
      <w:r>
        <w:rPr/>
        <w:t>imidazole is due to the fact that a significant number of drugs still in use today contain this moiety and several 5-nitroimidazole derivatives such as metronidazole, ornidazole, secnidazole, ronidazole, azomycin and tinidazole, are use in</w:t>
      </w:r>
      <w:r>
        <w:rPr>
          <w:spacing w:val="80"/>
        </w:rPr>
        <w:t> </w:t>
      </w:r>
      <w:r>
        <w:rPr/>
        <w:t>the treatment of conditions like bacterial </w:t>
      </w:r>
      <w:r>
        <w:rPr>
          <w:i/>
        </w:rPr>
        <w:t>vaginosis</w:t>
      </w:r>
      <w:r>
        <w:rPr/>
        <w:t>, </w:t>
      </w:r>
      <w:r>
        <w:rPr>
          <w:i/>
        </w:rPr>
        <w:t>endometriti</w:t>
      </w:r>
      <w:r>
        <w:rPr/>
        <w:t>s, dental infections, In combination</w:t>
      </w:r>
      <w:r>
        <w:rPr>
          <w:spacing w:val="24"/>
        </w:rPr>
        <w:t> </w:t>
      </w:r>
      <w:r>
        <w:rPr/>
        <w:t>with</w:t>
      </w:r>
      <w:r>
        <w:rPr>
          <w:spacing w:val="25"/>
        </w:rPr>
        <w:t> </w:t>
      </w:r>
      <w:r>
        <w:rPr/>
        <w:t>other</w:t>
      </w:r>
      <w:r>
        <w:rPr>
          <w:spacing w:val="20"/>
        </w:rPr>
        <w:t> </w:t>
      </w:r>
      <w:r>
        <w:rPr/>
        <w:t>antibiotic</w:t>
      </w:r>
      <w:r>
        <w:rPr>
          <w:spacing w:val="24"/>
        </w:rPr>
        <w:t> </w:t>
      </w:r>
      <w:r>
        <w:rPr/>
        <w:t>to</w:t>
      </w:r>
      <w:r>
        <w:rPr>
          <w:spacing w:val="24"/>
        </w:rPr>
        <w:t> </w:t>
      </w:r>
      <w:r>
        <w:rPr/>
        <w:t>treat</w:t>
      </w:r>
      <w:r>
        <w:rPr>
          <w:spacing w:val="25"/>
        </w:rPr>
        <w:t> </w:t>
      </w:r>
      <w:r>
        <w:rPr/>
        <w:t>H.pylori</w:t>
      </w:r>
      <w:r>
        <w:rPr>
          <w:spacing w:val="24"/>
        </w:rPr>
        <w:t> </w:t>
      </w:r>
      <w:r>
        <w:rPr/>
        <w:t>infection</w:t>
      </w:r>
      <w:r>
        <w:rPr>
          <w:spacing w:val="24"/>
        </w:rPr>
        <w:t> </w:t>
      </w:r>
      <w:r>
        <w:rPr/>
        <w:t>in</w:t>
      </w:r>
      <w:r>
        <w:rPr>
          <w:spacing w:val="25"/>
        </w:rPr>
        <w:t> </w:t>
      </w:r>
      <w:r>
        <w:rPr/>
        <w:t>peptic</w:t>
      </w:r>
      <w:r>
        <w:rPr>
          <w:spacing w:val="23"/>
        </w:rPr>
        <w:t> </w:t>
      </w:r>
      <w:r>
        <w:rPr/>
        <w:t>ulcer</w:t>
      </w:r>
      <w:r>
        <w:rPr>
          <w:spacing w:val="24"/>
        </w:rPr>
        <w:t> </w:t>
      </w:r>
      <w:r>
        <w:rPr/>
        <w:t>disease,</w:t>
      </w:r>
      <w:r>
        <w:rPr>
          <w:spacing w:val="25"/>
        </w:rPr>
        <w:t> </w:t>
      </w:r>
      <w:r>
        <w:rPr>
          <w:spacing w:val="-4"/>
        </w:rPr>
        <w:t>post</w:t>
      </w:r>
    </w:p>
    <w:p>
      <w:pPr>
        <w:spacing w:after="0" w:line="480" w:lineRule="auto"/>
        <w:jc w:val="both"/>
        <w:sectPr>
          <w:pgSz w:w="12240" w:h="15840"/>
          <w:pgMar w:header="0" w:footer="1068" w:top="1820" w:bottom="1260" w:left="1420" w:right="440"/>
        </w:sectPr>
      </w:pPr>
    </w:p>
    <w:p>
      <w:pPr>
        <w:pStyle w:val="BodyText"/>
        <w:spacing w:line="480" w:lineRule="auto" w:before="72"/>
        <w:ind w:left="380" w:right="1264"/>
        <w:jc w:val="both"/>
      </w:pPr>
      <w:r>
        <w:rPr/>
        <w:t>operatively for anaerobic infections, protozoan infection like </w:t>
      </w:r>
      <w:r>
        <w:rPr>
          <w:i/>
        </w:rPr>
        <w:t>giardiasis, trichomoniasis</w:t>
      </w:r>
      <w:r>
        <w:rPr/>
        <w:t>, Hepatic &amp; intestinal </w:t>
      </w:r>
      <w:r>
        <w:rPr>
          <w:i/>
        </w:rPr>
        <w:t>amoebiasis</w:t>
      </w:r>
      <w:r>
        <w:rPr/>
        <w:t>, skin and soft tissue infections, </w:t>
      </w:r>
      <w:r>
        <w:rPr>
          <w:i/>
        </w:rPr>
        <w:t>Peritonitis</w:t>
      </w:r>
      <w:r>
        <w:rPr/>
        <w:t>, Pneumonia</w:t>
      </w:r>
      <w:r>
        <w:rPr>
          <w:spacing w:val="40"/>
        </w:rPr>
        <w:t> </w:t>
      </w:r>
      <w:r>
        <w:rPr/>
        <w:t>and Lung abscess. Other biological activities of therapeutic importance include radio sensitizers in treatment of cancer, control of fertility and use as antitubercular agent (Gunay </w:t>
      </w:r>
      <w:r>
        <w:rPr>
          <w:i/>
        </w:rPr>
        <w:t>et al</w:t>
      </w:r>
      <w:r>
        <w:rPr/>
        <w:t>., 1999)</w:t>
      </w:r>
      <w:r>
        <w:rPr>
          <w:b/>
        </w:rPr>
        <w:t>. </w:t>
      </w:r>
      <w:r>
        <w:rPr/>
        <w:t>5-nitroimidazole derivatives are use and tested in enzyme assays against HIV-1 recombinant reverse transcriptase; they are also tested in cell-based assays (Amidon </w:t>
      </w:r>
      <w:r>
        <w:rPr>
          <w:i/>
        </w:rPr>
        <w:t>et al</w:t>
      </w:r>
      <w:r>
        <w:rPr/>
        <w:t>., 2005).</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3"/>
        <w:rPr>
          <w:sz w:val="18"/>
        </w:rPr>
      </w:pPr>
    </w:p>
    <w:p>
      <w:pPr>
        <w:tabs>
          <w:tab w:pos="5356" w:val="left" w:leader="none"/>
          <w:tab w:pos="8345" w:val="left" w:leader="none"/>
        </w:tabs>
        <w:spacing w:before="1"/>
        <w:ind w:left="380" w:right="0" w:firstLine="0"/>
        <w:jc w:val="left"/>
        <w:rPr>
          <w:sz w:val="18"/>
        </w:rPr>
      </w:pPr>
      <w:r>
        <w:rPr>
          <w:spacing w:val="-2"/>
          <w:sz w:val="18"/>
        </w:rPr>
        <w:t>Tinidazole</w:t>
      </w:r>
      <w:r>
        <w:rPr>
          <w:sz w:val="18"/>
        </w:rPr>
        <w:tab/>
      </w:r>
      <w:r>
        <w:rPr>
          <w:spacing w:val="-2"/>
          <w:sz w:val="18"/>
        </w:rPr>
        <w:t>Metronidazole</w:t>
      </w:r>
      <w:r>
        <w:rPr>
          <w:sz w:val="18"/>
        </w:rPr>
        <w:tab/>
      </w:r>
      <w:r>
        <w:rPr>
          <w:spacing w:val="-2"/>
          <w:position w:val="1"/>
          <w:sz w:val="18"/>
        </w:rPr>
        <w:t>Ornidazole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0"/>
        <w:rPr>
          <w:sz w:val="18"/>
        </w:rPr>
      </w:pPr>
    </w:p>
    <w:p>
      <w:pPr>
        <w:tabs>
          <w:tab w:pos="7074" w:val="left" w:leader="none"/>
        </w:tabs>
        <w:spacing w:before="0"/>
        <w:ind w:left="1100" w:right="0" w:firstLine="0"/>
        <w:jc w:val="left"/>
        <w:rPr>
          <w:sz w:val="18"/>
        </w:rPr>
      </w:pPr>
      <w:r>
        <w:rPr>
          <w:spacing w:val="-2"/>
          <w:sz w:val="18"/>
        </w:rPr>
        <w:t>Secnidazole</w:t>
      </w:r>
      <w:r>
        <w:rPr>
          <w:sz w:val="18"/>
        </w:rPr>
        <w:tab/>
      </w:r>
      <w:r>
        <w:rPr>
          <w:spacing w:val="-2"/>
          <w:sz w:val="18"/>
        </w:rPr>
        <w:t>Dimetridazole</w:t>
      </w:r>
    </w:p>
    <w:p>
      <w:pPr>
        <w:pStyle w:val="BodyText"/>
        <w:rPr>
          <w:sz w:val="18"/>
        </w:rPr>
      </w:pPr>
    </w:p>
    <w:p>
      <w:pPr>
        <w:pStyle w:val="BodyText"/>
        <w:rPr>
          <w:sz w:val="18"/>
        </w:rPr>
      </w:pPr>
    </w:p>
    <w:p>
      <w:pPr>
        <w:pStyle w:val="BodyText"/>
        <w:spacing w:before="164"/>
        <w:rPr>
          <w:sz w:val="18"/>
        </w:rPr>
      </w:pPr>
    </w:p>
    <w:p>
      <w:pPr>
        <w:spacing w:before="0"/>
        <w:ind w:left="1100" w:right="0" w:firstLine="0"/>
        <w:jc w:val="left"/>
        <w:rPr>
          <w:sz w:val="18"/>
        </w:rPr>
      </w:pPr>
      <w:r>
        <w:rPr>
          <w:spacing w:val="-2"/>
          <w:sz w:val="18"/>
        </w:rPr>
        <w:t>Azomycin</w:t>
      </w:r>
    </w:p>
    <w:p>
      <w:pPr>
        <w:pStyle w:val="BodyText"/>
        <w:rPr>
          <w:sz w:val="18"/>
        </w:rPr>
      </w:pPr>
    </w:p>
    <w:p>
      <w:pPr>
        <w:pStyle w:val="Heading2"/>
        <w:ind w:left="1100"/>
      </w:pPr>
      <w:r>
        <w:rPr/>
        <w:t>Figure</w:t>
      </w:r>
      <w:r>
        <w:rPr>
          <w:spacing w:val="-3"/>
        </w:rPr>
        <w:t> </w:t>
      </w:r>
      <w:r>
        <w:rPr/>
        <w:t>2.2:</w:t>
      </w:r>
      <w:r>
        <w:rPr>
          <w:spacing w:val="-2"/>
        </w:rPr>
        <w:t> </w:t>
      </w:r>
      <w:r>
        <w:rPr/>
        <w:t>Commonly used</w:t>
      </w:r>
      <w:r>
        <w:rPr>
          <w:spacing w:val="-1"/>
        </w:rPr>
        <w:t> </w:t>
      </w:r>
      <w:r>
        <w:rPr/>
        <w:t>and</w:t>
      </w:r>
      <w:r>
        <w:rPr>
          <w:spacing w:val="-2"/>
        </w:rPr>
        <w:t> </w:t>
      </w:r>
      <w:r>
        <w:rPr/>
        <w:t>available</w:t>
      </w:r>
      <w:r>
        <w:rPr>
          <w:spacing w:val="-1"/>
        </w:rPr>
        <w:t> </w:t>
      </w:r>
      <w:r>
        <w:rPr/>
        <w:t>Nitro-</w:t>
      </w:r>
      <w:r>
        <w:rPr>
          <w:spacing w:val="-2"/>
        </w:rPr>
        <w:t>imidazoles</w:t>
      </w:r>
    </w:p>
    <w:p>
      <w:pPr>
        <w:pStyle w:val="BodyText"/>
        <w:rPr>
          <w:b/>
          <w:sz w:val="20"/>
        </w:rPr>
      </w:pPr>
    </w:p>
    <w:p>
      <w:pPr>
        <w:pStyle w:val="BodyText"/>
        <w:spacing w:before="116"/>
        <w:rPr>
          <w:b/>
          <w:sz w:val="20"/>
        </w:rPr>
      </w:pPr>
      <w:r>
        <w:rPr/>
        <w:drawing>
          <wp:anchor distT="0" distB="0" distL="0" distR="0" allowOverlap="1" layoutInCell="1" locked="0" behindDoc="1" simplePos="0" relativeHeight="487595520">
            <wp:simplePos x="0" y="0"/>
            <wp:positionH relativeFrom="page">
              <wp:posOffset>1739771</wp:posOffset>
            </wp:positionH>
            <wp:positionV relativeFrom="paragraph">
              <wp:posOffset>235145</wp:posOffset>
            </wp:positionV>
            <wp:extent cx="4982453" cy="1508188"/>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8" cstate="print"/>
                    <a:stretch>
                      <a:fillRect/>
                    </a:stretch>
                  </pic:blipFill>
                  <pic:spPr>
                    <a:xfrm>
                      <a:off x="0" y="0"/>
                      <a:ext cx="4982453" cy="1508188"/>
                    </a:xfrm>
                    <a:prstGeom prst="rect">
                      <a:avLst/>
                    </a:prstGeom>
                  </pic:spPr>
                </pic:pic>
              </a:graphicData>
            </a:graphic>
          </wp:anchor>
        </w:drawing>
      </w:r>
    </w:p>
    <w:p>
      <w:pPr>
        <w:spacing w:before="265"/>
        <w:ind w:left="1100" w:right="0" w:firstLine="0"/>
        <w:jc w:val="left"/>
        <w:rPr>
          <w:b/>
          <w:sz w:val="24"/>
        </w:rPr>
      </w:pPr>
      <w:r>
        <w:rPr>
          <w:b/>
          <w:sz w:val="24"/>
        </w:rPr>
        <w:t>Figure</w:t>
      </w:r>
      <w:r>
        <w:rPr>
          <w:b/>
          <w:spacing w:val="-2"/>
          <w:sz w:val="24"/>
        </w:rPr>
        <w:t> </w:t>
      </w:r>
      <w:r>
        <w:rPr>
          <w:b/>
          <w:sz w:val="24"/>
        </w:rPr>
        <w:t>2.3 Nitro-</w:t>
      </w:r>
      <w:r>
        <w:rPr>
          <w:b/>
          <w:spacing w:val="-1"/>
          <w:sz w:val="24"/>
        </w:rPr>
        <w:t> </w:t>
      </w:r>
      <w:r>
        <w:rPr>
          <w:b/>
          <w:sz w:val="24"/>
        </w:rPr>
        <w:t>imidazoles</w:t>
      </w:r>
      <w:r>
        <w:rPr>
          <w:b/>
          <w:spacing w:val="-2"/>
          <w:sz w:val="24"/>
        </w:rPr>
        <w:t> </w:t>
      </w:r>
      <w:r>
        <w:rPr>
          <w:b/>
          <w:sz w:val="24"/>
        </w:rPr>
        <w:t>under</w:t>
      </w:r>
      <w:r>
        <w:rPr>
          <w:b/>
          <w:spacing w:val="-1"/>
          <w:sz w:val="24"/>
        </w:rPr>
        <w:t> </w:t>
      </w:r>
      <w:r>
        <w:rPr>
          <w:b/>
          <w:sz w:val="24"/>
        </w:rPr>
        <w:t>clinical</w:t>
      </w:r>
      <w:r>
        <w:rPr>
          <w:b/>
          <w:spacing w:val="-1"/>
          <w:sz w:val="24"/>
        </w:rPr>
        <w:t> </w:t>
      </w:r>
      <w:r>
        <w:rPr>
          <w:b/>
          <w:spacing w:val="-2"/>
          <w:sz w:val="24"/>
        </w:rPr>
        <w:t>trials.</w:t>
      </w:r>
    </w:p>
    <w:p>
      <w:pPr>
        <w:spacing w:before="272"/>
        <w:ind w:left="1100" w:right="0" w:firstLine="0"/>
        <w:jc w:val="left"/>
        <w:rPr>
          <w:sz w:val="24"/>
        </w:rPr>
      </w:pPr>
      <w:r>
        <w:rPr>
          <w:i/>
          <w:sz w:val="24"/>
        </w:rPr>
        <w:t>Adapted</w:t>
      </w:r>
      <w:r>
        <w:rPr>
          <w:i/>
          <w:spacing w:val="-5"/>
          <w:sz w:val="24"/>
        </w:rPr>
        <w:t> </w:t>
      </w:r>
      <w:r>
        <w:rPr>
          <w:i/>
          <w:sz w:val="24"/>
        </w:rPr>
        <w:t>from</w:t>
      </w:r>
      <w:r>
        <w:rPr>
          <w:i/>
          <w:spacing w:val="-3"/>
          <w:sz w:val="24"/>
        </w:rPr>
        <w:t> </w:t>
      </w:r>
      <w:hyperlink r:id="rId9">
        <w:r>
          <w:rPr>
            <w:i/>
            <w:sz w:val="24"/>
          </w:rPr>
          <w:t>http://en.wikipedia.org/wiki/Tinidazole</w:t>
        </w:r>
      </w:hyperlink>
      <w:r>
        <w:rPr>
          <w:i/>
          <w:spacing w:val="-3"/>
          <w:sz w:val="24"/>
        </w:rPr>
        <w:t> </w:t>
      </w:r>
      <w:r>
        <w:rPr>
          <w:spacing w:val="-2"/>
          <w:sz w:val="24"/>
        </w:rPr>
        <w:t>(</w:t>
      </w:r>
      <w:r>
        <w:rPr>
          <w:i/>
          <w:spacing w:val="-2"/>
          <w:sz w:val="24"/>
        </w:rPr>
        <w:t>2013</w:t>
      </w:r>
      <w:r>
        <w:rPr>
          <w:spacing w:val="-2"/>
          <w:sz w:val="24"/>
        </w:rPr>
        <w:t>)</w:t>
      </w:r>
    </w:p>
    <w:p>
      <w:pPr>
        <w:spacing w:after="0"/>
        <w:jc w:val="left"/>
        <w:rPr>
          <w:sz w:val="24"/>
        </w:rPr>
        <w:sectPr>
          <w:pgSz w:w="12240" w:h="15840"/>
          <w:pgMar w:header="0" w:footer="1068" w:top="1540" w:bottom="1260" w:left="1420" w:right="440"/>
        </w:sectPr>
      </w:pPr>
    </w:p>
    <w:p>
      <w:pPr>
        <w:pStyle w:val="Heading2"/>
        <w:numPr>
          <w:ilvl w:val="1"/>
          <w:numId w:val="15"/>
        </w:numPr>
        <w:tabs>
          <w:tab w:pos="4415" w:val="left" w:leader="none"/>
        </w:tabs>
        <w:spacing w:line="240" w:lineRule="auto" w:before="77" w:after="0"/>
        <w:ind w:left="4415" w:right="0" w:hanging="420"/>
        <w:jc w:val="both"/>
      </w:pPr>
      <w:bookmarkStart w:name="_TOC_250056" w:id="28"/>
      <w:bookmarkEnd w:id="28"/>
      <w:r>
        <w:rPr>
          <w:spacing w:val="-2"/>
        </w:rPr>
        <w:t>Tinidazole</w:t>
      </w:r>
    </w:p>
    <w:p>
      <w:pPr>
        <w:pStyle w:val="BodyText"/>
        <w:spacing w:line="480" w:lineRule="auto" w:before="271"/>
        <w:ind w:left="380" w:right="1262"/>
        <w:jc w:val="both"/>
      </w:pPr>
      <w:r>
        <w:rPr/>
        <w:t>Tinidazole, a synthetic nitroimidazole, is a structural analogue of metronidazole and a second generation 2-methyl- </w:t>
      </w:r>
      <w:hyperlink r:id="rId10">
        <w:r>
          <w:rPr/>
          <w:t>5-nitroimidazole</w:t>
        </w:r>
      </w:hyperlink>
      <w:r>
        <w:rPr/>
        <w:t> derivative with antibacterial and antiprotozoal property. It has been widely used with established efficacy and acceptable tolerability for the treatment of </w:t>
      </w:r>
      <w:r>
        <w:rPr>
          <w:i/>
        </w:rPr>
        <w:t>trichomoniasis, giardiasis, amebiasis, </w:t>
      </w:r>
      <w:r>
        <w:rPr/>
        <w:t>and </w:t>
      </w:r>
      <w:r>
        <w:rPr>
          <w:i/>
        </w:rPr>
        <w:t>amebic liver abscess. </w:t>
      </w:r>
      <w:r>
        <w:rPr/>
        <w:t>Oral delivery has become a widely accepted route of administration (Amit </w:t>
      </w:r>
      <w:r>
        <w:rPr>
          <w:i/>
        </w:rPr>
        <w:t>et al., </w:t>
      </w:r>
      <w:r>
        <w:rPr/>
        <w:t>2013). Although the mechanism of action has not been fully elucidated, it has been suggested that tinidazole is metabolized and yields </w:t>
      </w:r>
      <w:hyperlink r:id="rId11">
        <w:r>
          <w:rPr/>
          <w:t>nitrite</w:t>
        </w:r>
      </w:hyperlink>
      <w:r>
        <w:rPr/>
        <w:t> anions and </w:t>
      </w:r>
      <w:hyperlink r:id="rId12">
        <w:r>
          <w:rPr/>
          <w:t>metronidazole</w:t>
        </w:r>
      </w:hyperlink>
      <w:r>
        <w:rPr/>
        <w:t>. </w:t>
      </w:r>
      <w:hyperlink r:id="rId13">
        <w:r>
          <w:rPr/>
          <w:t>Metronidazole'</w:t>
        </w:r>
      </w:hyperlink>
      <w:r>
        <w:rPr/>
        <w:t>s nitro group in turn is reduced via the parasite ferredoxin, thereby generating a series of free nitro radicals including nitro anions. Toxicity is achieved via depletion of sulfhydryl groups and DNA strand breaks with multiple hits having an additive effect and ultimately leading to cell death (Fung </w:t>
      </w:r>
      <w:r>
        <w:rPr>
          <w:i/>
        </w:rPr>
        <w:t>et al</w:t>
      </w:r>
      <w:r>
        <w:rPr/>
        <w:t>., 2005).</w:t>
      </w:r>
    </w:p>
    <w:p>
      <w:pPr>
        <w:pStyle w:val="BodyText"/>
        <w:spacing w:line="480" w:lineRule="auto" w:before="71"/>
        <w:ind w:left="380" w:right="1268"/>
        <w:jc w:val="both"/>
      </w:pPr>
      <w:r>
        <w:rPr/>
        <w:t>In another view, the nitro-group of tinidazole is reduced by cell extracts of trichomonas. The free nitro-radical generated as a result of this reduction may be responsible for the antiprotozoal activity. Chemically reduced tinidazole was shown to release nitrites and cause damage to purified bacterial DNA </w:t>
      </w:r>
      <w:r>
        <w:rPr>
          <w:i/>
        </w:rPr>
        <w:t>in vitro</w:t>
      </w:r>
      <w:r>
        <w:rPr/>
        <w:t>. Additionally, the drug</w:t>
      </w:r>
      <w:r>
        <w:rPr>
          <w:spacing w:val="-1"/>
        </w:rPr>
        <w:t> </w:t>
      </w:r>
      <w:r>
        <w:rPr/>
        <w:t>caused DNA base changes in bacterial cells and DNA strand breakage in mammalian cells (Madhuri </w:t>
      </w:r>
      <w:r>
        <w:rPr>
          <w:i/>
        </w:rPr>
        <w:t>et al., </w:t>
      </w:r>
      <w:r>
        <w:rPr>
          <w:spacing w:val="-2"/>
        </w:rPr>
        <w:t>2011)</w:t>
      </w:r>
    </w:p>
    <w:p>
      <w:pPr>
        <w:pStyle w:val="Heading2"/>
        <w:numPr>
          <w:ilvl w:val="2"/>
          <w:numId w:val="15"/>
        </w:numPr>
        <w:tabs>
          <w:tab w:pos="920" w:val="left" w:leader="none"/>
        </w:tabs>
        <w:spacing w:line="240" w:lineRule="auto" w:before="3" w:after="0"/>
        <w:ind w:left="920" w:right="0" w:hanging="540"/>
        <w:jc w:val="both"/>
      </w:pPr>
      <w:bookmarkStart w:name="_TOC_250055" w:id="29"/>
      <w:r>
        <w:rPr/>
        <w:t>Pharmacokinetics</w:t>
      </w:r>
      <w:r>
        <w:rPr>
          <w:spacing w:val="-1"/>
        </w:rPr>
        <w:t> </w:t>
      </w:r>
      <w:r>
        <w:rPr/>
        <w:t>and</w:t>
      </w:r>
      <w:r>
        <w:rPr>
          <w:spacing w:val="-3"/>
        </w:rPr>
        <w:t> </w:t>
      </w:r>
      <w:r>
        <w:rPr/>
        <w:t>bioavailability</w:t>
      </w:r>
      <w:r>
        <w:rPr>
          <w:spacing w:val="-3"/>
        </w:rPr>
        <w:t> </w:t>
      </w:r>
      <w:r>
        <w:rPr/>
        <w:t>of</w:t>
      </w:r>
      <w:bookmarkEnd w:id="29"/>
      <w:r>
        <w:rPr>
          <w:spacing w:val="-2"/>
        </w:rPr>
        <w:t> tinidazole</w:t>
      </w:r>
    </w:p>
    <w:p>
      <w:pPr>
        <w:pStyle w:val="BodyText"/>
        <w:spacing w:line="480" w:lineRule="auto" w:before="272"/>
        <w:ind w:left="380" w:right="1262"/>
        <w:jc w:val="both"/>
      </w:pPr>
      <w:r>
        <w:rPr/>
        <w:t>The most common route of administration of tinidazole is oral (Madhuri </w:t>
      </w:r>
      <w:r>
        <w:rPr>
          <w:i/>
        </w:rPr>
        <w:t>et al., </w:t>
      </w:r>
      <w:r>
        <w:rPr/>
        <w:t>2011) and under fasting conditions it is absorbed rapidly and completely (100 %) and distributes to all tissues and body fluids, it readily crosses the blood-brain barrier with an apparent volume</w:t>
      </w:r>
      <w:r>
        <w:rPr>
          <w:spacing w:val="10"/>
        </w:rPr>
        <w:t> </w:t>
      </w:r>
      <w:r>
        <w:rPr/>
        <w:t>of</w:t>
      </w:r>
      <w:r>
        <w:rPr>
          <w:spacing w:val="14"/>
        </w:rPr>
        <w:t> </w:t>
      </w:r>
      <w:r>
        <w:rPr/>
        <w:t>distribution</w:t>
      </w:r>
      <w:r>
        <w:rPr>
          <w:spacing w:val="14"/>
        </w:rPr>
        <w:t> </w:t>
      </w:r>
      <w:r>
        <w:rPr/>
        <w:t>of</w:t>
      </w:r>
      <w:r>
        <w:rPr>
          <w:spacing w:val="52"/>
        </w:rPr>
        <w:t>  </w:t>
      </w:r>
      <w:r>
        <w:rPr/>
        <w:t>about</w:t>
      </w:r>
      <w:r>
        <w:rPr>
          <w:spacing w:val="15"/>
        </w:rPr>
        <w:t> </w:t>
      </w:r>
      <w:r>
        <w:rPr/>
        <w:t>50</w:t>
      </w:r>
      <w:r>
        <w:rPr>
          <w:spacing w:val="16"/>
        </w:rPr>
        <w:t> </w:t>
      </w:r>
      <w:r>
        <w:rPr/>
        <w:t>L,</w:t>
      </w:r>
      <w:r>
        <w:rPr>
          <w:spacing w:val="15"/>
        </w:rPr>
        <w:t> </w:t>
      </w:r>
      <w:r>
        <w:rPr/>
        <w:t>protein</w:t>
      </w:r>
      <w:r>
        <w:rPr>
          <w:spacing w:val="14"/>
        </w:rPr>
        <w:t> </w:t>
      </w:r>
      <w:r>
        <w:rPr/>
        <w:t>binding</w:t>
      </w:r>
      <w:r>
        <w:rPr>
          <w:spacing w:val="12"/>
        </w:rPr>
        <w:t> </w:t>
      </w:r>
      <w:r>
        <w:rPr/>
        <w:t>of</w:t>
      </w:r>
      <w:r>
        <w:rPr>
          <w:spacing w:val="15"/>
        </w:rPr>
        <w:t> </w:t>
      </w:r>
      <w:r>
        <w:rPr/>
        <w:t>12</w:t>
      </w:r>
      <w:r>
        <w:rPr>
          <w:spacing w:val="15"/>
        </w:rPr>
        <w:t> </w:t>
      </w:r>
      <w:r>
        <w:rPr/>
        <w:t>%</w:t>
      </w:r>
      <w:r>
        <w:rPr>
          <w:spacing w:val="15"/>
        </w:rPr>
        <w:t> </w:t>
      </w:r>
      <w:r>
        <w:rPr/>
        <w:t>and</w:t>
      </w:r>
      <w:r>
        <w:rPr>
          <w:spacing w:val="16"/>
        </w:rPr>
        <w:t> </w:t>
      </w:r>
      <w:r>
        <w:rPr/>
        <w:t>attain</w:t>
      </w:r>
      <w:r>
        <w:rPr>
          <w:spacing w:val="18"/>
        </w:rPr>
        <w:t> </w:t>
      </w:r>
      <w:r>
        <w:rPr>
          <w:spacing w:val="-2"/>
        </w:rPr>
        <w:t>bioavailability</w:t>
      </w:r>
    </w:p>
    <w:p>
      <w:pPr>
        <w:spacing w:after="0" w:line="480" w:lineRule="auto"/>
        <w:jc w:val="both"/>
        <w:sectPr>
          <w:pgSz w:w="12240" w:h="15840"/>
          <w:pgMar w:header="0" w:footer="1068" w:top="1540" w:bottom="1260" w:left="1420" w:right="440"/>
        </w:sectPr>
      </w:pPr>
    </w:p>
    <w:p>
      <w:pPr>
        <w:pStyle w:val="BodyText"/>
        <w:spacing w:line="480" w:lineRule="auto" w:before="72"/>
        <w:ind w:left="380" w:right="1262"/>
        <w:jc w:val="both"/>
      </w:pPr>
      <w:r>
        <w:rPr/>
        <w:t>of 88 and 129 % with a mean of 99 % fallowing a single oral dose administration</w:t>
      </w:r>
      <w:r>
        <w:rPr>
          <w:spacing w:val="40"/>
        </w:rPr>
        <w:t> </w:t>
      </w:r>
      <w:r>
        <w:rPr/>
        <w:t>(Madhuri </w:t>
      </w:r>
      <w:r>
        <w:rPr>
          <w:i/>
        </w:rPr>
        <w:t>et al., </w:t>
      </w:r>
      <w:r>
        <w:rPr/>
        <w:t>2011). It has a biological half life of 12-14 hours and is significantly metabolized in humans prior to excretion. It is partly metabolized by oxidation, hydroxylation and conjugation. It is the major drug-related constituent in plasma after human treatment, along with a small amount of the 2-hydroxymethyl metabolite. Tinidazole is bio transformed mainly by CYP3A4. In an </w:t>
      </w:r>
      <w:r>
        <w:rPr>
          <w:i/>
        </w:rPr>
        <w:t>in vitro </w:t>
      </w:r>
      <w:r>
        <w:rPr/>
        <w:t>metabolic drug</w:t>
      </w:r>
      <w:r>
        <w:rPr>
          <w:spacing w:val="40"/>
        </w:rPr>
        <w:t> </w:t>
      </w:r>
      <w:r>
        <w:rPr/>
        <w:t>interaction study, tinidazole concentrations of up to 75 μg/mL did not inhibit the enzyme activities of CYP1A2, CYP2B6, CYP2C9, CYP2D6, CYP2E1, and CYP3A4 (Madhuri </w:t>
      </w:r>
      <w:r>
        <w:rPr>
          <w:i/>
        </w:rPr>
        <w:t>et al., </w:t>
      </w:r>
      <w:r>
        <w:rPr/>
        <w:t>2011). The plasma half-life of tinidazole is approximately 12-14 hours and concentrations similar to those found in the plasma have been achieved in bile, breast</w:t>
      </w:r>
      <w:r>
        <w:rPr>
          <w:spacing w:val="40"/>
        </w:rPr>
        <w:t> </w:t>
      </w:r>
      <w:r>
        <w:rPr/>
        <w:t>milk, CSF, saliva, and a variety</w:t>
      </w:r>
      <w:r>
        <w:rPr>
          <w:spacing w:val="-2"/>
        </w:rPr>
        <w:t> </w:t>
      </w:r>
      <w:r>
        <w:rPr/>
        <w:t>of body</w:t>
      </w:r>
      <w:r>
        <w:rPr>
          <w:spacing w:val="-2"/>
        </w:rPr>
        <w:t> </w:t>
      </w:r>
      <w:r>
        <w:rPr/>
        <w:t>tissues. It crosses the placenta readily. Only</w:t>
      </w:r>
      <w:r>
        <w:rPr>
          <w:spacing w:val="-2"/>
        </w:rPr>
        <w:t> </w:t>
      </w:r>
      <w:r>
        <w:rPr/>
        <w:t>12 % is reported to be bound to plasma proteins. Tinidazole is excreted by the liver and the kidneys. Tinidazole is excreted in the urine mainly as unchanged drug (approximately 20- 25 % of the administered dose). Approximately 12 % of the drug is excreted in the feces (Sweetman, 2005).</w:t>
      </w:r>
    </w:p>
    <w:p>
      <w:pPr>
        <w:pStyle w:val="Heading2"/>
        <w:numPr>
          <w:ilvl w:val="2"/>
          <w:numId w:val="15"/>
        </w:numPr>
        <w:tabs>
          <w:tab w:pos="920" w:val="left" w:leader="none"/>
        </w:tabs>
        <w:spacing w:line="240" w:lineRule="auto" w:before="268" w:after="0"/>
        <w:ind w:left="920" w:right="0" w:hanging="540"/>
        <w:jc w:val="both"/>
      </w:pPr>
      <w:bookmarkStart w:name="_TOC_250054" w:id="30"/>
      <w:r>
        <w:rPr/>
        <w:t>Methods</w:t>
      </w:r>
      <w:r>
        <w:rPr>
          <w:spacing w:val="-2"/>
        </w:rPr>
        <w:t> </w:t>
      </w:r>
      <w:r>
        <w:rPr/>
        <w:t>of</w:t>
      </w:r>
      <w:r>
        <w:rPr>
          <w:spacing w:val="-1"/>
        </w:rPr>
        <w:t> </w:t>
      </w:r>
      <w:r>
        <w:rPr/>
        <w:t>assessing</w:t>
      </w:r>
      <w:r>
        <w:rPr>
          <w:spacing w:val="-2"/>
        </w:rPr>
        <w:t> </w:t>
      </w:r>
      <w:r>
        <w:rPr/>
        <w:t>bioavailability</w:t>
      </w:r>
      <w:r>
        <w:rPr>
          <w:spacing w:val="-2"/>
        </w:rPr>
        <w:t> </w:t>
      </w:r>
      <w:r>
        <w:rPr/>
        <w:t>of </w:t>
      </w:r>
      <w:bookmarkEnd w:id="30"/>
      <w:r>
        <w:rPr>
          <w:spacing w:val="-2"/>
        </w:rPr>
        <w:t>tinidazole</w:t>
      </w:r>
    </w:p>
    <w:p>
      <w:pPr>
        <w:pStyle w:val="BodyText"/>
        <w:spacing w:line="480" w:lineRule="auto" w:before="271"/>
        <w:ind w:left="380" w:right="1265"/>
        <w:jc w:val="both"/>
      </w:pPr>
      <w:r>
        <w:rPr/>
        <w:t>There are several direct and indirect methods of assessing bioavailability in humans. The selection of a method depends on the purpose of the study, analytical method of drug measurement, and nature of the drug product. For tinidazole, pharmacokinetics and </w:t>
      </w:r>
      <w:r>
        <w:rPr>
          <w:i/>
        </w:rPr>
        <w:t>in</w:t>
      </w:r>
      <w:r>
        <w:rPr>
          <w:i/>
          <w:spacing w:val="40"/>
        </w:rPr>
        <w:t> </w:t>
      </w:r>
      <w:r>
        <w:rPr>
          <w:i/>
        </w:rPr>
        <w:t>vitro </w:t>
      </w:r>
      <w:r>
        <w:rPr/>
        <w:t>dissolution methods are the most commonly employed.</w:t>
      </w:r>
    </w:p>
    <w:p>
      <w:pPr>
        <w:spacing w:after="0" w:line="480" w:lineRule="auto"/>
        <w:jc w:val="both"/>
        <w:sectPr>
          <w:pgSz w:w="12240" w:h="15840"/>
          <w:pgMar w:header="0" w:footer="1068" w:top="1540" w:bottom="1260" w:left="1420" w:right="440"/>
        </w:sectPr>
      </w:pPr>
    </w:p>
    <w:p>
      <w:pPr>
        <w:pStyle w:val="ListParagraph"/>
        <w:numPr>
          <w:ilvl w:val="3"/>
          <w:numId w:val="15"/>
        </w:numPr>
        <w:tabs>
          <w:tab w:pos="1099" w:val="left" w:leader="none"/>
        </w:tabs>
        <w:spacing w:line="240" w:lineRule="auto" w:before="72" w:after="0"/>
        <w:ind w:left="1099" w:right="0" w:hanging="719"/>
        <w:jc w:val="both"/>
        <w:rPr>
          <w:i/>
          <w:sz w:val="24"/>
        </w:rPr>
      </w:pPr>
      <w:r>
        <w:rPr>
          <w:i/>
          <w:sz w:val="24"/>
        </w:rPr>
        <w:t>Pharmacokinetic</w:t>
      </w:r>
      <w:r>
        <w:rPr>
          <w:i/>
          <w:spacing w:val="-3"/>
          <w:sz w:val="24"/>
        </w:rPr>
        <w:t> </w:t>
      </w:r>
      <w:r>
        <w:rPr>
          <w:i/>
          <w:spacing w:val="-2"/>
          <w:sz w:val="24"/>
        </w:rPr>
        <w:t>method</w:t>
      </w:r>
    </w:p>
    <w:p>
      <w:pPr>
        <w:pStyle w:val="BodyText"/>
        <w:rPr>
          <w:i/>
        </w:rPr>
      </w:pPr>
    </w:p>
    <w:p>
      <w:pPr>
        <w:pStyle w:val="BodyText"/>
        <w:spacing w:line="480" w:lineRule="auto"/>
        <w:ind w:left="380" w:right="1273"/>
        <w:jc w:val="both"/>
      </w:pPr>
      <w:r>
        <w:rPr/>
        <w:t>This is the measurement of the active drug substance or its metabolite(s) in biological fluids such as blood, plasma, urine, saliva, bile, sweat, milk, breath, faeces and other </w:t>
      </w:r>
      <w:r>
        <w:rPr>
          <w:spacing w:val="-2"/>
        </w:rPr>
        <w:t>tissues.</w:t>
      </w:r>
    </w:p>
    <w:p>
      <w:pPr>
        <w:pStyle w:val="ListParagraph"/>
        <w:numPr>
          <w:ilvl w:val="3"/>
          <w:numId w:val="15"/>
        </w:numPr>
        <w:tabs>
          <w:tab w:pos="1099" w:val="left" w:leader="none"/>
        </w:tabs>
        <w:spacing w:line="240" w:lineRule="auto" w:before="0" w:after="0"/>
        <w:ind w:left="1099" w:right="0" w:hanging="719"/>
        <w:jc w:val="both"/>
        <w:rPr>
          <w:i/>
          <w:sz w:val="24"/>
        </w:rPr>
      </w:pPr>
      <w:r>
        <w:rPr>
          <w:i/>
          <w:sz w:val="24"/>
        </w:rPr>
        <w:t>In-vitro</w:t>
      </w:r>
      <w:r>
        <w:rPr>
          <w:i/>
          <w:spacing w:val="-4"/>
          <w:sz w:val="24"/>
        </w:rPr>
        <w:t> </w:t>
      </w:r>
      <w:r>
        <w:rPr>
          <w:i/>
          <w:sz w:val="24"/>
        </w:rPr>
        <w:t>dissolution</w:t>
      </w:r>
      <w:r>
        <w:rPr>
          <w:i/>
          <w:spacing w:val="-1"/>
          <w:sz w:val="24"/>
        </w:rPr>
        <w:t> </w:t>
      </w:r>
      <w:r>
        <w:rPr>
          <w:i/>
          <w:spacing w:val="-4"/>
          <w:sz w:val="24"/>
        </w:rPr>
        <w:t>test</w:t>
      </w:r>
    </w:p>
    <w:p>
      <w:pPr>
        <w:pStyle w:val="BodyText"/>
        <w:rPr>
          <w:i/>
        </w:rPr>
      </w:pPr>
    </w:p>
    <w:p>
      <w:pPr>
        <w:pStyle w:val="BodyText"/>
        <w:spacing w:line="480" w:lineRule="auto"/>
        <w:ind w:left="380" w:right="1266" w:firstLine="60"/>
        <w:jc w:val="both"/>
      </w:pPr>
      <w:r>
        <w:rPr/>
        <w:t>This is done in selected case where </w:t>
      </w:r>
      <w:r>
        <w:rPr>
          <w:i/>
        </w:rPr>
        <w:t>in vitro-in vivo </w:t>
      </w:r>
      <w:r>
        <w:rPr/>
        <w:t>correlation has been established for such drug product (Olaniyi </w:t>
      </w:r>
      <w:r>
        <w:rPr>
          <w:i/>
        </w:rPr>
        <w:t>et al., </w:t>
      </w:r>
      <w:r>
        <w:rPr/>
        <w:t>2001).</w:t>
      </w:r>
    </w:p>
    <w:p>
      <w:pPr>
        <w:pStyle w:val="BodyText"/>
        <w:spacing w:before="1"/>
        <w:ind w:left="380"/>
        <w:jc w:val="both"/>
      </w:pPr>
      <w:r>
        <w:rPr/>
        <w:t>Other</w:t>
      </w:r>
      <w:r>
        <w:rPr>
          <w:spacing w:val="-1"/>
        </w:rPr>
        <w:t> </w:t>
      </w:r>
      <w:r>
        <w:rPr/>
        <w:t>methods that</w:t>
      </w:r>
      <w:r>
        <w:rPr>
          <w:spacing w:val="-1"/>
        </w:rPr>
        <w:t> </w:t>
      </w:r>
      <w:r>
        <w:rPr/>
        <w:t>have</w:t>
      </w:r>
      <w:r>
        <w:rPr>
          <w:spacing w:val="2"/>
        </w:rPr>
        <w:t> </w:t>
      </w:r>
      <w:r>
        <w:rPr/>
        <w:t>proved</w:t>
      </w:r>
      <w:r>
        <w:rPr>
          <w:spacing w:val="-1"/>
        </w:rPr>
        <w:t> </w:t>
      </w:r>
      <w:r>
        <w:rPr/>
        <w:t>to be</w:t>
      </w:r>
      <w:r>
        <w:rPr>
          <w:spacing w:val="-1"/>
        </w:rPr>
        <w:t> </w:t>
      </w:r>
      <w:r>
        <w:rPr/>
        <w:t>useful in</w:t>
      </w:r>
      <w:r>
        <w:rPr>
          <w:spacing w:val="-1"/>
        </w:rPr>
        <w:t> </w:t>
      </w:r>
      <w:r>
        <w:rPr/>
        <w:t>assessing</w:t>
      </w:r>
      <w:r>
        <w:rPr>
          <w:spacing w:val="-2"/>
        </w:rPr>
        <w:t> </w:t>
      </w:r>
      <w:r>
        <w:rPr/>
        <w:t>bioavailability</w:t>
      </w:r>
      <w:r>
        <w:rPr>
          <w:spacing w:val="-5"/>
        </w:rPr>
        <w:t> </w:t>
      </w:r>
      <w:r>
        <w:rPr>
          <w:spacing w:val="-4"/>
        </w:rPr>
        <w:t>are;</w:t>
      </w:r>
    </w:p>
    <w:p>
      <w:pPr>
        <w:pStyle w:val="BodyText"/>
      </w:pPr>
    </w:p>
    <w:p>
      <w:pPr>
        <w:pStyle w:val="ListParagraph"/>
        <w:numPr>
          <w:ilvl w:val="3"/>
          <w:numId w:val="15"/>
        </w:numPr>
        <w:tabs>
          <w:tab w:pos="1099" w:val="left" w:leader="none"/>
        </w:tabs>
        <w:spacing w:line="240" w:lineRule="auto" w:before="0" w:after="0"/>
        <w:ind w:left="1099" w:right="0" w:hanging="719"/>
        <w:jc w:val="both"/>
        <w:rPr>
          <w:i/>
          <w:sz w:val="24"/>
        </w:rPr>
      </w:pPr>
      <w:r>
        <w:rPr>
          <w:i/>
          <w:sz w:val="24"/>
        </w:rPr>
        <w:t>Acute</w:t>
      </w:r>
      <w:r>
        <w:rPr>
          <w:i/>
          <w:spacing w:val="-2"/>
          <w:sz w:val="24"/>
        </w:rPr>
        <w:t> </w:t>
      </w:r>
      <w:r>
        <w:rPr>
          <w:i/>
          <w:sz w:val="24"/>
        </w:rPr>
        <w:t>pharmacologic</w:t>
      </w:r>
      <w:r>
        <w:rPr>
          <w:i/>
          <w:spacing w:val="-1"/>
          <w:sz w:val="24"/>
        </w:rPr>
        <w:t> </w:t>
      </w:r>
      <w:r>
        <w:rPr>
          <w:i/>
          <w:spacing w:val="-2"/>
          <w:sz w:val="24"/>
        </w:rPr>
        <w:t>effect</w:t>
      </w:r>
    </w:p>
    <w:p>
      <w:pPr>
        <w:pStyle w:val="BodyText"/>
        <w:rPr>
          <w:i/>
        </w:rPr>
      </w:pPr>
    </w:p>
    <w:p>
      <w:pPr>
        <w:pStyle w:val="BodyText"/>
        <w:spacing w:line="480" w:lineRule="auto"/>
        <w:ind w:left="380" w:right="1273"/>
        <w:jc w:val="both"/>
      </w:pPr>
      <w:r>
        <w:rPr/>
        <w:t>This is an acute pharmacologic effect such as effect on pupil diameter, heart rate or blood pressure can be useful as an index of drug</w:t>
      </w:r>
      <w:r>
        <w:rPr>
          <w:spacing w:val="-1"/>
        </w:rPr>
        <w:t> </w:t>
      </w:r>
      <w:r>
        <w:rPr/>
        <w:t>bioavailability. This may</w:t>
      </w:r>
      <w:r>
        <w:rPr>
          <w:spacing w:val="-4"/>
        </w:rPr>
        <w:t> </w:t>
      </w:r>
      <w:r>
        <w:rPr/>
        <w:t>require demonstration of dose related responses.</w:t>
      </w:r>
    </w:p>
    <w:p>
      <w:pPr>
        <w:pStyle w:val="ListParagraph"/>
        <w:numPr>
          <w:ilvl w:val="3"/>
          <w:numId w:val="15"/>
        </w:numPr>
        <w:tabs>
          <w:tab w:pos="1099" w:val="left" w:leader="none"/>
        </w:tabs>
        <w:spacing w:line="240" w:lineRule="auto" w:before="1" w:after="0"/>
        <w:ind w:left="1099" w:right="0" w:hanging="719"/>
        <w:jc w:val="both"/>
        <w:rPr>
          <w:i/>
          <w:sz w:val="24"/>
        </w:rPr>
      </w:pPr>
      <w:r>
        <w:rPr>
          <w:i/>
          <w:sz w:val="24"/>
        </w:rPr>
        <w:t>Clinical </w:t>
      </w:r>
      <w:r>
        <w:rPr>
          <w:i/>
          <w:spacing w:val="-2"/>
          <w:sz w:val="24"/>
        </w:rPr>
        <w:t>observation</w:t>
      </w:r>
    </w:p>
    <w:p>
      <w:pPr>
        <w:pStyle w:val="BodyText"/>
        <w:spacing w:line="480" w:lineRule="auto" w:before="276"/>
        <w:ind w:left="380" w:right="1271"/>
        <w:jc w:val="both"/>
      </w:pPr>
      <w:r>
        <w:rPr/>
        <w:t>These are observations such as lack of response (therapeutic failure) good response or toxicity in patients receiving similar drug products may be used to determine drug </w:t>
      </w:r>
      <w:r>
        <w:rPr>
          <w:spacing w:val="-2"/>
        </w:rPr>
        <w:t>bioavailability.</w:t>
      </w:r>
    </w:p>
    <w:p>
      <w:pPr>
        <w:pStyle w:val="BodyText"/>
      </w:pPr>
    </w:p>
    <w:p>
      <w:pPr>
        <w:pStyle w:val="BodyText"/>
        <w:spacing w:line="480" w:lineRule="auto"/>
        <w:ind w:left="380" w:right="1262"/>
        <w:jc w:val="both"/>
      </w:pPr>
      <w:r>
        <w:rPr/>
        <w:t>The various pharmacokinetic parameters usually employed in evaluating bioavailability </w:t>
      </w:r>
      <w:r>
        <w:rPr>
          <w:spacing w:val="-2"/>
        </w:rPr>
        <w:t>include.</w:t>
      </w:r>
    </w:p>
    <w:p>
      <w:pPr>
        <w:pStyle w:val="BodyText"/>
        <w:spacing w:line="480" w:lineRule="auto" w:before="6"/>
        <w:ind w:left="380" w:right="1265"/>
        <w:jc w:val="both"/>
      </w:pPr>
      <w:r>
        <w:rPr>
          <w:i/>
        </w:rPr>
        <w:t>AUC</w:t>
      </w:r>
      <w:r>
        <w:rPr/>
        <w:t>-: this is the area under the plasma concentration-time curve and it reflects the total amount of active drug reaching the systemic circulation. The total amount of drug in the systemic circulation is defined by</w:t>
      </w:r>
      <w:r>
        <w:rPr>
          <w:spacing w:val="-1"/>
        </w:rPr>
        <w:t> </w:t>
      </w:r>
      <w:r>
        <w:rPr/>
        <w:t>the AUC and for drugs administered orally, the AUC is determined using the trapezoidal rule. The oral bioavailability F defines how much drug gets</w:t>
      </w:r>
      <w:r>
        <w:rPr>
          <w:spacing w:val="13"/>
        </w:rPr>
        <w:t> </w:t>
      </w:r>
      <w:r>
        <w:rPr/>
        <w:t>into</w:t>
      </w:r>
      <w:r>
        <w:rPr>
          <w:spacing w:val="14"/>
        </w:rPr>
        <w:t> </w:t>
      </w:r>
      <w:r>
        <w:rPr/>
        <w:t>the</w:t>
      </w:r>
      <w:r>
        <w:rPr>
          <w:spacing w:val="13"/>
        </w:rPr>
        <w:t> </w:t>
      </w:r>
      <w:r>
        <w:rPr/>
        <w:t>systemic</w:t>
      </w:r>
      <w:r>
        <w:rPr>
          <w:spacing w:val="14"/>
        </w:rPr>
        <w:t> </w:t>
      </w:r>
      <w:r>
        <w:rPr/>
        <w:t>circulation</w:t>
      </w:r>
      <w:r>
        <w:rPr>
          <w:spacing w:val="14"/>
        </w:rPr>
        <w:t> </w:t>
      </w:r>
      <w:r>
        <w:rPr/>
        <w:t>after</w:t>
      </w:r>
      <w:r>
        <w:rPr>
          <w:spacing w:val="13"/>
        </w:rPr>
        <w:t> </w:t>
      </w:r>
      <w:r>
        <w:rPr/>
        <w:t>oral</w:t>
      </w:r>
      <w:r>
        <w:rPr>
          <w:spacing w:val="13"/>
        </w:rPr>
        <w:t> </w:t>
      </w:r>
      <w:r>
        <w:rPr/>
        <w:t>ingestion.</w:t>
      </w:r>
      <w:r>
        <w:rPr>
          <w:spacing w:val="16"/>
        </w:rPr>
        <w:t> </w:t>
      </w:r>
      <w:r>
        <w:rPr/>
        <w:t>It</w:t>
      </w:r>
      <w:r>
        <w:rPr>
          <w:spacing w:val="16"/>
        </w:rPr>
        <w:t> </w:t>
      </w:r>
      <w:r>
        <w:rPr/>
        <w:t>is</w:t>
      </w:r>
      <w:r>
        <w:rPr>
          <w:spacing w:val="20"/>
        </w:rPr>
        <w:t> </w:t>
      </w:r>
      <w:r>
        <w:rPr/>
        <w:t>usually</w:t>
      </w:r>
      <w:r>
        <w:rPr>
          <w:spacing w:val="9"/>
        </w:rPr>
        <w:t> </w:t>
      </w:r>
      <w:r>
        <w:rPr/>
        <w:t>defined</w:t>
      </w:r>
      <w:r>
        <w:rPr>
          <w:spacing w:val="16"/>
        </w:rPr>
        <w:t> </w:t>
      </w:r>
      <w:r>
        <w:rPr/>
        <w:t>by</w:t>
      </w:r>
      <w:r>
        <w:rPr>
          <w:spacing w:val="11"/>
        </w:rPr>
        <w:t> </w:t>
      </w:r>
      <w:r>
        <w:rPr>
          <w:spacing w:val="-2"/>
        </w:rPr>
        <w:t>comparison</w:t>
      </w:r>
    </w:p>
    <w:p>
      <w:pPr>
        <w:spacing w:after="0" w:line="480" w:lineRule="auto"/>
        <w:jc w:val="both"/>
        <w:sectPr>
          <w:pgSz w:w="12240" w:h="15840"/>
          <w:pgMar w:header="0" w:footer="1068" w:top="1540" w:bottom="1260" w:left="1420" w:right="440"/>
        </w:sectPr>
      </w:pPr>
    </w:p>
    <w:p>
      <w:pPr>
        <w:pStyle w:val="BodyText"/>
        <w:spacing w:line="480" w:lineRule="auto" w:before="72"/>
        <w:ind w:left="380" w:right="1175"/>
      </w:pPr>
      <w:r>
        <w:rPr/>
        <w:t>of AUC in the systemic circulation after oral ingestion with the AUC after IV dosing, i.e. the fraction (F) of drug that gets into the body after oral (po) versus IV administration:</w:t>
      </w:r>
    </w:p>
    <w:p>
      <w:pPr>
        <w:pStyle w:val="BodyText"/>
        <w:spacing w:line="245" w:lineRule="exact" w:before="262"/>
        <w:ind w:left="377" w:right="1424"/>
        <w:jc w:val="center"/>
      </w:pPr>
      <w:r>
        <w:rPr>
          <w:spacing w:val="-2"/>
          <w:u w:val="single"/>
        </w:rPr>
        <w:t>AUC</w:t>
      </w:r>
      <w:r>
        <w:rPr>
          <w:spacing w:val="-2"/>
          <w:u w:val="single"/>
          <w:vertAlign w:val="subscript"/>
        </w:rPr>
        <w:t>PO</w:t>
      </w:r>
    </w:p>
    <w:p>
      <w:pPr>
        <w:pStyle w:val="BodyText"/>
        <w:tabs>
          <w:tab w:pos="794" w:val="left" w:leader="none"/>
        </w:tabs>
        <w:spacing w:line="315" w:lineRule="exact"/>
        <w:ind w:right="1861"/>
        <w:jc w:val="center"/>
      </w:pPr>
      <w:r>
        <w:rPr>
          <w:position w:val="7"/>
        </w:rPr>
        <w:t>F</w:t>
      </w:r>
      <w:r>
        <w:rPr>
          <w:spacing w:val="-2"/>
          <w:position w:val="7"/>
        </w:rPr>
        <w:t> </w:t>
      </w:r>
      <w:r>
        <w:rPr>
          <w:spacing w:val="-12"/>
          <w:position w:val="7"/>
        </w:rPr>
        <w:t>=</w:t>
      </w:r>
      <w:r>
        <w:rPr>
          <w:position w:val="7"/>
        </w:rPr>
        <w:tab/>
      </w:r>
      <w:r>
        <w:rPr>
          <w:spacing w:val="-2"/>
        </w:rPr>
        <w:t>AUC</w:t>
      </w:r>
      <w:r>
        <w:rPr>
          <w:spacing w:val="-2"/>
          <w:vertAlign w:val="subscript"/>
        </w:rPr>
        <w:t>IV</w:t>
      </w:r>
    </w:p>
    <w:p>
      <w:pPr>
        <w:pStyle w:val="BodyText"/>
        <w:spacing w:before="103"/>
      </w:pPr>
    </w:p>
    <w:p>
      <w:pPr>
        <w:pStyle w:val="BodyText"/>
        <w:spacing w:line="480" w:lineRule="auto"/>
        <w:ind w:left="380" w:right="1263"/>
        <w:jc w:val="both"/>
      </w:pPr>
      <w:r>
        <w:rPr/>
        <w:t>The AUC is often less after oral administration as compared with IV administration and the F may have any value up to one which indicates complete assimilation as in intravenous route but not for oral route</w:t>
      </w:r>
    </w:p>
    <w:p>
      <w:pPr>
        <w:pStyle w:val="BodyText"/>
        <w:spacing w:line="480" w:lineRule="auto" w:before="1"/>
        <w:ind w:left="380" w:right="1265"/>
        <w:jc w:val="both"/>
      </w:pPr>
      <w:r>
        <w:rPr>
          <w:i/>
        </w:rPr>
        <w:t>C </w:t>
      </w:r>
      <w:r>
        <w:rPr>
          <w:i/>
          <w:vertAlign w:val="subscript"/>
        </w:rPr>
        <w:t>max</w:t>
      </w:r>
      <w:r>
        <w:rPr>
          <w:vertAlign w:val="subscript"/>
        </w:rPr>
        <w:t>-</w:t>
      </w:r>
      <w:r>
        <w:rPr>
          <w:vertAlign w:val="baseline"/>
        </w:rPr>
        <w:t>: This is the maximum plasma drug concentration obtained after administration of </w:t>
      </w:r>
      <w:r>
        <w:rPr>
          <w:spacing w:val="-2"/>
          <w:vertAlign w:val="baseline"/>
        </w:rPr>
        <w:t>drug.</w:t>
      </w:r>
    </w:p>
    <w:p>
      <w:pPr>
        <w:pStyle w:val="BodyText"/>
        <w:spacing w:line="480" w:lineRule="auto"/>
        <w:ind w:left="380" w:right="1264"/>
        <w:jc w:val="both"/>
      </w:pPr>
      <w:r>
        <w:rPr>
          <w:i/>
        </w:rPr>
        <w:t>Half-life (t</w:t>
      </w:r>
      <w:r>
        <w:rPr>
          <w:i/>
          <w:vertAlign w:val="subscript"/>
        </w:rPr>
        <w:t>1/2</w:t>
      </w:r>
      <w:r>
        <w:rPr>
          <w:i/>
          <w:vertAlign w:val="baseline"/>
        </w:rPr>
        <w:t>)</w:t>
      </w:r>
      <w:r>
        <w:rPr>
          <w:vertAlign w:val="baseline"/>
        </w:rPr>
        <w:t>-: is the time it takes for the plasma concentration or the amount of drug in the body to be reduced by 50 %. Also the time required to change the amount of drug in the body by one-half during elimination is called (</w:t>
      </w:r>
      <w:r>
        <w:rPr>
          <w:i/>
          <w:vertAlign w:val="baseline"/>
        </w:rPr>
        <w:t>t</w:t>
      </w:r>
      <w:r>
        <w:rPr>
          <w:vertAlign w:val="subscript"/>
        </w:rPr>
        <w:t>1/2</w:t>
      </w:r>
      <w:r>
        <w:rPr>
          <w:vertAlign w:val="baseline"/>
        </w:rPr>
        <w:t>) elimination. The time course of</w:t>
      </w:r>
      <w:r>
        <w:rPr>
          <w:spacing w:val="40"/>
          <w:vertAlign w:val="baseline"/>
        </w:rPr>
        <w:t> </w:t>
      </w:r>
      <w:r>
        <w:rPr>
          <w:vertAlign w:val="baseline"/>
        </w:rPr>
        <w:t>drug in the body will depend on both the volume of distribution and the clearance, so the half-life is a derived parameter that changes as a function of both clearance and volume of distribution. This is logical since the larger the Vd, the longer the t½, i.e. it takes longer to remove drug from deep within the tissues and the greater the CL, the shorter the t½. A useful approximate relationship between the clinically relevant half-life, clearance, and volume of distribution at steady state is given by</w:t>
      </w:r>
    </w:p>
    <w:p>
      <w:pPr>
        <w:spacing w:before="1"/>
        <w:ind w:left="3937" w:right="0" w:firstLine="0"/>
        <w:jc w:val="both"/>
        <w:rPr>
          <w:sz w:val="22"/>
        </w:rPr>
      </w:pPr>
      <w:r>
        <w:rPr>
          <w:sz w:val="24"/>
        </w:rPr>
        <w:t>(</w:t>
      </w:r>
      <w:r>
        <w:rPr>
          <w:i/>
          <w:sz w:val="24"/>
        </w:rPr>
        <w:t>t</w:t>
      </w:r>
      <w:r>
        <w:rPr>
          <w:sz w:val="24"/>
          <w:vertAlign w:val="subscript"/>
        </w:rPr>
        <w:t>1/2</w:t>
      </w:r>
      <w:r>
        <w:rPr>
          <w:sz w:val="24"/>
          <w:vertAlign w:val="baseline"/>
        </w:rPr>
        <w:t>) =</w:t>
      </w:r>
      <w:r>
        <w:rPr>
          <w:spacing w:val="-2"/>
          <w:sz w:val="24"/>
          <w:vertAlign w:val="baseline"/>
        </w:rPr>
        <w:t> </w:t>
      </w:r>
      <w:r>
        <w:rPr>
          <w:sz w:val="22"/>
          <w:u w:val="thick"/>
          <w:vertAlign w:val="baseline"/>
        </w:rPr>
        <w:t>0.693 </w:t>
      </w:r>
      <w:r>
        <w:rPr>
          <w:spacing w:val="-5"/>
          <w:sz w:val="22"/>
          <w:u w:val="thick"/>
          <w:vertAlign w:val="baseline"/>
        </w:rPr>
        <w:t>xVd</w:t>
      </w:r>
    </w:p>
    <w:p>
      <w:pPr>
        <w:spacing w:line="252" w:lineRule="exact" w:before="2"/>
        <w:ind w:left="0" w:right="167" w:firstLine="0"/>
        <w:jc w:val="center"/>
        <w:rPr>
          <w:sz w:val="22"/>
        </w:rPr>
      </w:pPr>
      <w:r>
        <w:rPr>
          <w:spacing w:val="-5"/>
          <w:sz w:val="22"/>
        </w:rPr>
        <w:t>CL</w:t>
      </w:r>
    </w:p>
    <w:p>
      <w:pPr>
        <w:pStyle w:val="BodyText"/>
        <w:spacing w:line="480" w:lineRule="auto"/>
        <w:ind w:left="380" w:right="1267"/>
        <w:jc w:val="both"/>
      </w:pPr>
      <w:r>
        <w:rPr/>
        <w:t>The rate constant for elimination that reflects the fraction of drug removed from the compartment per unit of time. This rate constant is inversely related to the half-life of the drug given by the equation (</w:t>
      </w:r>
      <w:r>
        <w:rPr>
          <w:i/>
        </w:rPr>
        <w:t>k </w:t>
      </w:r>
      <w:r>
        <w:rPr/>
        <w:t>= 0.693/</w:t>
      </w:r>
      <w:r>
        <w:rPr>
          <w:i/>
        </w:rPr>
        <w:t>t</w:t>
      </w:r>
      <w:r>
        <w:rPr>
          <w:vertAlign w:val="subscript"/>
        </w:rPr>
        <w:t>1/2</w:t>
      </w:r>
      <w:r>
        <w:rPr>
          <w:vertAlign w:val="baseline"/>
        </w:rPr>
        <w:t>) (Iain, 2006).</w:t>
      </w:r>
    </w:p>
    <w:p>
      <w:pPr>
        <w:spacing w:after="0" w:line="480" w:lineRule="auto"/>
        <w:jc w:val="both"/>
        <w:sectPr>
          <w:pgSz w:w="12240" w:h="15840"/>
          <w:pgMar w:header="0" w:footer="1068" w:top="1540" w:bottom="1260" w:left="1420" w:right="440"/>
        </w:sectPr>
      </w:pPr>
    </w:p>
    <w:p>
      <w:pPr>
        <w:pStyle w:val="BodyText"/>
        <w:spacing w:line="480" w:lineRule="auto" w:before="72"/>
        <w:ind w:left="380" w:right="1264"/>
        <w:jc w:val="both"/>
      </w:pPr>
      <w:r>
        <w:rPr>
          <w:i/>
        </w:rPr>
        <w:t>Clearance-: </w:t>
      </w:r>
      <w:r>
        <w:rPr/>
        <w:t>This is the measure of the body's ability to eliminate a particular drug in a</w:t>
      </w:r>
      <w:r>
        <w:rPr>
          <w:spacing w:val="80"/>
        </w:rPr>
        <w:t> </w:t>
      </w:r>
      <w:r>
        <w:rPr/>
        <w:t>unit time; thus, clearance may decreases owing to a disease processes that affect drug metabolism and elimination.</w:t>
      </w:r>
    </w:p>
    <w:p>
      <w:pPr>
        <w:pStyle w:val="BodyText"/>
        <w:spacing w:line="480" w:lineRule="auto"/>
        <w:ind w:left="380" w:right="1267"/>
        <w:jc w:val="both"/>
      </w:pPr>
      <w:r>
        <w:rPr>
          <w:i/>
        </w:rPr>
        <w:t>Volume of distribution (V)-: </w:t>
      </w:r>
      <w:r>
        <w:rPr/>
        <w:t>this relates the amount of drug in the body to the concentration of drug (</w:t>
      </w:r>
      <w:r>
        <w:rPr>
          <w:i/>
        </w:rPr>
        <w:t>C</w:t>
      </w:r>
      <w:r>
        <w:rPr/>
        <w:t>) in the blood or plasma depending on the fluid measured. This volume does not necessarily refer to an identifiable physiological volume but rather to the fluid volume that would be required to contain the entire drug in the body at the same concentration measured in the blood or plasma (katzung, 2004; Iain, 2006).</w:t>
      </w:r>
    </w:p>
    <w:p>
      <w:pPr>
        <w:pStyle w:val="BodyText"/>
        <w:spacing w:line="480" w:lineRule="auto" w:before="1"/>
        <w:ind w:left="380" w:right="1262"/>
        <w:jc w:val="both"/>
      </w:pPr>
      <w:r>
        <w:rPr/>
        <w:t>T</w:t>
      </w:r>
      <w:r>
        <w:rPr>
          <w:vertAlign w:val="subscript"/>
        </w:rPr>
        <w:t>max</w:t>
      </w:r>
      <w:r>
        <w:rPr>
          <w:vertAlign w:val="baseline"/>
        </w:rPr>
        <w:t> –: This is the time of maximum plasma concentration, it corresponds to the time required to reach maximum drug concentration. At T</w:t>
      </w:r>
      <w:r>
        <w:rPr>
          <w:vertAlign w:val="subscript"/>
        </w:rPr>
        <w:t>max</w:t>
      </w:r>
      <w:r>
        <w:rPr>
          <w:vertAlign w:val="baseline"/>
        </w:rPr>
        <w:t>, rate of absorption equals rate of elimination. Absorption continues after T</w:t>
      </w:r>
      <w:r>
        <w:rPr>
          <w:vertAlign w:val="subscript"/>
        </w:rPr>
        <w:t>max</w:t>
      </w:r>
      <w:r>
        <w:rPr>
          <w:spacing w:val="-10"/>
          <w:vertAlign w:val="baseline"/>
        </w:rPr>
        <w:t> </w:t>
      </w:r>
      <w:r>
        <w:rPr>
          <w:vertAlign w:val="baseline"/>
        </w:rPr>
        <w:t>but at a slower rate.</w:t>
      </w:r>
    </w:p>
    <w:p>
      <w:pPr>
        <w:pStyle w:val="Heading2"/>
        <w:numPr>
          <w:ilvl w:val="2"/>
          <w:numId w:val="15"/>
        </w:numPr>
        <w:tabs>
          <w:tab w:pos="920" w:val="left" w:leader="none"/>
        </w:tabs>
        <w:spacing w:line="240" w:lineRule="auto" w:before="125" w:after="0"/>
        <w:ind w:left="920" w:right="0" w:hanging="540"/>
        <w:jc w:val="both"/>
      </w:pPr>
      <w:bookmarkStart w:name="_TOC_250053" w:id="31"/>
      <w:r>
        <w:rPr/>
        <w:t>Analytical</w:t>
      </w:r>
      <w:r>
        <w:rPr>
          <w:spacing w:val="-1"/>
        </w:rPr>
        <w:t> </w:t>
      </w:r>
      <w:r>
        <w:rPr/>
        <w:t>methods</w:t>
      </w:r>
      <w:r>
        <w:rPr>
          <w:spacing w:val="-1"/>
        </w:rPr>
        <w:t> </w:t>
      </w:r>
      <w:r>
        <w:rPr/>
        <w:t>of analysing </w:t>
      </w:r>
      <w:bookmarkEnd w:id="31"/>
      <w:r>
        <w:rPr>
          <w:spacing w:val="-2"/>
        </w:rPr>
        <w:t>tinidazole</w:t>
      </w:r>
    </w:p>
    <w:p>
      <w:pPr>
        <w:pStyle w:val="BodyText"/>
        <w:spacing w:line="480" w:lineRule="auto" w:before="272"/>
        <w:ind w:left="380" w:right="1264"/>
        <w:jc w:val="both"/>
      </w:pPr>
      <w:r>
        <w:rPr/>
        <w:t>Tinidazole can be quantified and analysed by several methods both </w:t>
      </w:r>
      <w:r>
        <w:rPr>
          <w:i/>
        </w:rPr>
        <w:t>in vitro </w:t>
      </w:r>
      <w:r>
        <w:rPr/>
        <w:t>and </w:t>
      </w:r>
      <w:r>
        <w:rPr>
          <w:i/>
        </w:rPr>
        <w:t>in vivo</w:t>
      </w:r>
      <w:r>
        <w:rPr/>
        <w:t>. These include spectrophotometric, chromatographic, titrimetric methods etc. Tinidazole have such chromophoric groups which will enable its analysis both in pure form and in bulk and pharmaceutical dosage forms. Spectrophotometric technique is simple, rapid, moderately</w:t>
      </w:r>
      <w:r>
        <w:rPr>
          <w:spacing w:val="-6"/>
        </w:rPr>
        <w:t> </w:t>
      </w:r>
      <w:r>
        <w:rPr/>
        <w:t>specific</w:t>
      </w:r>
      <w:r>
        <w:rPr>
          <w:spacing w:val="-1"/>
        </w:rPr>
        <w:t> </w:t>
      </w:r>
      <w:r>
        <w:rPr/>
        <w:t>and applicable to small quantities of</w:t>
      </w:r>
      <w:r>
        <w:rPr>
          <w:spacing w:val="-1"/>
        </w:rPr>
        <w:t> </w:t>
      </w:r>
      <w:r>
        <w:rPr/>
        <w:t>compounds (Behera </w:t>
      </w:r>
      <w:r>
        <w:rPr>
          <w:i/>
        </w:rPr>
        <w:t>et al</w:t>
      </w:r>
      <w:r>
        <w:rPr/>
        <w:t>., 2012). It’s sensitive, easily accessible, economical, and reproducible and allows for the simultaneous estimation of two or more compounds.</w:t>
      </w:r>
    </w:p>
    <w:p>
      <w:pPr>
        <w:pStyle w:val="ListParagraph"/>
        <w:numPr>
          <w:ilvl w:val="3"/>
          <w:numId w:val="15"/>
        </w:numPr>
        <w:tabs>
          <w:tab w:pos="1099" w:val="left" w:leader="none"/>
        </w:tabs>
        <w:spacing w:line="240" w:lineRule="auto" w:before="1" w:after="0"/>
        <w:ind w:left="1099" w:right="0" w:hanging="719"/>
        <w:jc w:val="both"/>
        <w:rPr>
          <w:i/>
          <w:sz w:val="24"/>
        </w:rPr>
      </w:pPr>
      <w:r>
        <w:rPr>
          <w:i/>
          <w:sz w:val="24"/>
        </w:rPr>
        <w:t>UV</w:t>
      </w:r>
      <w:r>
        <w:rPr>
          <w:i/>
          <w:spacing w:val="-1"/>
          <w:sz w:val="24"/>
        </w:rPr>
        <w:t> </w:t>
      </w:r>
      <w:r>
        <w:rPr>
          <w:i/>
          <w:sz w:val="24"/>
        </w:rPr>
        <w:t>Spectrophotometry for</w:t>
      </w:r>
      <w:r>
        <w:rPr>
          <w:i/>
          <w:spacing w:val="-1"/>
          <w:sz w:val="24"/>
        </w:rPr>
        <w:t> </w:t>
      </w:r>
      <w:r>
        <w:rPr>
          <w:i/>
          <w:sz w:val="24"/>
        </w:rPr>
        <w:t>the</w:t>
      </w:r>
      <w:r>
        <w:rPr>
          <w:i/>
          <w:spacing w:val="-1"/>
          <w:sz w:val="24"/>
        </w:rPr>
        <w:t> </w:t>
      </w:r>
      <w:r>
        <w:rPr>
          <w:i/>
          <w:sz w:val="24"/>
        </w:rPr>
        <w:t>analysis</w:t>
      </w:r>
      <w:r>
        <w:rPr>
          <w:i/>
          <w:spacing w:val="-1"/>
          <w:sz w:val="24"/>
        </w:rPr>
        <w:t> </w:t>
      </w:r>
      <w:r>
        <w:rPr>
          <w:i/>
          <w:sz w:val="24"/>
        </w:rPr>
        <w:t>of </w:t>
      </w:r>
      <w:r>
        <w:rPr>
          <w:i/>
          <w:spacing w:val="-2"/>
          <w:sz w:val="24"/>
        </w:rPr>
        <w:t>tinidazole</w:t>
      </w:r>
    </w:p>
    <w:p>
      <w:pPr>
        <w:pStyle w:val="BodyText"/>
        <w:spacing w:line="480" w:lineRule="auto" w:before="276"/>
        <w:ind w:left="380" w:right="1264"/>
        <w:jc w:val="both"/>
      </w:pPr>
      <w:r>
        <w:rPr/>
        <w:t>Spectrophotometry is a method that involved the measurement or the quantitative measurement of the reflection or transmission properties of materials in a solution as a function</w:t>
      </w:r>
      <w:r>
        <w:rPr>
          <w:spacing w:val="22"/>
        </w:rPr>
        <w:t> </w:t>
      </w:r>
      <w:r>
        <w:rPr/>
        <w:t>of</w:t>
      </w:r>
      <w:r>
        <w:rPr>
          <w:spacing w:val="23"/>
        </w:rPr>
        <w:t> </w:t>
      </w:r>
      <w:r>
        <w:rPr/>
        <w:t>wavelength</w:t>
      </w:r>
      <w:r>
        <w:rPr>
          <w:spacing w:val="66"/>
        </w:rPr>
        <w:t>  </w:t>
      </w:r>
      <w:r>
        <w:rPr/>
        <w:t>by</w:t>
      </w:r>
      <w:r>
        <w:rPr>
          <w:spacing w:val="22"/>
        </w:rPr>
        <w:t> </w:t>
      </w:r>
      <w:r>
        <w:rPr/>
        <w:t>determining</w:t>
      </w:r>
      <w:r>
        <w:rPr>
          <w:spacing w:val="22"/>
        </w:rPr>
        <w:t> </w:t>
      </w:r>
      <w:r>
        <w:rPr/>
        <w:t>the</w:t>
      </w:r>
      <w:r>
        <w:rPr>
          <w:spacing w:val="23"/>
        </w:rPr>
        <w:t> </w:t>
      </w:r>
      <w:r>
        <w:rPr/>
        <w:t>amount</w:t>
      </w:r>
      <w:r>
        <w:rPr>
          <w:spacing w:val="24"/>
        </w:rPr>
        <w:t> </w:t>
      </w:r>
      <w:r>
        <w:rPr/>
        <w:t>of</w:t>
      </w:r>
      <w:r>
        <w:rPr>
          <w:spacing w:val="23"/>
        </w:rPr>
        <w:t> </w:t>
      </w:r>
      <w:r>
        <w:rPr/>
        <w:t>light</w:t>
      </w:r>
      <w:r>
        <w:rPr>
          <w:spacing w:val="24"/>
        </w:rPr>
        <w:t> </w:t>
      </w:r>
      <w:r>
        <w:rPr/>
        <w:t>absorbed</w:t>
      </w:r>
      <w:r>
        <w:rPr>
          <w:spacing w:val="23"/>
        </w:rPr>
        <w:t> </w:t>
      </w:r>
      <w:r>
        <w:rPr/>
        <w:t>in</w:t>
      </w:r>
      <w:r>
        <w:rPr>
          <w:spacing w:val="27"/>
        </w:rPr>
        <w:t> </w:t>
      </w:r>
      <w:r>
        <w:rPr/>
        <w:t>the</w:t>
      </w:r>
      <w:r>
        <w:rPr>
          <w:spacing w:val="23"/>
        </w:rPr>
        <w:t> </w:t>
      </w:r>
      <w:r>
        <w:rPr>
          <w:spacing w:val="-2"/>
        </w:rPr>
        <w:t>ultraviolet,</w:t>
      </w:r>
    </w:p>
    <w:p>
      <w:pPr>
        <w:spacing w:after="0" w:line="480" w:lineRule="auto"/>
        <w:jc w:val="both"/>
        <w:sectPr>
          <w:pgSz w:w="12240" w:h="15840"/>
          <w:pgMar w:header="0" w:footer="1068" w:top="1540" w:bottom="1260" w:left="1420" w:right="440"/>
        </w:sectPr>
      </w:pPr>
    </w:p>
    <w:p>
      <w:pPr>
        <w:pStyle w:val="BodyText"/>
        <w:spacing w:line="480" w:lineRule="auto" w:before="72"/>
        <w:ind w:left="380" w:right="1263"/>
        <w:jc w:val="both"/>
      </w:pPr>
      <w:r>
        <w:rPr/>
        <w:t>infrared, or visible spectrum (Soovali </w:t>
      </w:r>
      <w:r>
        <w:rPr>
          <w:i/>
        </w:rPr>
        <w:t>et al</w:t>
      </w:r>
      <w:r>
        <w:rPr/>
        <w:t>., 2006). It’s widely used in clinical chemistry</w:t>
      </w:r>
      <w:r>
        <w:rPr>
          <w:spacing w:val="80"/>
        </w:rPr>
        <w:t> </w:t>
      </w:r>
      <w:r>
        <w:rPr/>
        <w:t>to calculate the concentration of substances in solution. It is also a method to measure or quantify how much a chemical substance absorb light by measuring the intensity of light</w:t>
      </w:r>
      <w:r>
        <w:rPr>
          <w:spacing w:val="40"/>
        </w:rPr>
        <w:t> </w:t>
      </w:r>
      <w:r>
        <w:rPr/>
        <w:t>as a beam of light passes through the sample. Spectrophotometry is also be defined as a method used to measure how much a chemical substance absorbs light by measuring the intensity of light as a beam of the light passes through the sample (David, 2000) as such</w:t>
      </w:r>
      <w:r>
        <w:rPr>
          <w:spacing w:val="80"/>
        </w:rPr>
        <w:t> </w:t>
      </w:r>
      <w:r>
        <w:rPr/>
        <w:t>its quantitative measurement of the reflection or transmission properties of a chemical agent as a function of wavelength.</w:t>
      </w:r>
    </w:p>
    <w:p>
      <w:pPr>
        <w:pStyle w:val="BodyText"/>
        <w:spacing w:line="480" w:lineRule="auto" w:before="207"/>
        <w:ind w:left="380" w:right="1266"/>
        <w:jc w:val="both"/>
      </w:pPr>
      <w:r>
        <w:rPr/>
        <w:t>The Beer-Lambert law is applied to analyze concentrations of an absorbing species in solution (Soovali </w:t>
      </w:r>
      <w:r>
        <w:rPr>
          <w:i/>
        </w:rPr>
        <w:t>et al</w:t>
      </w:r>
      <w:r>
        <w:rPr/>
        <w:t>., 2006). Lambert's Law states that each layer of equal thickness of an absorbing medium absorbs an equal fraction of the radiant energy that traverses it. The fraction of radiant energy transmitted by a given thickness of the absorbing medium is independent of the intensity of the incident radiation, provided that the radiation does not alter the physical or chemical state of the medium. If the intensity</w:t>
      </w:r>
      <w:r>
        <w:rPr>
          <w:spacing w:val="-5"/>
        </w:rPr>
        <w:t> </w:t>
      </w:r>
      <w:r>
        <w:rPr/>
        <w:t>of the incident radiation is </w:t>
      </w:r>
      <w:r>
        <w:rPr>
          <w:i/>
        </w:rPr>
        <w:t>Io </w:t>
      </w:r>
      <w:r>
        <w:rPr/>
        <w:t>and that of the transmitted light is </w:t>
      </w:r>
      <w:r>
        <w:rPr>
          <w:i/>
        </w:rPr>
        <w:t>l</w:t>
      </w:r>
      <w:r>
        <w:rPr/>
        <w:t>, then the fraction transmitted is:</w:t>
      </w:r>
    </w:p>
    <w:p>
      <w:pPr>
        <w:spacing w:before="1"/>
        <w:ind w:left="4384" w:right="0" w:firstLine="0"/>
        <w:jc w:val="both"/>
        <w:rPr>
          <w:sz w:val="24"/>
        </w:rPr>
      </w:pPr>
      <w:r>
        <w:rPr>
          <w:i/>
          <w:sz w:val="24"/>
        </w:rPr>
        <w:t>l</w:t>
      </w:r>
      <w:r>
        <w:rPr>
          <w:sz w:val="24"/>
        </w:rPr>
        <w:t>/</w:t>
      </w:r>
      <w:r>
        <w:rPr>
          <w:i/>
          <w:sz w:val="24"/>
        </w:rPr>
        <w:t>lo </w:t>
      </w:r>
      <w:r>
        <w:rPr>
          <w:sz w:val="24"/>
        </w:rPr>
        <w:t>=</w:t>
      </w:r>
      <w:r>
        <w:rPr>
          <w:spacing w:val="-1"/>
          <w:sz w:val="24"/>
        </w:rPr>
        <w:t> </w:t>
      </w:r>
      <w:r>
        <w:rPr>
          <w:spacing w:val="-10"/>
          <w:sz w:val="24"/>
        </w:rPr>
        <w:t>T</w:t>
      </w:r>
    </w:p>
    <w:p>
      <w:pPr>
        <w:pStyle w:val="BodyText"/>
      </w:pPr>
    </w:p>
    <w:p>
      <w:pPr>
        <w:pStyle w:val="BodyText"/>
        <w:ind w:left="380"/>
        <w:jc w:val="both"/>
      </w:pPr>
      <w:r>
        <w:rPr/>
        <w:t>The</w:t>
      </w:r>
      <w:r>
        <w:rPr>
          <w:spacing w:val="-3"/>
        </w:rPr>
        <w:t> </w:t>
      </w:r>
      <w:r>
        <w:rPr/>
        <w:t>%</w:t>
      </w:r>
      <w:r>
        <w:rPr>
          <w:spacing w:val="-2"/>
        </w:rPr>
        <w:t> </w:t>
      </w:r>
      <w:r>
        <w:rPr/>
        <w:t>transmission </w:t>
      </w:r>
      <w:r>
        <w:rPr>
          <w:spacing w:val="-5"/>
        </w:rPr>
        <w:t>is:</w:t>
      </w:r>
    </w:p>
    <w:p>
      <w:pPr>
        <w:pStyle w:val="BodyText"/>
      </w:pPr>
    </w:p>
    <w:p>
      <w:pPr>
        <w:spacing w:before="0"/>
        <w:ind w:left="0" w:right="882" w:firstLine="0"/>
        <w:jc w:val="center"/>
        <w:rPr>
          <w:sz w:val="24"/>
        </w:rPr>
      </w:pPr>
      <w:r>
        <w:rPr>
          <w:sz w:val="24"/>
        </w:rPr>
        <w:t>%T</w:t>
      </w:r>
      <w:r>
        <w:rPr>
          <w:spacing w:val="-1"/>
          <w:sz w:val="24"/>
        </w:rPr>
        <w:t> </w:t>
      </w:r>
      <w:r>
        <w:rPr>
          <w:sz w:val="24"/>
        </w:rPr>
        <w:t>=</w:t>
      </w:r>
      <w:r>
        <w:rPr>
          <w:spacing w:val="-2"/>
          <w:sz w:val="24"/>
        </w:rPr>
        <w:t> </w:t>
      </w:r>
      <w:r>
        <w:rPr>
          <w:i/>
          <w:sz w:val="24"/>
        </w:rPr>
        <w:t>l</w:t>
      </w:r>
      <w:r>
        <w:rPr>
          <w:sz w:val="24"/>
        </w:rPr>
        <w:t>/</w:t>
      </w:r>
      <w:r>
        <w:rPr>
          <w:i/>
          <w:sz w:val="24"/>
        </w:rPr>
        <w:t>lo </w:t>
      </w:r>
      <w:r>
        <w:rPr>
          <w:sz w:val="24"/>
        </w:rPr>
        <w:t>x</w:t>
      </w:r>
      <w:r>
        <w:rPr>
          <w:spacing w:val="2"/>
          <w:sz w:val="24"/>
        </w:rPr>
        <w:t> </w:t>
      </w:r>
      <w:r>
        <w:rPr>
          <w:spacing w:val="-5"/>
          <w:sz w:val="24"/>
        </w:rPr>
        <w:t>100</w:t>
      </w:r>
    </w:p>
    <w:p>
      <w:pPr>
        <w:pStyle w:val="BodyText"/>
        <w:spacing w:before="1"/>
      </w:pPr>
    </w:p>
    <w:p>
      <w:pPr>
        <w:pStyle w:val="BodyText"/>
        <w:spacing w:line="480" w:lineRule="auto"/>
        <w:ind w:left="380" w:right="1264"/>
        <w:jc w:val="both"/>
      </w:pPr>
      <w:r>
        <w:rPr/>
        <w:t>The Beer-Lambert Law states that the concentration of a substance in solution is directly proportional to the absorbance A, of the solution.</w:t>
      </w:r>
    </w:p>
    <w:p>
      <w:pPr>
        <w:pStyle w:val="BodyText"/>
        <w:ind w:left="2130"/>
      </w:pPr>
      <w:r>
        <w:rPr/>
        <w:t>Absorbance</w:t>
      </w:r>
      <w:r>
        <w:rPr>
          <w:spacing w:val="-3"/>
        </w:rPr>
        <w:t> </w:t>
      </w:r>
      <w:r>
        <w:rPr/>
        <w:t>A</w:t>
      </w:r>
      <w:r>
        <w:rPr>
          <w:spacing w:val="-1"/>
        </w:rPr>
        <w:t> </w:t>
      </w:r>
      <w:r>
        <w:rPr/>
        <w:t>=</w:t>
      </w:r>
      <w:r>
        <w:rPr>
          <w:spacing w:val="-1"/>
        </w:rPr>
        <w:t> </w:t>
      </w:r>
      <w:r>
        <w:rPr/>
        <w:t>constant</w:t>
      </w:r>
      <w:r>
        <w:rPr>
          <w:spacing w:val="1"/>
        </w:rPr>
        <w:t> </w:t>
      </w:r>
      <w:r>
        <w:rPr/>
        <w:t>x concentration</w:t>
      </w:r>
      <w:r>
        <w:rPr>
          <w:spacing w:val="-1"/>
        </w:rPr>
        <w:t> </w:t>
      </w:r>
      <w:r>
        <w:rPr/>
        <w:t>x</w:t>
      </w:r>
      <w:r>
        <w:rPr>
          <w:spacing w:val="1"/>
        </w:rPr>
        <w:t> </w:t>
      </w:r>
      <w:r>
        <w:rPr/>
        <w:t>cell</w:t>
      </w:r>
      <w:r>
        <w:rPr>
          <w:spacing w:val="-1"/>
        </w:rPr>
        <w:t> </w:t>
      </w:r>
      <w:r>
        <w:rPr>
          <w:spacing w:val="-2"/>
        </w:rPr>
        <w:t>length</w:t>
      </w:r>
    </w:p>
    <w:p>
      <w:pPr>
        <w:pStyle w:val="BodyText"/>
      </w:pPr>
    </w:p>
    <w:p>
      <w:pPr>
        <w:pStyle w:val="BodyText"/>
        <w:spacing w:line="480" w:lineRule="auto"/>
        <w:ind w:left="380" w:right="1271"/>
        <w:jc w:val="both"/>
      </w:pPr>
      <w:r>
        <w:rPr/>
        <w:t>The</w:t>
      </w:r>
      <w:r>
        <w:rPr>
          <w:spacing w:val="-2"/>
        </w:rPr>
        <w:t> </w:t>
      </w:r>
      <w:r>
        <w:rPr/>
        <w:t>law</w:t>
      </w:r>
      <w:r>
        <w:rPr>
          <w:spacing w:val="-1"/>
        </w:rPr>
        <w:t> </w:t>
      </w:r>
      <w:r>
        <w:rPr/>
        <w:t>is only</w:t>
      </w:r>
      <w:r>
        <w:rPr>
          <w:spacing w:val="-5"/>
        </w:rPr>
        <w:t> </w:t>
      </w:r>
      <w:r>
        <w:rPr/>
        <w:t>true</w:t>
      </w:r>
      <w:r>
        <w:rPr>
          <w:spacing w:val="-2"/>
        </w:rPr>
        <w:t> </w:t>
      </w:r>
      <w:r>
        <w:rPr/>
        <w:t>for monochromatic</w:t>
      </w:r>
      <w:r>
        <w:rPr>
          <w:spacing w:val="-1"/>
        </w:rPr>
        <w:t> </w:t>
      </w:r>
      <w:r>
        <w:rPr/>
        <w:t>light that is light of</w:t>
      </w:r>
      <w:r>
        <w:rPr>
          <w:spacing w:val="-1"/>
        </w:rPr>
        <w:t> </w:t>
      </w:r>
      <w:r>
        <w:rPr/>
        <w:t>a</w:t>
      </w:r>
      <w:r>
        <w:rPr>
          <w:spacing w:val="-1"/>
        </w:rPr>
        <w:t> </w:t>
      </w:r>
      <w:r>
        <w:rPr/>
        <w:t>single</w:t>
      </w:r>
      <w:r>
        <w:rPr>
          <w:spacing w:val="-1"/>
        </w:rPr>
        <w:t> </w:t>
      </w:r>
      <w:r>
        <w:rPr/>
        <w:t>wavelength or</w:t>
      </w:r>
      <w:r>
        <w:rPr>
          <w:spacing w:val="-1"/>
        </w:rPr>
        <w:t> </w:t>
      </w:r>
      <w:r>
        <w:rPr/>
        <w:t>narrow band</w:t>
      </w:r>
      <w:r>
        <w:rPr>
          <w:spacing w:val="30"/>
        </w:rPr>
        <w:t> </w:t>
      </w:r>
      <w:r>
        <w:rPr/>
        <w:t>of</w:t>
      </w:r>
      <w:r>
        <w:rPr>
          <w:spacing w:val="31"/>
        </w:rPr>
        <w:t> </w:t>
      </w:r>
      <w:r>
        <w:rPr/>
        <w:t>wavelengths,</w:t>
      </w:r>
      <w:r>
        <w:rPr>
          <w:spacing w:val="34"/>
        </w:rPr>
        <w:t> </w:t>
      </w:r>
      <w:r>
        <w:rPr/>
        <w:t>and</w:t>
      </w:r>
      <w:r>
        <w:rPr>
          <w:spacing w:val="32"/>
        </w:rPr>
        <w:t> </w:t>
      </w:r>
      <w:r>
        <w:rPr/>
        <w:t>provided</w:t>
      </w:r>
      <w:r>
        <w:rPr>
          <w:spacing w:val="32"/>
        </w:rPr>
        <w:t> </w:t>
      </w:r>
      <w:r>
        <w:rPr/>
        <w:t>that</w:t>
      </w:r>
      <w:r>
        <w:rPr>
          <w:spacing w:val="35"/>
        </w:rPr>
        <w:t> </w:t>
      </w:r>
      <w:r>
        <w:rPr/>
        <w:t>the</w:t>
      </w:r>
      <w:r>
        <w:rPr>
          <w:spacing w:val="32"/>
        </w:rPr>
        <w:t> </w:t>
      </w:r>
      <w:r>
        <w:rPr/>
        <w:t>physical</w:t>
      </w:r>
      <w:r>
        <w:rPr>
          <w:spacing w:val="32"/>
        </w:rPr>
        <w:t> </w:t>
      </w:r>
      <w:r>
        <w:rPr/>
        <w:t>or</w:t>
      </w:r>
      <w:r>
        <w:rPr>
          <w:spacing w:val="32"/>
        </w:rPr>
        <w:t> </w:t>
      </w:r>
      <w:r>
        <w:rPr/>
        <w:t>chemical</w:t>
      </w:r>
      <w:r>
        <w:rPr>
          <w:spacing w:val="32"/>
        </w:rPr>
        <w:t> </w:t>
      </w:r>
      <w:r>
        <w:rPr/>
        <w:t>state</w:t>
      </w:r>
      <w:r>
        <w:rPr>
          <w:spacing w:val="32"/>
        </w:rPr>
        <w:t> </w:t>
      </w:r>
      <w:r>
        <w:rPr/>
        <w:t>of</w:t>
      </w:r>
      <w:r>
        <w:rPr>
          <w:spacing w:val="33"/>
        </w:rPr>
        <w:t> </w:t>
      </w:r>
      <w:r>
        <w:rPr/>
        <w:t>the</w:t>
      </w:r>
      <w:r>
        <w:rPr>
          <w:spacing w:val="32"/>
        </w:rPr>
        <w:t> </w:t>
      </w:r>
      <w:r>
        <w:rPr>
          <w:spacing w:val="-2"/>
        </w:rPr>
        <w:t>substance</w:t>
      </w:r>
    </w:p>
    <w:p>
      <w:pPr>
        <w:spacing w:after="0" w:line="480" w:lineRule="auto"/>
        <w:jc w:val="both"/>
        <w:sectPr>
          <w:pgSz w:w="12240" w:h="15840"/>
          <w:pgMar w:header="0" w:footer="1068" w:top="1540" w:bottom="1260" w:left="1420" w:right="440"/>
        </w:sectPr>
      </w:pPr>
    </w:p>
    <w:p>
      <w:pPr>
        <w:pStyle w:val="BodyText"/>
        <w:spacing w:line="480" w:lineRule="auto" w:before="72"/>
        <w:ind w:left="380" w:right="1269"/>
        <w:jc w:val="both"/>
      </w:pPr>
      <w:r>
        <w:rPr/>
        <w:t>does not change with concentration. When monochromatic radiation passes through a homogeneous solution in a cell, the intensity of the emitted radiation depends upon the thickness (l) and the concentration (C) of the solution. Mathematically, absorbance is related to percentage transmittance T by the expression:</w:t>
      </w:r>
    </w:p>
    <w:p>
      <w:pPr>
        <w:pStyle w:val="BodyText"/>
        <w:ind w:left="2809"/>
        <w:jc w:val="both"/>
      </w:pPr>
      <w:r>
        <w:rPr/>
        <w:t>A</w:t>
      </w:r>
      <w:r>
        <w:rPr>
          <w:spacing w:val="-1"/>
        </w:rPr>
        <w:t> </w:t>
      </w:r>
      <w:r>
        <w:rPr/>
        <w:t>=</w:t>
      </w:r>
      <w:r>
        <w:rPr>
          <w:spacing w:val="-3"/>
        </w:rPr>
        <w:t> </w:t>
      </w:r>
      <w:r>
        <w:rPr/>
        <w:t>log10</w:t>
      </w:r>
      <w:r>
        <w:rPr>
          <w:spacing w:val="1"/>
        </w:rPr>
        <w:t> </w:t>
      </w:r>
      <w:r>
        <w:rPr/>
        <w:t>(</w:t>
      </w:r>
      <w:r>
        <w:rPr>
          <w:i/>
        </w:rPr>
        <w:t>I</w:t>
      </w:r>
      <w:r>
        <w:rPr/>
        <w:t>o/</w:t>
      </w:r>
      <w:r>
        <w:rPr>
          <w:i/>
        </w:rPr>
        <w:t>I</w:t>
      </w:r>
      <w:r>
        <w:rPr/>
        <w:t>) =</w:t>
      </w:r>
      <w:r>
        <w:rPr>
          <w:spacing w:val="-1"/>
        </w:rPr>
        <w:t> </w:t>
      </w:r>
      <w:r>
        <w:rPr/>
        <w:t>log10</w:t>
      </w:r>
      <w:r>
        <w:rPr>
          <w:spacing w:val="1"/>
        </w:rPr>
        <w:t> </w:t>
      </w:r>
      <w:r>
        <w:rPr/>
        <w:t>(100/T)</w:t>
      </w:r>
      <w:r>
        <w:rPr>
          <w:spacing w:val="-1"/>
        </w:rPr>
        <w:t> </w:t>
      </w:r>
      <w:r>
        <w:rPr/>
        <w:t>=</w:t>
      </w:r>
      <w:r>
        <w:rPr>
          <w:spacing w:val="-2"/>
        </w:rPr>
        <w:t> </w:t>
      </w:r>
      <w:r>
        <w:rPr>
          <w:spacing w:val="-5"/>
        </w:rPr>
        <w:t>KCL</w:t>
      </w:r>
    </w:p>
    <w:p>
      <w:pPr>
        <w:pStyle w:val="BodyText"/>
      </w:pPr>
    </w:p>
    <w:p>
      <w:pPr>
        <w:pStyle w:val="BodyText"/>
        <w:spacing w:line="480" w:lineRule="auto"/>
        <w:ind w:left="380" w:right="1269"/>
        <w:jc w:val="both"/>
      </w:pPr>
      <w:r>
        <w:rPr/>
        <w:t>Where L is the length of the radiation path through the sample, c is the concentration of absorbing molecules in that path, and k is the extinction coefficient - a constant dependent only on the nature of the molecule and the wavelength of the radiation.</w:t>
      </w:r>
    </w:p>
    <w:p>
      <w:pPr>
        <w:pStyle w:val="BodyText"/>
        <w:spacing w:before="6"/>
      </w:pPr>
    </w:p>
    <w:p>
      <w:pPr>
        <w:pStyle w:val="BodyText"/>
        <w:spacing w:line="480" w:lineRule="auto"/>
        <w:ind w:left="380" w:right="1261"/>
        <w:jc w:val="both"/>
      </w:pPr>
      <w:r>
        <w:rPr/>
        <w:t>While UV-Vis spectrometry is of limited use for sample identification, it is an effective tool for quantitative measurements of light in the near-ultraviolet (UV) and visible (vis) range of the electromagnetic spectrum has an energy of about 150– 400 kJ mol</w:t>
      </w:r>
      <w:r>
        <w:rPr>
          <w:vertAlign w:val="superscript"/>
        </w:rPr>
        <w:t>-1</w:t>
      </w:r>
      <w:r>
        <w:rPr>
          <w:vertAlign w:val="baseline"/>
        </w:rPr>
        <w:t>. The energy</w:t>
      </w:r>
      <w:r>
        <w:rPr>
          <w:spacing w:val="-6"/>
          <w:vertAlign w:val="baseline"/>
        </w:rPr>
        <w:t> </w:t>
      </w:r>
      <w:r>
        <w:rPr>
          <w:vertAlign w:val="baseline"/>
        </w:rPr>
        <w:t>of</w:t>
      </w:r>
      <w:r>
        <w:rPr>
          <w:spacing w:val="-1"/>
          <w:vertAlign w:val="baseline"/>
        </w:rPr>
        <w:t> </w:t>
      </w:r>
      <w:r>
        <w:rPr>
          <w:vertAlign w:val="baseline"/>
        </w:rPr>
        <w:t>the</w:t>
      </w:r>
      <w:r>
        <w:rPr>
          <w:spacing w:val="-3"/>
          <w:vertAlign w:val="baseline"/>
        </w:rPr>
        <w:t> </w:t>
      </w:r>
      <w:r>
        <w:rPr>
          <w:vertAlign w:val="baseline"/>
        </w:rPr>
        <w:t>light</w:t>
      </w:r>
      <w:r>
        <w:rPr>
          <w:spacing w:val="-1"/>
          <w:vertAlign w:val="baseline"/>
        </w:rPr>
        <w:t> </w:t>
      </w:r>
      <w:r>
        <w:rPr>
          <w:vertAlign w:val="baseline"/>
        </w:rPr>
        <w:t>is</w:t>
      </w:r>
      <w:r>
        <w:rPr>
          <w:spacing w:val="-1"/>
          <w:vertAlign w:val="baseline"/>
        </w:rPr>
        <w:t> </w:t>
      </w:r>
      <w:r>
        <w:rPr>
          <w:vertAlign w:val="baseline"/>
        </w:rPr>
        <w:t>used</w:t>
      </w:r>
      <w:r>
        <w:rPr>
          <w:spacing w:val="-1"/>
          <w:vertAlign w:val="baseline"/>
        </w:rPr>
        <w:t> </w:t>
      </w:r>
      <w:r>
        <w:rPr>
          <w:vertAlign w:val="baseline"/>
        </w:rPr>
        <w:t>to</w:t>
      </w:r>
      <w:r>
        <w:rPr>
          <w:spacing w:val="-1"/>
          <w:vertAlign w:val="baseline"/>
        </w:rPr>
        <w:t> </w:t>
      </w:r>
      <w:r>
        <w:rPr>
          <w:vertAlign w:val="baseline"/>
        </w:rPr>
        <w:t>promote</w:t>
      </w:r>
      <w:r>
        <w:rPr>
          <w:spacing w:val="-2"/>
          <w:vertAlign w:val="baseline"/>
        </w:rPr>
        <w:t> </w:t>
      </w:r>
      <w:r>
        <w:rPr>
          <w:vertAlign w:val="baseline"/>
        </w:rPr>
        <w:t>electrons from</w:t>
      </w:r>
      <w:r>
        <w:rPr>
          <w:spacing w:val="-1"/>
          <w:vertAlign w:val="baseline"/>
        </w:rPr>
        <w:t> </w:t>
      </w:r>
      <w:r>
        <w:rPr>
          <w:vertAlign w:val="baseline"/>
        </w:rPr>
        <w:t>the ground</w:t>
      </w:r>
      <w:r>
        <w:rPr>
          <w:spacing w:val="-2"/>
          <w:vertAlign w:val="baseline"/>
        </w:rPr>
        <w:t> </w:t>
      </w:r>
      <w:r>
        <w:rPr>
          <w:vertAlign w:val="baseline"/>
        </w:rPr>
        <w:t>state to</w:t>
      </w:r>
      <w:r>
        <w:rPr>
          <w:spacing w:val="-1"/>
          <w:vertAlign w:val="baseline"/>
        </w:rPr>
        <w:t> </w:t>
      </w:r>
      <w:r>
        <w:rPr>
          <w:vertAlign w:val="baseline"/>
        </w:rPr>
        <w:t>an excited</w:t>
      </w:r>
      <w:r>
        <w:rPr>
          <w:spacing w:val="-1"/>
          <w:vertAlign w:val="baseline"/>
        </w:rPr>
        <w:t> </w:t>
      </w:r>
      <w:r>
        <w:rPr>
          <w:vertAlign w:val="baseline"/>
        </w:rPr>
        <w:t>state. A spectrum is obtained when the absorption of light is measured as a function of its frequency or wavelength. Molecules with electrons in delocalized aromatic systems often absorb light in the near-UV (150–400 nm) or the visible (400–800 nm) region. Absorption spectroscopy is usually performed with molecules dissolved in a transparent solvent, such as</w:t>
      </w:r>
      <w:r>
        <w:rPr>
          <w:spacing w:val="-2"/>
          <w:vertAlign w:val="baseline"/>
        </w:rPr>
        <w:t> </w:t>
      </w:r>
      <w:r>
        <w:rPr>
          <w:vertAlign w:val="baseline"/>
        </w:rPr>
        <w:t>in</w:t>
      </w:r>
      <w:r>
        <w:rPr>
          <w:spacing w:val="-2"/>
          <w:vertAlign w:val="baseline"/>
        </w:rPr>
        <w:t> </w:t>
      </w:r>
      <w:r>
        <w:rPr>
          <w:vertAlign w:val="baseline"/>
        </w:rPr>
        <w:t>aqueous</w:t>
      </w:r>
      <w:r>
        <w:rPr>
          <w:spacing w:val="-2"/>
          <w:vertAlign w:val="baseline"/>
        </w:rPr>
        <w:t> </w:t>
      </w:r>
      <w:r>
        <w:rPr>
          <w:vertAlign w:val="baseline"/>
        </w:rPr>
        <w:t>buffers.</w:t>
      </w:r>
      <w:r>
        <w:rPr>
          <w:spacing w:val="-2"/>
          <w:vertAlign w:val="baseline"/>
        </w:rPr>
        <w:t> </w:t>
      </w:r>
      <w:r>
        <w:rPr>
          <w:vertAlign w:val="baseline"/>
        </w:rPr>
        <w:t>The</w:t>
      </w:r>
      <w:r>
        <w:rPr>
          <w:spacing w:val="-3"/>
          <w:vertAlign w:val="baseline"/>
        </w:rPr>
        <w:t> </w:t>
      </w:r>
      <w:r>
        <w:rPr>
          <w:vertAlign w:val="baseline"/>
        </w:rPr>
        <w:t>absorbance</w:t>
      </w:r>
      <w:r>
        <w:rPr>
          <w:spacing w:val="-1"/>
          <w:vertAlign w:val="baseline"/>
        </w:rPr>
        <w:t> </w:t>
      </w:r>
      <w:r>
        <w:rPr>
          <w:vertAlign w:val="baseline"/>
        </w:rPr>
        <w:t>of</w:t>
      </w:r>
      <w:r>
        <w:rPr>
          <w:spacing w:val="-2"/>
          <w:vertAlign w:val="baseline"/>
        </w:rPr>
        <w:t> </w:t>
      </w:r>
      <w:r>
        <w:rPr>
          <w:vertAlign w:val="baseline"/>
        </w:rPr>
        <w:t>a</w:t>
      </w:r>
      <w:r>
        <w:rPr>
          <w:spacing w:val="-2"/>
          <w:vertAlign w:val="baseline"/>
        </w:rPr>
        <w:t> </w:t>
      </w:r>
      <w:r>
        <w:rPr>
          <w:vertAlign w:val="baseline"/>
        </w:rPr>
        <w:t>solute</w:t>
      </w:r>
      <w:r>
        <w:rPr>
          <w:spacing w:val="-1"/>
          <w:vertAlign w:val="baseline"/>
        </w:rPr>
        <w:t> </w:t>
      </w:r>
      <w:r>
        <w:rPr>
          <w:vertAlign w:val="baseline"/>
        </w:rPr>
        <w:t>depends</w:t>
      </w:r>
      <w:r>
        <w:rPr>
          <w:spacing w:val="-2"/>
          <w:vertAlign w:val="baseline"/>
        </w:rPr>
        <w:t> </w:t>
      </w:r>
      <w:r>
        <w:rPr>
          <w:vertAlign w:val="baseline"/>
        </w:rPr>
        <w:t>linearly</w:t>
      </w:r>
      <w:r>
        <w:rPr>
          <w:spacing w:val="-5"/>
          <w:vertAlign w:val="baseline"/>
        </w:rPr>
        <w:t> </w:t>
      </w:r>
      <w:r>
        <w:rPr>
          <w:vertAlign w:val="baseline"/>
        </w:rPr>
        <w:t>on</w:t>
      </w:r>
      <w:r>
        <w:rPr>
          <w:spacing w:val="-2"/>
          <w:vertAlign w:val="baseline"/>
        </w:rPr>
        <w:t> </w:t>
      </w:r>
      <w:r>
        <w:rPr>
          <w:vertAlign w:val="baseline"/>
        </w:rPr>
        <w:t>its</w:t>
      </w:r>
      <w:r>
        <w:rPr>
          <w:spacing w:val="-2"/>
          <w:vertAlign w:val="baseline"/>
        </w:rPr>
        <w:t> </w:t>
      </w:r>
      <w:r>
        <w:rPr>
          <w:vertAlign w:val="baseline"/>
        </w:rPr>
        <w:t>concentration</w:t>
      </w:r>
      <w:r>
        <w:rPr>
          <w:spacing w:val="-2"/>
          <w:vertAlign w:val="baseline"/>
        </w:rPr>
        <w:t> </w:t>
      </w:r>
      <w:r>
        <w:rPr>
          <w:vertAlign w:val="baseline"/>
        </w:rPr>
        <w:t>and therefore absorption spectroscopy is ideally suited for quantitative measurements. David, </w:t>
      </w:r>
      <w:r>
        <w:rPr>
          <w:spacing w:val="-2"/>
          <w:vertAlign w:val="baseline"/>
        </w:rPr>
        <w:t>2000)</w:t>
      </w:r>
    </w:p>
    <w:p>
      <w:pPr>
        <w:pStyle w:val="BodyText"/>
        <w:spacing w:line="480" w:lineRule="auto" w:before="160"/>
        <w:ind w:left="380" w:right="1265"/>
        <w:jc w:val="both"/>
      </w:pPr>
      <w:r>
        <w:rPr/>
        <w:t>The wavelength of absorption and the strength of absorbance of a molecule depend not only on the chemical nature but also on the molecular environment of its chromophores. Absorption</w:t>
      </w:r>
      <w:r>
        <w:rPr>
          <w:spacing w:val="15"/>
        </w:rPr>
        <w:t> </w:t>
      </w:r>
      <w:r>
        <w:rPr/>
        <w:t>spectroscopy</w:t>
      </w:r>
      <w:r>
        <w:rPr>
          <w:spacing w:val="16"/>
        </w:rPr>
        <w:t> </w:t>
      </w:r>
      <w:r>
        <w:rPr/>
        <w:t>is</w:t>
      </w:r>
      <w:r>
        <w:rPr>
          <w:spacing w:val="18"/>
        </w:rPr>
        <w:t> </w:t>
      </w:r>
      <w:r>
        <w:rPr/>
        <w:t>therefore</w:t>
      </w:r>
      <w:r>
        <w:rPr>
          <w:spacing w:val="19"/>
        </w:rPr>
        <w:t> </w:t>
      </w:r>
      <w:r>
        <w:rPr/>
        <w:t>an</w:t>
      </w:r>
      <w:r>
        <w:rPr>
          <w:spacing w:val="20"/>
        </w:rPr>
        <w:t> </w:t>
      </w:r>
      <w:r>
        <w:rPr/>
        <w:t>excellent</w:t>
      </w:r>
      <w:r>
        <w:rPr>
          <w:spacing w:val="19"/>
        </w:rPr>
        <w:t> </w:t>
      </w:r>
      <w:r>
        <w:rPr/>
        <w:t>technique</w:t>
      </w:r>
      <w:r>
        <w:rPr>
          <w:spacing w:val="19"/>
        </w:rPr>
        <w:t> </w:t>
      </w:r>
      <w:r>
        <w:rPr/>
        <w:t>for</w:t>
      </w:r>
      <w:r>
        <w:rPr>
          <w:spacing w:val="19"/>
        </w:rPr>
        <w:t> </w:t>
      </w:r>
      <w:r>
        <w:rPr/>
        <w:t>following</w:t>
      </w:r>
      <w:r>
        <w:rPr>
          <w:spacing w:val="19"/>
        </w:rPr>
        <w:t> </w:t>
      </w:r>
      <w:r>
        <w:rPr/>
        <w:t>ligand-</w:t>
      </w:r>
      <w:r>
        <w:rPr>
          <w:spacing w:val="-2"/>
        </w:rPr>
        <w:t>binding</w:t>
      </w:r>
    </w:p>
    <w:p>
      <w:pPr>
        <w:spacing w:after="0" w:line="480" w:lineRule="auto"/>
        <w:jc w:val="both"/>
        <w:sectPr>
          <w:pgSz w:w="12240" w:h="15840"/>
          <w:pgMar w:header="0" w:footer="1068" w:top="1540" w:bottom="1260" w:left="1420" w:right="440"/>
        </w:sectPr>
      </w:pPr>
    </w:p>
    <w:p>
      <w:pPr>
        <w:pStyle w:val="BodyText"/>
        <w:spacing w:line="480" w:lineRule="auto" w:before="72"/>
        <w:ind w:left="380" w:right="1264"/>
        <w:jc w:val="both"/>
      </w:pPr>
      <w:r>
        <w:rPr/>
        <w:t>reactions, enzyme catalysis and conformational transitions in proteins and nucleic acids. Spectroscopic measurements are very sensitive and non-destructive, and require only</w:t>
      </w:r>
      <w:r>
        <w:rPr>
          <w:spacing w:val="40"/>
        </w:rPr>
        <w:t> </w:t>
      </w:r>
      <w:r>
        <w:rPr/>
        <w:t>small amounts of material for analysis (</w:t>
      </w:r>
      <w:r>
        <w:rPr>
          <w:color w:val="212121"/>
        </w:rPr>
        <w:t>Bigio and Mourant</w:t>
      </w:r>
      <w:r>
        <w:rPr/>
        <w:t>, 1997).</w:t>
      </w:r>
    </w:p>
    <w:p>
      <w:pPr>
        <w:pStyle w:val="BodyText"/>
      </w:pPr>
    </w:p>
    <w:p>
      <w:pPr>
        <w:pStyle w:val="BodyText"/>
        <w:spacing w:line="480" w:lineRule="auto"/>
        <w:ind w:left="380" w:right="1267"/>
        <w:jc w:val="both"/>
      </w:pPr>
      <w:r>
        <w:rPr/>
        <w:t>Tinidazole</w:t>
      </w:r>
      <w:r>
        <w:rPr>
          <w:spacing w:val="-4"/>
        </w:rPr>
        <w:t> </w:t>
      </w:r>
      <w:r>
        <w:rPr/>
        <w:t>can</w:t>
      </w:r>
      <w:r>
        <w:rPr>
          <w:spacing w:val="-4"/>
        </w:rPr>
        <w:t> </w:t>
      </w:r>
      <w:r>
        <w:rPr/>
        <w:t>be</w:t>
      </w:r>
      <w:r>
        <w:rPr>
          <w:spacing w:val="-3"/>
        </w:rPr>
        <w:t> </w:t>
      </w:r>
      <w:r>
        <w:rPr/>
        <w:t>analysed</w:t>
      </w:r>
      <w:r>
        <w:rPr>
          <w:spacing w:val="-3"/>
        </w:rPr>
        <w:t> </w:t>
      </w:r>
      <w:r>
        <w:rPr/>
        <w:t>using</w:t>
      </w:r>
      <w:r>
        <w:rPr>
          <w:spacing w:val="-4"/>
        </w:rPr>
        <w:t> </w:t>
      </w:r>
      <w:r>
        <w:rPr/>
        <w:t>UV</w:t>
      </w:r>
      <w:r>
        <w:rPr>
          <w:spacing w:val="-4"/>
        </w:rPr>
        <w:t> </w:t>
      </w:r>
      <w:r>
        <w:rPr/>
        <w:t>spectrophotometric</w:t>
      </w:r>
      <w:r>
        <w:rPr>
          <w:spacing w:val="-4"/>
        </w:rPr>
        <w:t> </w:t>
      </w:r>
      <w:r>
        <w:rPr/>
        <w:t>methods</w:t>
      </w:r>
      <w:r>
        <w:rPr>
          <w:spacing w:val="-2"/>
        </w:rPr>
        <w:t> </w:t>
      </w:r>
      <w:r>
        <w:rPr/>
        <w:t>due</w:t>
      </w:r>
      <w:r>
        <w:rPr>
          <w:spacing w:val="-4"/>
        </w:rPr>
        <w:t> </w:t>
      </w:r>
      <w:r>
        <w:rPr/>
        <w:t>to</w:t>
      </w:r>
      <w:r>
        <w:rPr>
          <w:spacing w:val="-4"/>
        </w:rPr>
        <w:t> </w:t>
      </w:r>
      <w:r>
        <w:rPr/>
        <w:t>its</w:t>
      </w:r>
      <w:r>
        <w:rPr>
          <w:spacing w:val="-4"/>
        </w:rPr>
        <w:t> </w:t>
      </w:r>
      <w:r>
        <w:rPr/>
        <w:t>chromophoric groups and</w:t>
      </w:r>
      <w:r>
        <w:rPr>
          <w:spacing w:val="-2"/>
        </w:rPr>
        <w:t> </w:t>
      </w:r>
      <w:r>
        <w:rPr/>
        <w:t>several</w:t>
      </w:r>
      <w:r>
        <w:rPr>
          <w:spacing w:val="-1"/>
        </w:rPr>
        <w:t> </w:t>
      </w:r>
      <w:r>
        <w:rPr/>
        <w:t>spectrophotometric</w:t>
      </w:r>
      <w:r>
        <w:rPr>
          <w:spacing w:val="-3"/>
        </w:rPr>
        <w:t> </w:t>
      </w:r>
      <w:r>
        <w:rPr/>
        <w:t>analytical methods</w:t>
      </w:r>
      <w:r>
        <w:rPr>
          <w:spacing w:val="-2"/>
        </w:rPr>
        <w:t> </w:t>
      </w:r>
      <w:r>
        <w:rPr/>
        <w:t>of</w:t>
      </w:r>
      <w:r>
        <w:rPr>
          <w:spacing w:val="-3"/>
        </w:rPr>
        <w:t> </w:t>
      </w:r>
      <w:r>
        <w:rPr/>
        <w:t>tinidazole</w:t>
      </w:r>
      <w:r>
        <w:rPr>
          <w:spacing w:val="-3"/>
        </w:rPr>
        <w:t> </w:t>
      </w:r>
      <w:r>
        <w:rPr/>
        <w:t>analysis</w:t>
      </w:r>
      <w:r>
        <w:rPr>
          <w:spacing w:val="-2"/>
        </w:rPr>
        <w:t> </w:t>
      </w:r>
      <w:r>
        <w:rPr/>
        <w:t>have</w:t>
      </w:r>
      <w:r>
        <w:rPr>
          <w:spacing w:val="-3"/>
        </w:rPr>
        <w:t> </w:t>
      </w:r>
      <w:r>
        <w:rPr/>
        <w:t>been </w:t>
      </w:r>
      <w:r>
        <w:rPr>
          <w:spacing w:val="-2"/>
        </w:rPr>
        <w:t>reported.</w:t>
      </w:r>
    </w:p>
    <w:p>
      <w:pPr>
        <w:pStyle w:val="BodyText"/>
        <w:spacing w:line="480" w:lineRule="auto" w:before="1"/>
        <w:ind w:left="380" w:right="1260" w:firstLine="60"/>
        <w:jc w:val="both"/>
      </w:pPr>
      <w:r>
        <w:rPr/>
        <w:t>Singh </w:t>
      </w:r>
      <w:r>
        <w:rPr>
          <w:i/>
        </w:rPr>
        <w:t>et al</w:t>
      </w:r>
      <w:r>
        <w:rPr/>
        <w:t>., (2011) reported three methods for the analysis of tinidazole tablet dosage form using UV spectrophotometry. The first method was based on colorimetric determination of tinidazole in 0.5 N NaOH. It shows a λmax of 368.6 nm and</w:t>
      </w:r>
      <w:r>
        <w:rPr>
          <w:spacing w:val="40"/>
        </w:rPr>
        <w:t> </w:t>
      </w:r>
      <w:r>
        <w:rPr/>
        <w:t>linearity range of 20-150 µg/mL .The second method was based on direct estimation of tinidazole</w:t>
      </w:r>
      <w:r>
        <w:rPr>
          <w:spacing w:val="40"/>
        </w:rPr>
        <w:t> </w:t>
      </w:r>
      <w:r>
        <w:rPr/>
        <w:t>in 0.5 N HCl at the λmax of 279.2 nm, this method was found to be linear in the range of 50-150 µg/mL. The third method was based on difference in absorbance between tinidazole dilution in 0.5 N NaOH and tinidazole in 0.5 N HCl in reference cell, the differential absorption spectra was recorded, it shows a maxima at 368.8 and a minima at 276 nm within the range</w:t>
      </w:r>
      <w:r>
        <w:rPr>
          <w:spacing w:val="80"/>
        </w:rPr>
        <w:t> </w:t>
      </w:r>
      <w:r>
        <w:rPr/>
        <w:t>of 20-120 µg/mL. The methods were validated by determining the accuracy, precision and LOD, LOQ and recovery studies. The LOD and LOQ values for the methods are of 5.98, 15.0 µg/mL, 5.98, 19.93 µg/mL, 50.08 and 18.95 µg/mL </w:t>
      </w:r>
      <w:r>
        <w:rPr>
          <w:spacing w:val="-2"/>
        </w:rPr>
        <w:t>respectively.</w:t>
      </w:r>
    </w:p>
    <w:p>
      <w:pPr>
        <w:pStyle w:val="BodyText"/>
        <w:spacing w:line="480" w:lineRule="auto" w:before="242"/>
        <w:ind w:left="380" w:right="1264"/>
        <w:jc w:val="both"/>
      </w:pPr>
      <w:r>
        <w:rPr>
          <w:color w:val="212121"/>
        </w:rPr>
        <w:t>Kothapalli </w:t>
      </w:r>
      <w:r>
        <w:rPr>
          <w:i/>
        </w:rPr>
        <w:t>et al</w:t>
      </w:r>
      <w:r>
        <w:rPr/>
        <w:t>., (2011) reported another method for the estimation of tinidazole in bulk and pharmaceutical dosage form. 0.1N HCl was chosen as the solvent system and the λmax was found to be 278 nm. This method was linear in the range of 10-80 μg/mL and regression</w:t>
      </w:r>
      <w:r>
        <w:rPr>
          <w:spacing w:val="8"/>
        </w:rPr>
        <w:t> </w:t>
      </w:r>
      <w:r>
        <w:rPr/>
        <w:t>equation</w:t>
      </w:r>
      <w:r>
        <w:rPr>
          <w:spacing w:val="5"/>
        </w:rPr>
        <w:t> </w:t>
      </w:r>
      <w:r>
        <w:rPr/>
        <w:t>of</w:t>
      </w:r>
      <w:r>
        <w:rPr>
          <w:spacing w:val="5"/>
        </w:rPr>
        <w:t> </w:t>
      </w:r>
      <w:r>
        <w:rPr/>
        <w:t>the</w:t>
      </w:r>
      <w:r>
        <w:rPr>
          <w:spacing w:val="5"/>
        </w:rPr>
        <w:t> </w:t>
      </w:r>
      <w:r>
        <w:rPr/>
        <w:t>calibration</w:t>
      </w:r>
      <w:r>
        <w:rPr>
          <w:spacing w:val="6"/>
        </w:rPr>
        <w:t> </w:t>
      </w:r>
      <w:r>
        <w:rPr/>
        <w:t>graph</w:t>
      </w:r>
      <w:r>
        <w:rPr>
          <w:spacing w:val="8"/>
        </w:rPr>
        <w:t> </w:t>
      </w:r>
      <w:r>
        <w:rPr/>
        <w:t>and</w:t>
      </w:r>
      <w:r>
        <w:rPr>
          <w:spacing w:val="5"/>
        </w:rPr>
        <w:t> </w:t>
      </w:r>
      <w:r>
        <w:rPr/>
        <w:t>correlation</w:t>
      </w:r>
      <w:r>
        <w:rPr>
          <w:spacing w:val="6"/>
        </w:rPr>
        <w:t> </w:t>
      </w:r>
      <w:r>
        <w:rPr/>
        <w:t>coefficient</w:t>
      </w:r>
      <w:r>
        <w:rPr>
          <w:spacing w:val="6"/>
        </w:rPr>
        <w:t> </w:t>
      </w:r>
      <w:r>
        <w:rPr/>
        <w:t>were</w:t>
      </w:r>
      <w:r>
        <w:rPr>
          <w:spacing w:val="5"/>
        </w:rPr>
        <w:t> </w:t>
      </w:r>
      <w:r>
        <w:rPr/>
        <w:t>found</w:t>
      </w:r>
      <w:r>
        <w:rPr>
          <w:spacing w:val="5"/>
        </w:rPr>
        <w:t> </w:t>
      </w:r>
      <w:r>
        <w:rPr/>
        <w:t>to</w:t>
      </w:r>
      <w:r>
        <w:rPr>
          <w:spacing w:val="6"/>
        </w:rPr>
        <w:t> </w:t>
      </w:r>
      <w:r>
        <w:rPr/>
        <w:t>be</w:t>
      </w:r>
      <w:r>
        <w:rPr>
          <w:spacing w:val="10"/>
        </w:rPr>
        <w:t> </w:t>
      </w:r>
      <w:r>
        <w:rPr>
          <w:spacing w:val="-10"/>
        </w:rPr>
        <w:t>y</w:t>
      </w:r>
    </w:p>
    <w:p>
      <w:pPr>
        <w:spacing w:after="0" w:line="480" w:lineRule="auto"/>
        <w:jc w:val="both"/>
        <w:sectPr>
          <w:pgSz w:w="12240" w:h="15840"/>
          <w:pgMar w:header="0" w:footer="1068" w:top="1540" w:bottom="1260" w:left="1420" w:right="440"/>
        </w:sectPr>
      </w:pPr>
    </w:p>
    <w:p>
      <w:pPr>
        <w:pStyle w:val="BodyText"/>
        <w:spacing w:line="480" w:lineRule="auto" w:before="72"/>
        <w:ind w:left="380" w:right="1266"/>
        <w:jc w:val="both"/>
      </w:pPr>
      <w:r>
        <w:rPr/>
        <w:t>=</w:t>
      </w:r>
      <w:r>
        <w:rPr>
          <w:spacing w:val="-1"/>
        </w:rPr>
        <w:t> </w:t>
      </w:r>
      <w:r>
        <w:rPr/>
        <w:t>0.026x -</w:t>
      </w:r>
      <w:r>
        <w:rPr>
          <w:spacing w:val="-1"/>
        </w:rPr>
        <w:t> </w:t>
      </w:r>
      <w:r>
        <w:rPr/>
        <w:t>0.042 and 0.999 respectively. The</w:t>
      </w:r>
      <w:r>
        <w:rPr>
          <w:spacing w:val="-2"/>
        </w:rPr>
        <w:t> </w:t>
      </w:r>
      <w:r>
        <w:rPr/>
        <w:t>% RSD</w:t>
      </w:r>
      <w:r>
        <w:rPr>
          <w:spacing w:val="-1"/>
        </w:rPr>
        <w:t> </w:t>
      </w:r>
      <w:r>
        <w:rPr/>
        <w:t>values</w:t>
      </w:r>
      <w:r>
        <w:rPr>
          <w:spacing w:val="-1"/>
        </w:rPr>
        <w:t> </w:t>
      </w:r>
      <w:r>
        <w:rPr/>
        <w:t>for</w:t>
      </w:r>
      <w:r>
        <w:rPr>
          <w:spacing w:val="-2"/>
        </w:rPr>
        <w:t> </w:t>
      </w:r>
      <w:r>
        <w:rPr/>
        <w:t>both intraday</w:t>
      </w:r>
      <w:r>
        <w:rPr>
          <w:spacing w:val="-3"/>
        </w:rPr>
        <w:t> </w:t>
      </w:r>
      <w:r>
        <w:rPr/>
        <w:t>and interday precision</w:t>
      </w:r>
      <w:r>
        <w:rPr>
          <w:spacing w:val="18"/>
        </w:rPr>
        <w:t> </w:t>
      </w:r>
      <w:r>
        <w:rPr/>
        <w:t>were</w:t>
      </w:r>
      <w:r>
        <w:rPr>
          <w:spacing w:val="20"/>
        </w:rPr>
        <w:t> </w:t>
      </w:r>
      <w:r>
        <w:rPr/>
        <w:t>less</w:t>
      </w:r>
      <w:r>
        <w:rPr>
          <w:spacing w:val="20"/>
        </w:rPr>
        <w:t> </w:t>
      </w:r>
      <w:r>
        <w:rPr/>
        <w:t>than</w:t>
      </w:r>
      <w:r>
        <w:rPr>
          <w:spacing w:val="20"/>
        </w:rPr>
        <w:t> </w:t>
      </w:r>
      <w:r>
        <w:rPr/>
        <w:t>1</w:t>
      </w:r>
      <w:r>
        <w:rPr>
          <w:spacing w:val="1"/>
        </w:rPr>
        <w:t> </w:t>
      </w:r>
      <w:r>
        <w:rPr/>
        <w:t>%.</w:t>
      </w:r>
      <w:r>
        <w:rPr>
          <w:spacing w:val="21"/>
        </w:rPr>
        <w:t> </w:t>
      </w:r>
      <w:r>
        <w:rPr/>
        <w:t>The</w:t>
      </w:r>
      <w:r>
        <w:rPr>
          <w:spacing w:val="19"/>
        </w:rPr>
        <w:t> </w:t>
      </w:r>
      <w:r>
        <w:rPr/>
        <w:t>recovery</w:t>
      </w:r>
      <w:r>
        <w:rPr>
          <w:spacing w:val="17"/>
        </w:rPr>
        <w:t> </w:t>
      </w:r>
      <w:r>
        <w:rPr/>
        <w:t>of</w:t>
      </w:r>
      <w:r>
        <w:rPr>
          <w:spacing w:val="19"/>
        </w:rPr>
        <w:t> </w:t>
      </w:r>
      <w:r>
        <w:rPr/>
        <w:t>the</w:t>
      </w:r>
      <w:r>
        <w:rPr>
          <w:spacing w:val="20"/>
        </w:rPr>
        <w:t> </w:t>
      </w:r>
      <w:r>
        <w:rPr/>
        <w:t>drug</w:t>
      </w:r>
      <w:r>
        <w:rPr>
          <w:spacing w:val="17"/>
        </w:rPr>
        <w:t> </w:t>
      </w:r>
      <w:r>
        <w:rPr/>
        <w:t>from</w:t>
      </w:r>
      <w:r>
        <w:rPr>
          <w:spacing w:val="21"/>
        </w:rPr>
        <w:t> </w:t>
      </w:r>
      <w:r>
        <w:rPr/>
        <w:t>the</w:t>
      </w:r>
      <w:r>
        <w:rPr>
          <w:spacing w:val="19"/>
        </w:rPr>
        <w:t> </w:t>
      </w:r>
      <w:r>
        <w:rPr/>
        <w:t>sample</w:t>
      </w:r>
      <w:r>
        <w:rPr>
          <w:spacing w:val="23"/>
        </w:rPr>
        <w:t> </w:t>
      </w:r>
      <w:r>
        <w:rPr/>
        <w:t>ranged</w:t>
      </w:r>
      <w:r>
        <w:rPr>
          <w:spacing w:val="21"/>
        </w:rPr>
        <w:t> </w:t>
      </w:r>
      <w:r>
        <w:rPr>
          <w:spacing w:val="-2"/>
        </w:rPr>
        <w:t>between</w:t>
      </w:r>
    </w:p>
    <w:p>
      <w:pPr>
        <w:pStyle w:val="BodyText"/>
        <w:ind w:left="380"/>
      </w:pPr>
      <w:r>
        <w:rPr/>
        <w:t>99.12</w:t>
      </w:r>
      <w:r>
        <w:rPr>
          <w:spacing w:val="-2"/>
        </w:rPr>
        <w:t> </w:t>
      </w:r>
      <w:r>
        <w:rPr/>
        <w:t>and 100.96 </w:t>
      </w:r>
      <w:r>
        <w:rPr>
          <w:spacing w:val="-5"/>
        </w:rPr>
        <w:t>%.</w:t>
      </w:r>
    </w:p>
    <w:p>
      <w:pPr>
        <w:pStyle w:val="BodyText"/>
      </w:pPr>
    </w:p>
    <w:p>
      <w:pPr>
        <w:pStyle w:val="BodyText"/>
        <w:spacing w:line="480" w:lineRule="auto"/>
        <w:ind w:left="380" w:right="1262"/>
        <w:jc w:val="both"/>
      </w:pPr>
      <w:r>
        <w:rPr>
          <w:color w:val="212121"/>
        </w:rPr>
        <w:t>Alhemiary and Saleh </w:t>
      </w:r>
      <w:r>
        <w:rPr/>
        <w:t>(2012) report two spectrophotometric methods for the determination of tinidazole either in pure form or in their tablets form using promethazine and ethyl vanillin reagents in pharmaceutical preparations. The methods were based on the</w:t>
      </w:r>
      <w:r>
        <w:rPr>
          <w:spacing w:val="80"/>
        </w:rPr>
        <w:t> </w:t>
      </w:r>
      <w:r>
        <w:rPr/>
        <w:t>reduction</w:t>
      </w:r>
      <w:r>
        <w:rPr>
          <w:spacing w:val="-3"/>
        </w:rPr>
        <w:t> </w:t>
      </w:r>
      <w:r>
        <w:rPr/>
        <w:t>of</w:t>
      </w:r>
      <w:r>
        <w:rPr>
          <w:spacing w:val="-2"/>
        </w:rPr>
        <w:t> </w:t>
      </w:r>
      <w:r>
        <w:rPr/>
        <w:t>the</w:t>
      </w:r>
      <w:r>
        <w:rPr>
          <w:spacing w:val="-3"/>
        </w:rPr>
        <w:t> </w:t>
      </w:r>
      <w:r>
        <w:rPr/>
        <w:t>nitro</w:t>
      </w:r>
      <w:r>
        <w:rPr>
          <w:spacing w:val="-2"/>
        </w:rPr>
        <w:t> </w:t>
      </w:r>
      <w:r>
        <w:rPr/>
        <w:t>group</w:t>
      </w:r>
      <w:r>
        <w:rPr>
          <w:spacing w:val="-3"/>
        </w:rPr>
        <w:t> </w:t>
      </w:r>
      <w:r>
        <w:rPr/>
        <w:t>to</w:t>
      </w:r>
      <w:r>
        <w:rPr>
          <w:spacing w:val="-1"/>
        </w:rPr>
        <w:t> </w:t>
      </w:r>
      <w:r>
        <w:rPr/>
        <w:t>an</w:t>
      </w:r>
      <w:r>
        <w:rPr>
          <w:spacing w:val="-1"/>
        </w:rPr>
        <w:t> </w:t>
      </w:r>
      <w:r>
        <w:rPr/>
        <w:t>amino</w:t>
      </w:r>
      <w:r>
        <w:rPr>
          <w:spacing w:val="-1"/>
        </w:rPr>
        <w:t> </w:t>
      </w:r>
      <w:r>
        <w:rPr/>
        <w:t>group.</w:t>
      </w:r>
      <w:r>
        <w:rPr>
          <w:spacing w:val="-3"/>
        </w:rPr>
        <w:t> </w:t>
      </w:r>
      <w:r>
        <w:rPr/>
        <w:t>The</w:t>
      </w:r>
      <w:r>
        <w:rPr>
          <w:spacing w:val="-3"/>
        </w:rPr>
        <w:t> </w:t>
      </w:r>
      <w:r>
        <w:rPr/>
        <w:t>reduction</w:t>
      </w:r>
      <w:r>
        <w:rPr>
          <w:spacing w:val="-3"/>
        </w:rPr>
        <w:t> </w:t>
      </w:r>
      <w:r>
        <w:rPr/>
        <w:t>of</w:t>
      </w:r>
      <w:r>
        <w:rPr>
          <w:spacing w:val="-3"/>
        </w:rPr>
        <w:t> </w:t>
      </w:r>
      <w:r>
        <w:rPr/>
        <w:t>tinidazole</w:t>
      </w:r>
      <w:r>
        <w:rPr>
          <w:spacing w:val="-2"/>
        </w:rPr>
        <w:t> </w:t>
      </w:r>
      <w:r>
        <w:rPr/>
        <w:t>was carried</w:t>
      </w:r>
      <w:r>
        <w:rPr>
          <w:spacing w:val="-2"/>
        </w:rPr>
        <w:t> </w:t>
      </w:r>
      <w:r>
        <w:rPr/>
        <w:t>out with zinc powder, zinc dust and concentrated HCl at 90 ± 5 °C for 15 min in water. Method A is based on Schiff's basses reaction using ethyl vanillin reagent and measurement of the yellow coloured species (λmax: 470 nm),whereas method B is based on oxidative coupling reaction used promethazine hydrochloride reagent and sodium hypochlorite</w:t>
      </w:r>
      <w:r>
        <w:rPr>
          <w:spacing w:val="-3"/>
        </w:rPr>
        <w:t> </w:t>
      </w:r>
      <w:r>
        <w:rPr/>
        <w:t>oxidation</w:t>
      </w:r>
      <w:r>
        <w:rPr>
          <w:spacing w:val="-3"/>
        </w:rPr>
        <w:t> </w:t>
      </w:r>
      <w:r>
        <w:rPr/>
        <w:t>agent</w:t>
      </w:r>
      <w:r>
        <w:rPr>
          <w:spacing w:val="-1"/>
        </w:rPr>
        <w:t> </w:t>
      </w:r>
      <w:r>
        <w:rPr/>
        <w:t>in</w:t>
      </w:r>
      <w:r>
        <w:rPr>
          <w:spacing w:val="-3"/>
        </w:rPr>
        <w:t> </w:t>
      </w:r>
      <w:r>
        <w:rPr/>
        <w:t>alkaline</w:t>
      </w:r>
      <w:r>
        <w:rPr>
          <w:spacing w:val="-2"/>
        </w:rPr>
        <w:t> </w:t>
      </w:r>
      <w:r>
        <w:rPr/>
        <w:t>medium</w:t>
      </w:r>
      <w:r>
        <w:rPr>
          <w:spacing w:val="-1"/>
        </w:rPr>
        <w:t> </w:t>
      </w:r>
      <w:r>
        <w:rPr/>
        <w:t>to</w:t>
      </w:r>
      <w:r>
        <w:rPr>
          <w:spacing w:val="-3"/>
        </w:rPr>
        <w:t> </w:t>
      </w:r>
      <w:r>
        <w:rPr/>
        <w:t>form</w:t>
      </w:r>
      <w:r>
        <w:rPr>
          <w:spacing w:val="-3"/>
        </w:rPr>
        <w:t> </w:t>
      </w:r>
      <w:r>
        <w:rPr/>
        <w:t>red colour</w:t>
      </w:r>
      <w:r>
        <w:rPr>
          <w:spacing w:val="-4"/>
        </w:rPr>
        <w:t> </w:t>
      </w:r>
      <w:r>
        <w:rPr/>
        <w:t>measurable</w:t>
      </w:r>
      <w:r>
        <w:rPr>
          <w:spacing w:val="-2"/>
        </w:rPr>
        <w:t> </w:t>
      </w:r>
      <w:r>
        <w:rPr/>
        <w:t>at</w:t>
      </w:r>
      <w:r>
        <w:rPr>
          <w:spacing w:val="-3"/>
        </w:rPr>
        <w:t> </w:t>
      </w:r>
      <w:r>
        <w:rPr/>
        <w:t>525</w:t>
      </w:r>
      <w:r>
        <w:rPr>
          <w:spacing w:val="-3"/>
        </w:rPr>
        <w:t> </w:t>
      </w:r>
      <w:r>
        <w:rPr/>
        <w:t>nm. The working conditions of both methods have been optimized. Regression analysis of Beer’s law plots showed good correlation in the concentration ranges of 5-65 and 2-50 μg/mL for methods A and B, respectively. The apparent molar absorptivity and Sandell sensitivity</w:t>
      </w:r>
      <w:r>
        <w:rPr>
          <w:spacing w:val="-5"/>
        </w:rPr>
        <w:t> </w:t>
      </w:r>
      <w:r>
        <w:rPr/>
        <w:t>values he calculated are 3.214x103 and 1.028x104 l mol</w:t>
      </w:r>
      <w:r>
        <w:rPr>
          <w:vertAlign w:val="superscript"/>
        </w:rPr>
        <w:t>-1</w:t>
      </w:r>
      <w:r>
        <w:rPr>
          <w:vertAlign w:val="baseline"/>
        </w:rPr>
        <w:t> cm</w:t>
      </w:r>
      <w:r>
        <w:rPr>
          <w:vertAlign w:val="superscript"/>
        </w:rPr>
        <w:t>-1</w:t>
      </w:r>
      <w:r>
        <w:rPr>
          <w:vertAlign w:val="baseline"/>
        </w:rPr>
        <w:t>, and 0.0769 and 0.0267 μg cm</w:t>
      </w:r>
      <w:r>
        <w:rPr>
          <w:vertAlign w:val="superscript"/>
        </w:rPr>
        <w:t>-2</w:t>
      </w:r>
      <w:r>
        <w:rPr>
          <w:vertAlign w:val="baseline"/>
        </w:rPr>
        <w:t>,with LOD 0.552 μg mL</w:t>
      </w:r>
      <w:r>
        <w:rPr>
          <w:vertAlign w:val="superscript"/>
        </w:rPr>
        <w:t>-</w:t>
      </w:r>
      <w:r>
        <w:rPr>
          <w:vertAlign w:val="baseline"/>
        </w:rPr>
        <w:t> </w:t>
      </w:r>
      <w:r>
        <w:rPr>
          <w:vertAlign w:val="superscript"/>
        </w:rPr>
        <w:t>1</w:t>
      </w:r>
      <w:r>
        <w:rPr>
          <w:vertAlign w:val="baseline"/>
        </w:rPr>
        <w:t>and 0.285 μg mL</w:t>
      </w:r>
      <w:r>
        <w:rPr>
          <w:vertAlign w:val="superscript"/>
        </w:rPr>
        <w:t>-1</w:t>
      </w:r>
      <w:r>
        <w:rPr>
          <w:vertAlign w:val="baseline"/>
        </w:rPr>
        <w:t>, LOQ 1.840 μg mL</w:t>
      </w:r>
      <w:r>
        <w:rPr>
          <w:vertAlign w:val="superscript"/>
        </w:rPr>
        <w:t>-1</w:t>
      </w:r>
      <w:r>
        <w:rPr>
          <w:vertAlign w:val="baseline"/>
        </w:rPr>
        <w:t> and 0.942 μg mL</w:t>
      </w:r>
      <w:r>
        <w:rPr>
          <w:vertAlign w:val="superscript"/>
        </w:rPr>
        <w:t>-1</w:t>
      </w:r>
      <w:r>
        <w:rPr>
          <w:vertAlign w:val="baseline"/>
        </w:rPr>
        <w:t>,respectively, for methods A and B. They successfully applied the methods in the determination of tinidazole in bulk drug and its formulations. As he reported, excipients used as additives in formulations did not interfere with his method and Statistical treatment of the experimental results indicated that the accuracy and precision</w:t>
      </w:r>
      <w:r>
        <w:rPr>
          <w:spacing w:val="40"/>
          <w:vertAlign w:val="baseline"/>
        </w:rPr>
        <w:t> </w:t>
      </w:r>
      <w:r>
        <w:rPr>
          <w:vertAlign w:val="baseline"/>
        </w:rPr>
        <w:t>of the methods are analytically acceptable. The validity</w:t>
      </w:r>
      <w:r>
        <w:rPr>
          <w:spacing w:val="-3"/>
          <w:vertAlign w:val="baseline"/>
        </w:rPr>
        <w:t> </w:t>
      </w:r>
      <w:r>
        <w:rPr>
          <w:vertAlign w:val="baseline"/>
        </w:rPr>
        <w:t>of the methods was</w:t>
      </w:r>
      <w:r>
        <w:rPr>
          <w:spacing w:val="80"/>
          <w:vertAlign w:val="baseline"/>
        </w:rPr>
        <w:t> </w:t>
      </w:r>
      <w:r>
        <w:rPr>
          <w:vertAlign w:val="baseline"/>
        </w:rPr>
        <w:t>evaluated by parallel determination of an established procedure and recovery studies.</w:t>
      </w:r>
    </w:p>
    <w:p>
      <w:pPr>
        <w:spacing w:after="0" w:line="480" w:lineRule="auto"/>
        <w:jc w:val="both"/>
        <w:sectPr>
          <w:pgSz w:w="12240" w:h="15840"/>
          <w:pgMar w:header="0" w:footer="1068" w:top="1540" w:bottom="1260" w:left="1420" w:right="440"/>
        </w:sectPr>
      </w:pPr>
    </w:p>
    <w:p>
      <w:pPr>
        <w:pStyle w:val="BodyText"/>
        <w:spacing w:line="480" w:lineRule="auto" w:before="72"/>
        <w:ind w:left="380" w:right="1267" w:firstLine="60"/>
        <w:jc w:val="both"/>
      </w:pPr>
      <w:r>
        <w:rPr>
          <w:color w:val="212121"/>
        </w:rPr>
        <w:t>Rao </w:t>
      </w:r>
      <w:r>
        <w:rPr>
          <w:i/>
        </w:rPr>
        <w:t>et al</w:t>
      </w:r>
      <w:r>
        <w:rPr/>
        <w:t>. (2011)</w:t>
      </w:r>
      <w:r>
        <w:rPr>
          <w:spacing w:val="-1"/>
        </w:rPr>
        <w:t> </w:t>
      </w:r>
      <w:r>
        <w:rPr/>
        <w:t>reported spectrophotometric</w:t>
      </w:r>
      <w:r>
        <w:rPr>
          <w:spacing w:val="-1"/>
        </w:rPr>
        <w:t> </w:t>
      </w:r>
      <w:r>
        <w:rPr/>
        <w:t>methods for</w:t>
      </w:r>
      <w:r>
        <w:rPr>
          <w:spacing w:val="-1"/>
        </w:rPr>
        <w:t> </w:t>
      </w:r>
      <w:r>
        <w:rPr/>
        <w:t>the determination of</w:t>
      </w:r>
      <w:r>
        <w:rPr>
          <w:spacing w:val="-1"/>
        </w:rPr>
        <w:t> </w:t>
      </w:r>
      <w:r>
        <w:rPr/>
        <w:t>tinidazole formulation</w:t>
      </w:r>
      <w:r>
        <w:rPr>
          <w:spacing w:val="-1"/>
        </w:rPr>
        <w:t> </w:t>
      </w:r>
      <w:r>
        <w:rPr/>
        <w:t>and</w:t>
      </w:r>
      <w:r>
        <w:rPr>
          <w:spacing w:val="-1"/>
        </w:rPr>
        <w:t> </w:t>
      </w:r>
      <w:r>
        <w:rPr/>
        <w:t>serum. This</w:t>
      </w:r>
      <w:r>
        <w:rPr>
          <w:spacing w:val="-1"/>
        </w:rPr>
        <w:t> </w:t>
      </w:r>
      <w:r>
        <w:rPr/>
        <w:t>method</w:t>
      </w:r>
      <w:r>
        <w:rPr>
          <w:spacing w:val="-1"/>
        </w:rPr>
        <w:t> </w:t>
      </w:r>
      <w:r>
        <w:rPr/>
        <w:t>is</w:t>
      </w:r>
      <w:r>
        <w:rPr>
          <w:spacing w:val="-1"/>
        </w:rPr>
        <w:t> </w:t>
      </w:r>
      <w:r>
        <w:rPr/>
        <w:t>based</w:t>
      </w:r>
      <w:r>
        <w:rPr>
          <w:spacing w:val="-1"/>
        </w:rPr>
        <w:t> </w:t>
      </w:r>
      <w:r>
        <w:rPr/>
        <w:t>on</w:t>
      </w:r>
      <w:r>
        <w:rPr>
          <w:spacing w:val="-1"/>
        </w:rPr>
        <w:t> </w:t>
      </w:r>
      <w:r>
        <w:rPr/>
        <w:t>the</w:t>
      </w:r>
      <w:r>
        <w:rPr>
          <w:spacing w:val="-2"/>
        </w:rPr>
        <w:t> </w:t>
      </w:r>
      <w:r>
        <w:rPr/>
        <w:t>measurement</w:t>
      </w:r>
      <w:r>
        <w:rPr>
          <w:spacing w:val="-1"/>
        </w:rPr>
        <w:t> </w:t>
      </w:r>
      <w:r>
        <w:rPr/>
        <w:t>of</w:t>
      </w:r>
      <w:r>
        <w:rPr>
          <w:spacing w:val="-2"/>
        </w:rPr>
        <w:t> </w:t>
      </w:r>
      <w:r>
        <w:rPr/>
        <w:t>the</w:t>
      </w:r>
      <w:r>
        <w:rPr>
          <w:spacing w:val="-2"/>
        </w:rPr>
        <w:t> </w:t>
      </w:r>
      <w:r>
        <w:rPr/>
        <w:t>absorbance</w:t>
      </w:r>
      <w:r>
        <w:rPr>
          <w:spacing w:val="-2"/>
        </w:rPr>
        <w:t> </w:t>
      </w:r>
      <w:r>
        <w:rPr/>
        <w:t>of</w:t>
      </w:r>
      <w:r>
        <w:rPr>
          <w:spacing w:val="-2"/>
        </w:rPr>
        <w:t> </w:t>
      </w:r>
      <w:r>
        <w:rPr/>
        <w:t>the signal</w:t>
      </w:r>
      <w:r>
        <w:rPr>
          <w:spacing w:val="6"/>
        </w:rPr>
        <w:t> </w:t>
      </w:r>
      <w:r>
        <w:rPr/>
        <w:t>at</w:t>
      </w:r>
      <w:r>
        <w:rPr>
          <w:spacing w:val="8"/>
        </w:rPr>
        <w:t> </w:t>
      </w:r>
      <w:r>
        <w:rPr/>
        <w:t>368</w:t>
      </w:r>
      <w:r>
        <w:rPr>
          <w:spacing w:val="8"/>
        </w:rPr>
        <w:t> </w:t>
      </w:r>
      <w:r>
        <w:rPr/>
        <w:t>nm</w:t>
      </w:r>
      <w:r>
        <w:rPr>
          <w:spacing w:val="13"/>
        </w:rPr>
        <w:t> </w:t>
      </w:r>
      <w:r>
        <w:rPr/>
        <w:t>yielded</w:t>
      </w:r>
      <w:r>
        <w:rPr>
          <w:spacing w:val="10"/>
        </w:rPr>
        <w:t> </w:t>
      </w:r>
      <w:r>
        <w:rPr/>
        <w:t>by</w:t>
      </w:r>
      <w:r>
        <w:rPr>
          <w:spacing w:val="3"/>
        </w:rPr>
        <w:t> </w:t>
      </w:r>
      <w:r>
        <w:rPr/>
        <w:t>bathochromic</w:t>
      </w:r>
      <w:r>
        <w:rPr>
          <w:spacing w:val="8"/>
        </w:rPr>
        <w:t> </w:t>
      </w:r>
      <w:r>
        <w:rPr/>
        <w:t>shift</w:t>
      </w:r>
      <w:r>
        <w:rPr>
          <w:spacing w:val="8"/>
        </w:rPr>
        <w:t> </w:t>
      </w:r>
      <w:r>
        <w:rPr/>
        <w:t>during</w:t>
      </w:r>
      <w:r>
        <w:rPr>
          <w:spacing w:val="6"/>
        </w:rPr>
        <w:t> </w:t>
      </w:r>
      <w:r>
        <w:rPr/>
        <w:t>alkaline</w:t>
      </w:r>
      <w:r>
        <w:rPr>
          <w:spacing w:val="7"/>
        </w:rPr>
        <w:t> </w:t>
      </w:r>
      <w:r>
        <w:rPr/>
        <w:t>hydrolysis</w:t>
      </w:r>
      <w:r>
        <w:rPr>
          <w:spacing w:val="9"/>
        </w:rPr>
        <w:t> </w:t>
      </w:r>
      <w:r>
        <w:rPr/>
        <w:t>of</w:t>
      </w:r>
      <w:r>
        <w:rPr>
          <w:spacing w:val="7"/>
        </w:rPr>
        <w:t> </w:t>
      </w:r>
      <w:r>
        <w:rPr/>
        <w:t>tinidazole</w:t>
      </w:r>
      <w:r>
        <w:rPr>
          <w:spacing w:val="8"/>
        </w:rPr>
        <w:t> </w:t>
      </w:r>
      <w:r>
        <w:rPr>
          <w:spacing w:val="-5"/>
        </w:rPr>
        <w:t>in</w:t>
      </w:r>
    </w:p>
    <w:p>
      <w:pPr>
        <w:pStyle w:val="BodyText"/>
        <w:spacing w:line="480" w:lineRule="auto"/>
        <w:ind w:left="380" w:right="1265"/>
        <w:jc w:val="both"/>
      </w:pPr>
      <w:r>
        <w:rPr/>
        <w:t>0.1 N NaOH. The method is linear within the range of 1–30 μg mL</w:t>
      </w:r>
      <w:r>
        <w:rPr>
          <w:vertAlign w:val="superscript"/>
        </w:rPr>
        <w:t>−1</w:t>
      </w:r>
      <w:r>
        <w:rPr>
          <w:vertAlign w:val="baseline"/>
        </w:rPr>
        <w:t>, and the detection and quantification limits are 0.07 and 0.25 μg mL</w:t>
      </w:r>
      <w:r>
        <w:rPr>
          <w:vertAlign w:val="superscript"/>
        </w:rPr>
        <w:t>−1</w:t>
      </w:r>
      <w:r>
        <w:rPr>
          <w:vertAlign w:val="baseline"/>
        </w:rPr>
        <w:t>, respectively. The precision of the method, expressed as the relative standard deviation, is 0.19 % for a tinidazole concentration of 15 μg mL</w:t>
      </w:r>
      <w:r>
        <w:rPr>
          <w:vertAlign w:val="superscript"/>
        </w:rPr>
        <w:t>−1</w:t>
      </w:r>
      <w:r>
        <w:rPr>
          <w:vertAlign w:val="baseline"/>
        </w:rPr>
        <w:t>. The method was applied to the analysis of tinidazole in pharmaceutical formulations and serum.</w:t>
      </w:r>
    </w:p>
    <w:p>
      <w:pPr>
        <w:pStyle w:val="BodyText"/>
        <w:spacing w:line="480" w:lineRule="auto" w:before="1"/>
        <w:ind w:left="380" w:right="1267"/>
        <w:jc w:val="both"/>
      </w:pPr>
      <w:r>
        <w:rPr>
          <w:color w:val="212121"/>
        </w:rPr>
        <w:t>Gummadi </w:t>
      </w:r>
      <w:r>
        <w:rPr>
          <w:i/>
        </w:rPr>
        <w:t>et al. </w:t>
      </w:r>
      <w:r>
        <w:rPr/>
        <w:t>(2012) reported two UV spectroscopic methods for simultaneous estimation of ciprofloxacin and tinidazole in tablet dosage form. Method A employs solving of simultaneous equations based on the measurement of absorbance at two wavelengths, 271 nm and 318 nm which are the λmax values of ciprofloxacin and tinidazole</w:t>
      </w:r>
      <w:r>
        <w:rPr>
          <w:spacing w:val="-1"/>
        </w:rPr>
        <w:t> </w:t>
      </w:r>
      <w:r>
        <w:rPr/>
        <w:t>respectively</w:t>
      </w:r>
      <w:r>
        <w:rPr>
          <w:spacing w:val="-5"/>
        </w:rPr>
        <w:t> </w:t>
      </w:r>
      <w:r>
        <w:rPr/>
        <w:t>in phosphate</w:t>
      </w:r>
      <w:r>
        <w:rPr>
          <w:spacing w:val="-1"/>
        </w:rPr>
        <w:t> </w:t>
      </w:r>
      <w:r>
        <w:rPr/>
        <w:t>buffer</w:t>
      </w:r>
      <w:r>
        <w:rPr>
          <w:spacing w:val="-1"/>
        </w:rPr>
        <w:t> </w:t>
      </w:r>
      <w:r>
        <w:rPr/>
        <w:t>(pH</w:t>
      </w:r>
      <w:r>
        <w:rPr>
          <w:spacing w:val="-1"/>
        </w:rPr>
        <w:t> </w:t>
      </w:r>
      <w:r>
        <w:rPr/>
        <w:t>6.8).</w:t>
      </w:r>
      <w:r>
        <w:rPr>
          <w:spacing w:val="-1"/>
        </w:rPr>
        <w:t> </w:t>
      </w:r>
      <w:r>
        <w:rPr/>
        <w:t>Method</w:t>
      </w:r>
      <w:r>
        <w:rPr>
          <w:spacing w:val="-1"/>
        </w:rPr>
        <w:t> </w:t>
      </w:r>
      <w:r>
        <w:rPr/>
        <w:t>B</w:t>
      </w:r>
      <w:r>
        <w:rPr>
          <w:spacing w:val="-2"/>
        </w:rPr>
        <w:t> </w:t>
      </w:r>
      <w:r>
        <w:rPr/>
        <w:t>is based on the</w:t>
      </w:r>
      <w:r>
        <w:rPr>
          <w:spacing w:val="-1"/>
        </w:rPr>
        <w:t> </w:t>
      </w:r>
      <w:r>
        <w:rPr/>
        <w:t>principle</w:t>
      </w:r>
      <w:r>
        <w:rPr>
          <w:spacing w:val="-1"/>
        </w:rPr>
        <w:t> </w:t>
      </w:r>
      <w:r>
        <w:rPr/>
        <w:t>of Q-Analysis</w:t>
      </w:r>
      <w:r>
        <w:rPr>
          <w:spacing w:val="29"/>
        </w:rPr>
        <w:t> </w:t>
      </w:r>
      <w:r>
        <w:rPr/>
        <w:t>wherein</w:t>
      </w:r>
      <w:r>
        <w:rPr>
          <w:spacing w:val="30"/>
        </w:rPr>
        <w:t> </w:t>
      </w:r>
      <w:r>
        <w:rPr/>
        <w:t>the</w:t>
      </w:r>
      <w:r>
        <w:rPr>
          <w:spacing w:val="29"/>
        </w:rPr>
        <w:t> </w:t>
      </w:r>
      <w:r>
        <w:rPr/>
        <w:t>absorbance</w:t>
      </w:r>
      <w:r>
        <w:rPr>
          <w:spacing w:val="29"/>
        </w:rPr>
        <w:t> </w:t>
      </w:r>
      <w:r>
        <w:rPr/>
        <w:t>was</w:t>
      </w:r>
      <w:r>
        <w:rPr>
          <w:spacing w:val="30"/>
        </w:rPr>
        <w:t> </w:t>
      </w:r>
      <w:r>
        <w:rPr/>
        <w:t>measured</w:t>
      </w:r>
      <w:r>
        <w:rPr>
          <w:spacing w:val="28"/>
        </w:rPr>
        <w:t> </w:t>
      </w:r>
      <w:r>
        <w:rPr/>
        <w:t>at</w:t>
      </w:r>
      <w:r>
        <w:rPr>
          <w:spacing w:val="30"/>
        </w:rPr>
        <w:t> </w:t>
      </w:r>
      <w:r>
        <w:rPr/>
        <w:t>292</w:t>
      </w:r>
      <w:r>
        <w:rPr>
          <w:spacing w:val="33"/>
        </w:rPr>
        <w:t> </w:t>
      </w:r>
      <w:r>
        <w:rPr/>
        <w:t>nm</w:t>
      </w:r>
      <w:r>
        <w:rPr>
          <w:spacing w:val="30"/>
        </w:rPr>
        <w:t> </w:t>
      </w:r>
      <w:r>
        <w:rPr/>
        <w:t>(iso-absorptive</w:t>
      </w:r>
      <w:r>
        <w:rPr>
          <w:spacing w:val="29"/>
        </w:rPr>
        <w:t> </w:t>
      </w:r>
      <w:r>
        <w:rPr/>
        <w:t>point)</w:t>
      </w:r>
      <w:r>
        <w:rPr>
          <w:spacing w:val="29"/>
        </w:rPr>
        <w:t> </w:t>
      </w:r>
      <w:r>
        <w:rPr>
          <w:spacing w:val="-5"/>
        </w:rPr>
        <w:t>and</w:t>
      </w:r>
    </w:p>
    <w:p>
      <w:pPr>
        <w:pStyle w:val="BodyText"/>
        <w:spacing w:line="480" w:lineRule="auto" w:before="1"/>
        <w:ind w:left="380" w:right="1267"/>
        <w:jc w:val="both"/>
      </w:pPr>
      <w:r>
        <w:rPr/>
        <w:t>271 nm (λ max of ciprofloxacin) in phosphate buffer (pH 6.8). Ciprofloxacin and tinidazole show linearity at all the selected wavelengths and obey Beer’s law in the concentration range of 10-35 μg/mL and 10-80 μg/mL respectively. Recovery studies for ciprofloxacin and tinidazole were performed and the percentage recovery for both the drugs was obtained in the</w:t>
      </w:r>
      <w:r>
        <w:rPr>
          <w:spacing w:val="-1"/>
        </w:rPr>
        <w:t> </w:t>
      </w:r>
      <w:r>
        <w:rPr/>
        <w:t>range</w:t>
      </w:r>
      <w:r>
        <w:rPr>
          <w:spacing w:val="-1"/>
        </w:rPr>
        <w:t> </w:t>
      </w:r>
      <w:r>
        <w:rPr/>
        <w:t>of</w:t>
      </w:r>
      <w:r>
        <w:rPr>
          <w:spacing w:val="-1"/>
        </w:rPr>
        <w:t> </w:t>
      </w:r>
      <w:r>
        <w:rPr/>
        <w:t>98.1-99.7 %</w:t>
      </w:r>
      <w:r>
        <w:rPr>
          <w:spacing w:val="-1"/>
        </w:rPr>
        <w:t> </w:t>
      </w:r>
      <w:r>
        <w:rPr/>
        <w:t>(Method</w:t>
      </w:r>
      <w:r>
        <w:rPr>
          <w:spacing w:val="-1"/>
        </w:rPr>
        <w:t> </w:t>
      </w:r>
      <w:r>
        <w:rPr/>
        <w:t>A)</w:t>
      </w:r>
      <w:r>
        <w:rPr>
          <w:spacing w:val="-2"/>
        </w:rPr>
        <w:t> </w:t>
      </w:r>
      <w:r>
        <w:rPr/>
        <w:t>and 98.0-100.4 %</w:t>
      </w:r>
      <w:r>
        <w:rPr>
          <w:spacing w:val="-1"/>
        </w:rPr>
        <w:t> </w:t>
      </w:r>
      <w:r>
        <w:rPr/>
        <w:t>(Method B) confirming the accuracy of the proposed method. Both the methods showed good reproducibility and recovery with % RSD less than 2.</w:t>
      </w:r>
    </w:p>
    <w:p>
      <w:pPr>
        <w:spacing w:after="0" w:line="480" w:lineRule="auto"/>
        <w:jc w:val="both"/>
        <w:sectPr>
          <w:pgSz w:w="12240" w:h="15840"/>
          <w:pgMar w:header="0" w:footer="1068" w:top="1540" w:bottom="1260" w:left="1420" w:right="440"/>
        </w:sectPr>
      </w:pPr>
    </w:p>
    <w:p>
      <w:pPr>
        <w:pStyle w:val="ListParagraph"/>
        <w:numPr>
          <w:ilvl w:val="3"/>
          <w:numId w:val="15"/>
        </w:numPr>
        <w:tabs>
          <w:tab w:pos="1099" w:val="left" w:leader="none"/>
        </w:tabs>
        <w:spacing w:line="240" w:lineRule="auto" w:before="72" w:after="0"/>
        <w:ind w:left="1099" w:right="0" w:hanging="719"/>
        <w:jc w:val="left"/>
        <w:rPr>
          <w:i/>
          <w:sz w:val="24"/>
        </w:rPr>
      </w:pPr>
      <w:r>
        <w:rPr>
          <w:i/>
          <w:sz w:val="24"/>
        </w:rPr>
        <w:t>HPLC</w:t>
      </w:r>
      <w:r>
        <w:rPr>
          <w:i/>
          <w:spacing w:val="-1"/>
          <w:sz w:val="24"/>
        </w:rPr>
        <w:t> </w:t>
      </w:r>
      <w:r>
        <w:rPr>
          <w:i/>
          <w:sz w:val="24"/>
        </w:rPr>
        <w:t>methods</w:t>
      </w:r>
      <w:r>
        <w:rPr>
          <w:i/>
          <w:spacing w:val="-1"/>
          <w:sz w:val="24"/>
        </w:rPr>
        <w:t> </w:t>
      </w:r>
      <w:r>
        <w:rPr>
          <w:i/>
          <w:sz w:val="24"/>
        </w:rPr>
        <w:t>of analyzing</w:t>
      </w:r>
      <w:r>
        <w:rPr>
          <w:i/>
          <w:spacing w:val="-1"/>
          <w:sz w:val="24"/>
        </w:rPr>
        <w:t> </w:t>
      </w:r>
      <w:r>
        <w:rPr>
          <w:i/>
          <w:sz w:val="24"/>
        </w:rPr>
        <w:t>tinidazole</w:t>
      </w:r>
      <w:r>
        <w:rPr>
          <w:i/>
          <w:spacing w:val="-1"/>
          <w:sz w:val="24"/>
        </w:rPr>
        <w:t> </w:t>
      </w:r>
      <w:r>
        <w:rPr>
          <w:i/>
          <w:spacing w:val="-2"/>
          <w:sz w:val="24"/>
        </w:rPr>
        <w:t>tablets</w:t>
      </w:r>
    </w:p>
    <w:p>
      <w:pPr>
        <w:pStyle w:val="BodyText"/>
        <w:rPr>
          <w:i/>
        </w:rPr>
      </w:pPr>
    </w:p>
    <w:p>
      <w:pPr>
        <w:pStyle w:val="BodyText"/>
        <w:spacing w:line="480" w:lineRule="auto"/>
        <w:ind w:left="380" w:right="1263"/>
        <w:jc w:val="both"/>
      </w:pPr>
      <w:r>
        <w:rPr/>
        <w:t>Chromatography is a technique which separates components in a mixture due to the differing time taken for each component to travel through a stationary phase when carried through it by a mobile phase. The analytical technique of High Performance Liquid Chromatography (HPLC) is used extensively throughout the pharmaceutical industry. It is used to provide information on the composition of drug related samples. The information obtained may be qualitative, indicating what compounds are present in the sample or quantitative, providing the actual amounts of compounds in the sample. HPLC is used at all the different stages in the creation of a new drug, and also is used routinely</w:t>
      </w:r>
      <w:r>
        <w:rPr>
          <w:spacing w:val="-4"/>
        </w:rPr>
        <w:t> </w:t>
      </w:r>
      <w:r>
        <w:rPr/>
        <w:t>during</w:t>
      </w:r>
      <w:r>
        <w:rPr>
          <w:spacing w:val="-2"/>
        </w:rPr>
        <w:t> </w:t>
      </w:r>
      <w:r>
        <w:rPr/>
        <w:t>drug manufacture. The aim of the analysis will depend on both the nature of the sample and the stage of development. </w:t>
      </w:r>
      <w:r>
        <w:rPr>
          <w:color w:val="212121"/>
        </w:rPr>
        <w:t>Siddartha </w:t>
      </w:r>
      <w:r>
        <w:rPr>
          <w:i/>
        </w:rPr>
        <w:t>et al</w:t>
      </w:r>
      <w:r>
        <w:rPr/>
        <w:t>., (2013) reported a simple high performance</w:t>
      </w:r>
      <w:r>
        <w:rPr>
          <w:spacing w:val="40"/>
        </w:rPr>
        <w:t> </w:t>
      </w:r>
      <w:r>
        <w:rPr/>
        <w:t>reversed phase liquid chromatographic method for the estimation of tinidazole in bulk</w:t>
      </w:r>
      <w:r>
        <w:rPr>
          <w:spacing w:val="40"/>
        </w:rPr>
        <w:t> </w:t>
      </w:r>
      <w:r>
        <w:rPr/>
        <w:t>drug sample and pharmaceutical dosage form. The method was developed using ss</w:t>
      </w:r>
      <w:r>
        <w:rPr>
          <w:spacing w:val="40"/>
        </w:rPr>
        <w:t> </w:t>
      </w:r>
      <w:r>
        <w:rPr/>
        <w:t>wakosil II. C18, (250 x 4.6 mm) 5 μm column with mobile phase composition of acetonitrile and phosphate buffer 3:1 (pH 5), flow rate of 1.0 mL/min and UV detection at 295 nm. Linearity of the method was observed over a concentration range of 10</w:t>
      </w:r>
      <w:r>
        <w:rPr>
          <w:rFonts w:ascii="Cambria" w:hAnsi="Cambria"/>
        </w:rPr>
        <w:t>‐</w:t>
      </w:r>
      <w:r>
        <w:rPr/>
        <w:t>80</w:t>
      </w:r>
      <w:r>
        <w:rPr>
          <w:spacing w:val="40"/>
        </w:rPr>
        <w:t> </w:t>
      </w:r>
      <w:r>
        <w:rPr>
          <w:rFonts w:ascii="Calibri" w:hAnsi="Calibri"/>
        </w:rPr>
        <w:t>µ</w:t>
      </w:r>
      <w:r>
        <w:rPr/>
        <w:t>g/mL. The accuracy of the proposed method was determined by recovery studies and it was found to be 101</w:t>
      </w:r>
      <w:r>
        <w:rPr>
          <w:rFonts w:ascii="Cambria" w:hAnsi="Cambria"/>
        </w:rPr>
        <w:t>‐</w:t>
      </w:r>
      <w:r>
        <w:rPr/>
        <w:t>103 % his proposed method was validated and the results conformed to ICH parameters.</w:t>
      </w:r>
    </w:p>
    <w:p>
      <w:pPr>
        <w:pStyle w:val="Heading2"/>
        <w:numPr>
          <w:ilvl w:val="1"/>
          <w:numId w:val="16"/>
        </w:numPr>
        <w:tabs>
          <w:tab w:pos="2535" w:val="left" w:leader="none"/>
        </w:tabs>
        <w:spacing w:line="240" w:lineRule="auto" w:before="127" w:after="0"/>
        <w:ind w:left="2535" w:right="0" w:hanging="360"/>
        <w:jc w:val="both"/>
      </w:pPr>
      <w:bookmarkStart w:name="_TOC_250052" w:id="32"/>
      <w:r>
        <w:rPr/>
        <w:t>Biopharmaceutics</w:t>
      </w:r>
      <w:r>
        <w:rPr>
          <w:spacing w:val="-4"/>
        </w:rPr>
        <w:t> </w:t>
      </w:r>
      <w:r>
        <w:rPr/>
        <w:t>Classification</w:t>
      </w:r>
      <w:r>
        <w:rPr>
          <w:spacing w:val="-5"/>
        </w:rPr>
        <w:t> </w:t>
      </w:r>
      <w:r>
        <w:rPr/>
        <w:t>System</w:t>
      </w:r>
      <w:r>
        <w:rPr>
          <w:spacing w:val="-7"/>
        </w:rPr>
        <w:t> </w:t>
      </w:r>
      <w:bookmarkEnd w:id="32"/>
      <w:r>
        <w:rPr>
          <w:spacing w:val="-2"/>
        </w:rPr>
        <w:t>(BCS)</w:t>
      </w:r>
    </w:p>
    <w:p>
      <w:pPr>
        <w:pStyle w:val="BodyText"/>
        <w:spacing w:line="480" w:lineRule="auto" w:before="271"/>
        <w:ind w:left="380" w:right="1260"/>
        <w:jc w:val="both"/>
      </w:pPr>
      <w:r>
        <w:rPr/>
        <w:t>The Biopharmaceutics Classification System (BCS) is a scientific framework or tool that was created to categorize drugs into different groups according to their aqueous solubility and</w:t>
      </w:r>
      <w:r>
        <w:rPr>
          <w:spacing w:val="42"/>
        </w:rPr>
        <w:t> </w:t>
      </w:r>
      <w:r>
        <w:rPr/>
        <w:t>intestinal</w:t>
      </w:r>
      <w:r>
        <w:rPr>
          <w:spacing w:val="43"/>
        </w:rPr>
        <w:t> </w:t>
      </w:r>
      <w:r>
        <w:rPr/>
        <w:t>permeability</w:t>
      </w:r>
      <w:r>
        <w:rPr>
          <w:spacing w:val="37"/>
        </w:rPr>
        <w:t> </w:t>
      </w:r>
      <w:r>
        <w:rPr/>
        <w:t>characteristics.</w:t>
      </w:r>
      <w:r>
        <w:rPr>
          <w:spacing w:val="44"/>
        </w:rPr>
        <w:t> </w:t>
      </w:r>
      <w:r>
        <w:rPr/>
        <w:t>Through</w:t>
      </w:r>
      <w:r>
        <w:rPr>
          <w:spacing w:val="41"/>
        </w:rPr>
        <w:t> </w:t>
      </w:r>
      <w:r>
        <w:rPr/>
        <w:t>a</w:t>
      </w:r>
      <w:r>
        <w:rPr>
          <w:spacing w:val="43"/>
        </w:rPr>
        <w:t> </w:t>
      </w:r>
      <w:r>
        <w:rPr/>
        <w:t>combination</w:t>
      </w:r>
      <w:r>
        <w:rPr>
          <w:spacing w:val="42"/>
        </w:rPr>
        <w:t> </w:t>
      </w:r>
      <w:r>
        <w:rPr/>
        <w:t>of</w:t>
      </w:r>
      <w:r>
        <w:rPr>
          <w:spacing w:val="41"/>
        </w:rPr>
        <w:t> </w:t>
      </w:r>
      <w:r>
        <w:rPr/>
        <w:t>these</w:t>
      </w:r>
      <w:r>
        <w:rPr>
          <w:spacing w:val="41"/>
        </w:rPr>
        <w:t> </w:t>
      </w:r>
      <w:r>
        <w:rPr/>
        <w:t>factors</w:t>
      </w:r>
      <w:r>
        <w:rPr>
          <w:spacing w:val="42"/>
        </w:rPr>
        <w:t> </w:t>
      </w:r>
      <w:r>
        <w:rPr>
          <w:spacing w:val="-5"/>
        </w:rPr>
        <w:t>and</w:t>
      </w:r>
    </w:p>
    <w:p>
      <w:pPr>
        <w:spacing w:after="0" w:line="480" w:lineRule="auto"/>
        <w:jc w:val="both"/>
        <w:sectPr>
          <w:pgSz w:w="12240" w:h="15840"/>
          <w:pgMar w:header="0" w:footer="1068" w:top="1540" w:bottom="1260" w:left="1420" w:right="440"/>
        </w:sectPr>
      </w:pPr>
    </w:p>
    <w:p>
      <w:pPr>
        <w:pStyle w:val="BodyText"/>
        <w:spacing w:line="480" w:lineRule="auto" w:before="72"/>
        <w:ind w:left="380" w:right="1263"/>
        <w:jc w:val="both"/>
      </w:pPr>
      <w:r>
        <w:rPr/>
        <w:t>physiological parameters, it is possible to understand the absorption behavior of a drug in the gastrointestinal tract, thus contributing to cost and time reductions in drug development, quality control as well as reducing exposure of human subjects during </w:t>
      </w:r>
      <w:r>
        <w:rPr>
          <w:i/>
        </w:rPr>
        <w:t>in vivo </w:t>
      </w:r>
      <w:r>
        <w:rPr/>
        <w:t>trials while screening (Brahmankar and Jaiswal, 2009).</w:t>
      </w:r>
      <w:r>
        <w:rPr>
          <w:spacing w:val="40"/>
        </w:rPr>
        <w:t> </w:t>
      </w:r>
      <w:r>
        <w:rPr/>
        <w:t>Solubility is attained by determining the equilibrium under conditions of physiological pH, while different</w:t>
      </w:r>
      <w:r>
        <w:rPr>
          <w:spacing w:val="40"/>
        </w:rPr>
        <w:t> </w:t>
      </w:r>
      <w:r>
        <w:rPr/>
        <w:t>methods may be employed for evaluating permeability. On the other hand, the intrinsic dissolution rate (IDR), may present greater correlation to the </w:t>
      </w:r>
      <w:r>
        <w:rPr>
          <w:i/>
        </w:rPr>
        <w:t>in vivo </w:t>
      </w:r>
      <w:r>
        <w:rPr/>
        <w:t>dissolution dynamic than the solubility test.</w:t>
      </w:r>
    </w:p>
    <w:p>
      <w:pPr>
        <w:pStyle w:val="BodyText"/>
        <w:spacing w:line="480" w:lineRule="auto" w:before="138"/>
        <w:ind w:left="380" w:right="1264"/>
        <w:jc w:val="both"/>
      </w:pPr>
      <w:r>
        <w:rPr/>
        <w:t>The bioavailability of a certain drug contained in a dosage form depends on a series of factors, including the physicochemical characteristics of its formulation and the physiological state of the patient’s gastrointestinal tract, is very important for successful treatment (Zhu </w:t>
      </w:r>
      <w:r>
        <w:rPr>
          <w:i/>
        </w:rPr>
        <w:t>et al</w:t>
      </w:r>
      <w:r>
        <w:rPr>
          <w:b/>
          <w:i/>
        </w:rPr>
        <w:t>., </w:t>
      </w:r>
      <w:r>
        <w:rPr/>
        <w:t>2009).There exist several characteristic properties relating to the absorption process that are worth emphasizing which include the biopharmaceutical</w:t>
      </w:r>
      <w:r>
        <w:rPr>
          <w:spacing w:val="40"/>
        </w:rPr>
        <w:t> </w:t>
      </w:r>
      <w:r>
        <w:rPr/>
        <w:t>factors viz solubility, dissolution, chemical stability, permeability, and first-pass effect. Pharmaceutical factors viz formulation, dosage form. Physiological factors viz renal clearance, biological half-life, protein binding and volume of distribution, pH, enzymes and intestinal motility. (These control the rate</w:t>
      </w:r>
      <w:r>
        <w:rPr>
          <w:spacing w:val="-1"/>
        </w:rPr>
        <w:t> </w:t>
      </w:r>
      <w:r>
        <w:rPr/>
        <w:t>and the extent to which the drug reaches the site of action which in turn leads to the evaluation of solubility, permeability as well as physicochemical parameters during new drug development. In 1995, (BCS) was proposed by Amidon and his collaborators to facilitate this work. This system considers that the dissolution and intestinal permeability of the active substance are the fundamental parameters in the rate and extent of absorption. Drugs are organized into four classes according</w:t>
      </w:r>
      <w:r>
        <w:rPr>
          <w:spacing w:val="63"/>
        </w:rPr>
        <w:t> </w:t>
      </w:r>
      <w:r>
        <w:rPr/>
        <w:t>to</w:t>
      </w:r>
      <w:r>
        <w:rPr>
          <w:spacing w:val="69"/>
        </w:rPr>
        <w:t> </w:t>
      </w:r>
      <w:r>
        <w:rPr/>
        <w:t>their</w:t>
      </w:r>
      <w:r>
        <w:rPr>
          <w:spacing w:val="68"/>
        </w:rPr>
        <w:t> </w:t>
      </w:r>
      <w:r>
        <w:rPr/>
        <w:t>solubility</w:t>
      </w:r>
      <w:r>
        <w:rPr>
          <w:spacing w:val="62"/>
        </w:rPr>
        <w:t> </w:t>
      </w:r>
      <w:r>
        <w:rPr/>
        <w:t>and</w:t>
      </w:r>
      <w:r>
        <w:rPr>
          <w:spacing w:val="69"/>
        </w:rPr>
        <w:t> </w:t>
      </w:r>
      <w:r>
        <w:rPr/>
        <w:t>permeability</w:t>
      </w:r>
      <w:r>
        <w:rPr>
          <w:spacing w:val="63"/>
        </w:rPr>
        <w:t> </w:t>
      </w:r>
      <w:r>
        <w:rPr/>
        <w:t>characteristics.</w:t>
      </w:r>
      <w:r>
        <w:rPr>
          <w:spacing w:val="75"/>
        </w:rPr>
        <w:t> </w:t>
      </w:r>
      <w:r>
        <w:rPr/>
        <w:t>(Amidon</w:t>
      </w:r>
      <w:r>
        <w:rPr>
          <w:spacing w:val="73"/>
        </w:rPr>
        <w:t> </w:t>
      </w:r>
      <w:r>
        <w:rPr>
          <w:i/>
        </w:rPr>
        <w:t>et</w:t>
      </w:r>
      <w:r>
        <w:rPr>
          <w:i/>
          <w:spacing w:val="70"/>
        </w:rPr>
        <w:t> </w:t>
      </w:r>
      <w:r>
        <w:rPr>
          <w:i/>
        </w:rPr>
        <w:t>al</w:t>
      </w:r>
      <w:r>
        <w:rPr/>
        <w:t>.,</w:t>
      </w:r>
      <w:r>
        <w:rPr>
          <w:spacing w:val="69"/>
        </w:rPr>
        <w:t> </w:t>
      </w:r>
      <w:r>
        <w:rPr>
          <w:spacing w:val="-2"/>
        </w:rPr>
        <w:t>1995).</w:t>
      </w:r>
    </w:p>
    <w:p>
      <w:pPr>
        <w:spacing w:after="0" w:line="480" w:lineRule="auto"/>
        <w:jc w:val="both"/>
        <w:sectPr>
          <w:pgSz w:w="12240" w:h="15840"/>
          <w:pgMar w:header="0" w:footer="1068" w:top="1540" w:bottom="1260" w:left="1420" w:right="440"/>
        </w:sectPr>
      </w:pPr>
    </w:p>
    <w:p>
      <w:pPr>
        <w:pStyle w:val="BodyText"/>
        <w:spacing w:line="480" w:lineRule="auto" w:before="72"/>
        <w:ind w:left="380" w:right="1268"/>
        <w:jc w:val="both"/>
      </w:pPr>
      <w:r>
        <w:rPr/>
        <w:t>According to the BCS, different methods can be used to evaluate solubility, intestinal permeability, and </w:t>
      </w:r>
      <w:r>
        <w:rPr>
          <w:i/>
        </w:rPr>
        <w:t>in</w:t>
      </w:r>
      <w:r>
        <w:rPr>
          <w:i/>
          <w:spacing w:val="-1"/>
        </w:rPr>
        <w:t> </w:t>
      </w:r>
      <w:r>
        <w:rPr>
          <w:i/>
        </w:rPr>
        <w:t>vitro </w:t>
      </w:r>
      <w:r>
        <w:rPr/>
        <w:t>dissolution</w:t>
      </w:r>
      <w:r>
        <w:rPr>
          <w:spacing w:val="-1"/>
        </w:rPr>
        <w:t> </w:t>
      </w:r>
      <w:r>
        <w:rPr/>
        <w:t>in</w:t>
      </w:r>
      <w:r>
        <w:rPr>
          <w:spacing w:val="-1"/>
        </w:rPr>
        <w:t> </w:t>
      </w:r>
      <w:r>
        <w:rPr/>
        <w:t>the</w:t>
      </w:r>
      <w:r>
        <w:rPr>
          <w:spacing w:val="-2"/>
        </w:rPr>
        <w:t> </w:t>
      </w:r>
      <w:r>
        <w:rPr/>
        <w:t>classification</w:t>
      </w:r>
      <w:r>
        <w:rPr>
          <w:spacing w:val="-1"/>
        </w:rPr>
        <w:t> </w:t>
      </w:r>
      <w:r>
        <w:rPr/>
        <w:t>of</w:t>
      </w:r>
      <w:r>
        <w:rPr>
          <w:spacing w:val="-2"/>
        </w:rPr>
        <w:t> </w:t>
      </w:r>
      <w:r>
        <w:rPr/>
        <w:t>drugs, and</w:t>
      </w:r>
      <w:r>
        <w:rPr>
          <w:spacing w:val="-1"/>
        </w:rPr>
        <w:t> </w:t>
      </w:r>
      <w:r>
        <w:rPr/>
        <w:t>several</w:t>
      </w:r>
      <w:r>
        <w:rPr>
          <w:spacing w:val="-1"/>
        </w:rPr>
        <w:t> </w:t>
      </w:r>
      <w:r>
        <w:rPr/>
        <w:t>of</w:t>
      </w:r>
      <w:r>
        <w:rPr>
          <w:spacing w:val="-2"/>
        </w:rPr>
        <w:t> </w:t>
      </w:r>
      <w:r>
        <w:rPr/>
        <w:t>them</w:t>
      </w:r>
      <w:r>
        <w:rPr>
          <w:spacing w:val="-1"/>
        </w:rPr>
        <w:t> </w:t>
      </w:r>
      <w:r>
        <w:rPr/>
        <w:t>are recommended by the FDA.</w:t>
      </w:r>
      <w:r>
        <w:rPr>
          <w:spacing w:val="80"/>
        </w:rPr>
        <w:t> </w:t>
      </w:r>
      <w:r>
        <w:rPr/>
        <w:t>Accordingly, drugs may be divided into four groups</w:t>
      </w:r>
      <w:r>
        <w:rPr>
          <w:spacing w:val="40"/>
        </w:rPr>
        <w:t> </w:t>
      </w:r>
      <w:r>
        <w:rPr/>
        <w:t>according to their solubility and permeability each of which presents special</w:t>
      </w:r>
      <w:r>
        <w:rPr>
          <w:spacing w:val="40"/>
        </w:rPr>
        <w:t> </w:t>
      </w:r>
      <w:r>
        <w:rPr/>
        <w:t>characteristics (Roa </w:t>
      </w:r>
      <w:r>
        <w:rPr>
          <w:i/>
        </w:rPr>
        <w:t>et al., </w:t>
      </w:r>
      <w:r>
        <w:rPr/>
        <w:t>2011).</w:t>
      </w:r>
    </w:p>
    <w:p>
      <w:pPr>
        <w:pStyle w:val="Heading2"/>
        <w:numPr>
          <w:ilvl w:val="2"/>
          <w:numId w:val="16"/>
        </w:numPr>
        <w:tabs>
          <w:tab w:pos="979" w:val="left" w:leader="none"/>
        </w:tabs>
        <w:spacing w:line="240" w:lineRule="auto" w:before="5" w:after="0"/>
        <w:ind w:left="979" w:right="0" w:hanging="599"/>
        <w:jc w:val="both"/>
      </w:pPr>
      <w:bookmarkStart w:name="_TOC_250051" w:id="33"/>
      <w:r>
        <w:rPr/>
        <w:t>Class </w:t>
      </w:r>
      <w:bookmarkEnd w:id="33"/>
      <w:r>
        <w:rPr>
          <w:spacing w:val="-10"/>
        </w:rPr>
        <w:t>I</w:t>
      </w:r>
    </w:p>
    <w:p>
      <w:pPr>
        <w:pStyle w:val="BodyText"/>
        <w:spacing w:line="480" w:lineRule="auto" w:before="272"/>
        <w:ind w:left="380" w:right="1268" w:firstLine="60"/>
        <w:jc w:val="both"/>
      </w:pPr>
      <w:r>
        <w:rPr/>
        <w:t>Drugs in this class have good permeability unless they are unstable in the gastrointestinal tract or if they undergo first-pass metabolism. Because they also have good solubility, the limiting factor for their absorption is the gastric emptying time. Immediate-release solid dosage forms that contain drugs with these characteristics are potential candidates for biowaivers from bioequivalence studies.</w:t>
      </w:r>
    </w:p>
    <w:p>
      <w:pPr>
        <w:pStyle w:val="Heading2"/>
        <w:numPr>
          <w:ilvl w:val="2"/>
          <w:numId w:val="16"/>
        </w:numPr>
        <w:tabs>
          <w:tab w:pos="979" w:val="left" w:leader="none"/>
        </w:tabs>
        <w:spacing w:line="240" w:lineRule="auto" w:before="5" w:after="0"/>
        <w:ind w:left="979" w:right="0" w:hanging="599"/>
        <w:jc w:val="both"/>
      </w:pPr>
      <w:bookmarkStart w:name="_TOC_250050" w:id="34"/>
      <w:r>
        <w:rPr/>
        <w:t>Class </w:t>
      </w:r>
      <w:bookmarkEnd w:id="34"/>
      <w:r>
        <w:rPr>
          <w:spacing w:val="-5"/>
        </w:rPr>
        <w:t>II</w:t>
      </w:r>
    </w:p>
    <w:p>
      <w:pPr>
        <w:pStyle w:val="BodyText"/>
        <w:spacing w:line="480" w:lineRule="auto" w:before="272"/>
        <w:ind w:left="380" w:right="1264" w:firstLine="60"/>
        <w:jc w:val="both"/>
      </w:pPr>
      <w:r>
        <w:rPr/>
        <w:t>Despite having good permeability, the drugs classified in this group present solubility issues, thus dissolution becomes a limiting factor in absorption. The use of well-defined formulations or pharmaceutical techniques, such as complexation with cyclodextrins or reduction in particle size, among others, may facilitate dissolution and consequently increase oral bioavailability. However, </w:t>
      </w:r>
      <w:r>
        <w:rPr>
          <w:i/>
        </w:rPr>
        <w:t>in vitro </w:t>
      </w:r>
      <w:r>
        <w:rPr/>
        <w:t>dissolution tests should mirror the </w:t>
      </w:r>
      <w:r>
        <w:rPr>
          <w:i/>
        </w:rPr>
        <w:t>in vivo </w:t>
      </w:r>
      <w:r>
        <w:rPr/>
        <w:t>dissolution properties perfectly.</w:t>
      </w:r>
    </w:p>
    <w:p>
      <w:pPr>
        <w:pStyle w:val="Heading2"/>
        <w:numPr>
          <w:ilvl w:val="2"/>
          <w:numId w:val="16"/>
        </w:numPr>
        <w:tabs>
          <w:tab w:pos="979" w:val="left" w:leader="none"/>
        </w:tabs>
        <w:spacing w:line="240" w:lineRule="auto" w:before="5" w:after="0"/>
        <w:ind w:left="979" w:right="0" w:hanging="599"/>
        <w:jc w:val="both"/>
      </w:pPr>
      <w:bookmarkStart w:name="_TOC_250049" w:id="35"/>
      <w:r>
        <w:rPr/>
        <w:t>Class </w:t>
      </w:r>
      <w:bookmarkEnd w:id="35"/>
      <w:r>
        <w:rPr>
          <w:spacing w:val="-5"/>
        </w:rPr>
        <w:t>III</w:t>
      </w:r>
    </w:p>
    <w:p>
      <w:pPr>
        <w:pStyle w:val="BodyText"/>
        <w:spacing w:line="480" w:lineRule="auto" w:before="271"/>
        <w:ind w:left="380" w:right="1267" w:firstLine="60"/>
        <w:jc w:val="both"/>
      </w:pPr>
      <w:r>
        <w:rPr/>
        <w:t>This comprises drugs with good solubility and reduced permeability; the latter is considered a limiting factor for absorption. It is important that the dosage forms that contain</w:t>
      </w:r>
      <w:r>
        <w:rPr>
          <w:spacing w:val="26"/>
        </w:rPr>
        <w:t> </w:t>
      </w:r>
      <w:r>
        <w:rPr/>
        <w:t>this</w:t>
      </w:r>
      <w:r>
        <w:rPr>
          <w:spacing w:val="28"/>
        </w:rPr>
        <w:t> </w:t>
      </w:r>
      <w:r>
        <w:rPr/>
        <w:t>type</w:t>
      </w:r>
      <w:r>
        <w:rPr>
          <w:spacing w:val="27"/>
        </w:rPr>
        <w:t> </w:t>
      </w:r>
      <w:r>
        <w:rPr/>
        <w:t>of</w:t>
      </w:r>
      <w:r>
        <w:rPr>
          <w:spacing w:val="27"/>
        </w:rPr>
        <w:t> </w:t>
      </w:r>
      <w:r>
        <w:rPr/>
        <w:t>drug</w:t>
      </w:r>
      <w:r>
        <w:rPr>
          <w:spacing w:val="28"/>
        </w:rPr>
        <w:t> </w:t>
      </w:r>
      <w:r>
        <w:rPr/>
        <w:t>release</w:t>
      </w:r>
      <w:r>
        <w:rPr>
          <w:spacing w:val="27"/>
        </w:rPr>
        <w:t> </w:t>
      </w:r>
      <w:r>
        <w:rPr/>
        <w:t>it</w:t>
      </w:r>
      <w:r>
        <w:rPr>
          <w:spacing w:val="29"/>
        </w:rPr>
        <w:t> </w:t>
      </w:r>
      <w:r>
        <w:rPr/>
        <w:t>quickly</w:t>
      </w:r>
      <w:r>
        <w:rPr>
          <w:spacing w:val="23"/>
        </w:rPr>
        <w:t> </w:t>
      </w:r>
      <w:r>
        <w:rPr/>
        <w:t>to</w:t>
      </w:r>
      <w:r>
        <w:rPr>
          <w:spacing w:val="31"/>
        </w:rPr>
        <w:t> </w:t>
      </w:r>
      <w:r>
        <w:rPr/>
        <w:t>maximize</w:t>
      </w:r>
      <w:r>
        <w:rPr>
          <w:spacing w:val="27"/>
        </w:rPr>
        <w:t> </w:t>
      </w:r>
      <w:r>
        <w:rPr/>
        <w:t>contact</w:t>
      </w:r>
      <w:r>
        <w:rPr>
          <w:spacing w:val="29"/>
        </w:rPr>
        <w:t> </w:t>
      </w:r>
      <w:r>
        <w:rPr/>
        <w:t>time</w:t>
      </w:r>
      <w:r>
        <w:rPr>
          <w:spacing w:val="30"/>
        </w:rPr>
        <w:t> </w:t>
      </w:r>
      <w:r>
        <w:rPr/>
        <w:t>with</w:t>
      </w:r>
      <w:r>
        <w:rPr>
          <w:spacing w:val="29"/>
        </w:rPr>
        <w:t> </w:t>
      </w:r>
      <w:r>
        <w:rPr/>
        <w:t>the</w:t>
      </w:r>
      <w:r>
        <w:rPr>
          <w:spacing w:val="37"/>
        </w:rPr>
        <w:t> </w:t>
      </w:r>
      <w:r>
        <w:rPr>
          <w:spacing w:val="-2"/>
        </w:rPr>
        <w:t>intestinal</w:t>
      </w:r>
    </w:p>
    <w:p>
      <w:pPr>
        <w:spacing w:after="0" w:line="480" w:lineRule="auto"/>
        <w:jc w:val="both"/>
        <w:sectPr>
          <w:pgSz w:w="12240" w:h="15840"/>
          <w:pgMar w:header="0" w:footer="1068" w:top="1540" w:bottom="1260" w:left="1420" w:right="440"/>
        </w:sectPr>
      </w:pPr>
    </w:p>
    <w:p>
      <w:pPr>
        <w:pStyle w:val="BodyText"/>
        <w:spacing w:line="480" w:lineRule="auto" w:before="72"/>
        <w:ind w:left="380" w:right="1275"/>
        <w:jc w:val="both"/>
      </w:pPr>
      <w:r>
        <w:rPr/>
        <w:t>epithelium; however, absorption may be affected by the influence of physiological variables, such as intestinal residence time and luminal content.</w:t>
      </w:r>
    </w:p>
    <w:p>
      <w:pPr>
        <w:pStyle w:val="Heading2"/>
        <w:numPr>
          <w:ilvl w:val="2"/>
          <w:numId w:val="17"/>
        </w:numPr>
        <w:tabs>
          <w:tab w:pos="919" w:val="left" w:leader="none"/>
        </w:tabs>
        <w:spacing w:line="240" w:lineRule="auto" w:before="5" w:after="0"/>
        <w:ind w:left="919" w:right="0" w:hanging="539"/>
        <w:jc w:val="both"/>
      </w:pPr>
      <w:bookmarkStart w:name="_TOC_250048" w:id="36"/>
      <w:r>
        <w:rPr/>
        <w:t>Class </w:t>
      </w:r>
      <w:bookmarkEnd w:id="36"/>
      <w:r>
        <w:rPr>
          <w:spacing w:val="-5"/>
        </w:rPr>
        <w:t>IV</w:t>
      </w:r>
    </w:p>
    <w:p>
      <w:pPr>
        <w:pStyle w:val="BodyText"/>
        <w:spacing w:line="480" w:lineRule="auto" w:before="271"/>
        <w:ind w:left="380" w:right="1268"/>
        <w:jc w:val="both"/>
      </w:pPr>
      <w:r>
        <w:rPr/>
        <w:t>This is the class that researchers find most challenging, because these drugs present oral bioavailability issues due to reduced solubility and permeability.</w:t>
      </w:r>
    </w:p>
    <w:p>
      <w:pPr>
        <w:pStyle w:val="BodyText"/>
        <w:spacing w:line="480" w:lineRule="auto"/>
        <w:ind w:left="380" w:right="1264" w:firstLine="60"/>
        <w:jc w:val="both"/>
      </w:pPr>
      <w:r>
        <w:rPr/>
        <w:t>Another point to be considered is the difficulty in correctly determining solubility, whether through experimental variables such as temperature variation, filtration, and quantity of material or factors inherent to the substance itself, which can affect the result and generate considerable data dispersion. Among these factors, alterations in the crystalline structure (solvates, hydrates, and polymorphs) or the formation of salts during the test can be cited but the main purpose of the BCS is to create a regulatory tool to substitute several bioequivalence tests for </w:t>
      </w:r>
      <w:r>
        <w:rPr>
          <w:i/>
        </w:rPr>
        <w:t>in vitro </w:t>
      </w:r>
      <w:r>
        <w:rPr/>
        <w:t>dissolution tests (Amidon </w:t>
      </w:r>
      <w:r>
        <w:rPr>
          <w:i/>
        </w:rPr>
        <w:t>et al., </w:t>
      </w:r>
      <w:r>
        <w:rPr/>
        <w:t>1995).</w:t>
      </w:r>
    </w:p>
    <w:p>
      <w:pPr>
        <w:pStyle w:val="ListParagraph"/>
        <w:numPr>
          <w:ilvl w:val="1"/>
          <w:numId w:val="16"/>
        </w:numPr>
        <w:tabs>
          <w:tab w:pos="2578" w:val="left" w:leader="none"/>
        </w:tabs>
        <w:spacing w:line="240" w:lineRule="auto" w:before="246" w:after="0"/>
        <w:ind w:left="2578" w:right="0" w:hanging="360"/>
        <w:jc w:val="both"/>
        <w:rPr>
          <w:b/>
          <w:sz w:val="24"/>
        </w:rPr>
      </w:pPr>
      <w:r>
        <w:rPr>
          <w:b/>
          <w:i/>
          <w:sz w:val="24"/>
        </w:rPr>
        <w:t>In</w:t>
      </w:r>
      <w:r>
        <w:rPr>
          <w:b/>
          <w:i/>
          <w:spacing w:val="-2"/>
          <w:sz w:val="24"/>
        </w:rPr>
        <w:t> </w:t>
      </w:r>
      <w:r>
        <w:rPr>
          <w:b/>
          <w:i/>
          <w:sz w:val="24"/>
        </w:rPr>
        <w:t>Vitro</w:t>
      </w:r>
      <w:r>
        <w:rPr>
          <w:b/>
          <w:i/>
          <w:spacing w:val="-2"/>
          <w:sz w:val="24"/>
        </w:rPr>
        <w:t> </w:t>
      </w:r>
      <w:r>
        <w:rPr>
          <w:b/>
          <w:sz w:val="24"/>
        </w:rPr>
        <w:t>Quality</w:t>
      </w:r>
      <w:r>
        <w:rPr>
          <w:b/>
          <w:spacing w:val="-2"/>
          <w:sz w:val="24"/>
        </w:rPr>
        <w:t> </w:t>
      </w:r>
      <w:r>
        <w:rPr>
          <w:b/>
          <w:sz w:val="24"/>
        </w:rPr>
        <w:t>Assessment</w:t>
      </w:r>
      <w:r>
        <w:rPr>
          <w:b/>
          <w:spacing w:val="-2"/>
          <w:sz w:val="24"/>
        </w:rPr>
        <w:t> </w:t>
      </w:r>
      <w:r>
        <w:rPr>
          <w:b/>
          <w:sz w:val="24"/>
        </w:rPr>
        <w:t>of</w:t>
      </w:r>
      <w:r>
        <w:rPr>
          <w:b/>
          <w:spacing w:val="-2"/>
          <w:sz w:val="24"/>
        </w:rPr>
        <w:t> </w:t>
      </w:r>
      <w:r>
        <w:rPr>
          <w:b/>
          <w:sz w:val="24"/>
        </w:rPr>
        <w:t>Drug</w:t>
      </w:r>
      <w:r>
        <w:rPr>
          <w:b/>
          <w:spacing w:val="-1"/>
          <w:sz w:val="24"/>
        </w:rPr>
        <w:t> </w:t>
      </w:r>
      <w:r>
        <w:rPr>
          <w:b/>
          <w:spacing w:val="-2"/>
          <w:sz w:val="24"/>
        </w:rPr>
        <w:t>Products</w:t>
      </w:r>
    </w:p>
    <w:p>
      <w:pPr>
        <w:pStyle w:val="BodyText"/>
        <w:spacing w:line="480" w:lineRule="auto" w:before="272"/>
        <w:ind w:left="380" w:right="1264"/>
        <w:jc w:val="both"/>
      </w:pPr>
      <w:r>
        <w:rPr/>
        <w:t>The</w:t>
      </w:r>
      <w:r>
        <w:rPr>
          <w:spacing w:val="-2"/>
        </w:rPr>
        <w:t> </w:t>
      </w:r>
      <w:r>
        <w:rPr/>
        <w:t>quality</w:t>
      </w:r>
      <w:r>
        <w:rPr>
          <w:spacing w:val="-5"/>
        </w:rPr>
        <w:t> </w:t>
      </w:r>
      <w:r>
        <w:rPr/>
        <w:t>of</w:t>
      </w:r>
      <w:r>
        <w:rPr>
          <w:spacing w:val="-1"/>
        </w:rPr>
        <w:t> </w:t>
      </w:r>
      <w:r>
        <w:rPr/>
        <w:t>drug</w:t>
      </w:r>
      <w:r>
        <w:rPr>
          <w:spacing w:val="-3"/>
        </w:rPr>
        <w:t> </w:t>
      </w:r>
      <w:r>
        <w:rPr/>
        <w:t>product especially</w:t>
      </w:r>
      <w:r>
        <w:rPr>
          <w:spacing w:val="-5"/>
        </w:rPr>
        <w:t> </w:t>
      </w:r>
      <w:r>
        <w:rPr/>
        <w:t>oral solid dosage</w:t>
      </w:r>
      <w:r>
        <w:rPr>
          <w:spacing w:val="-1"/>
        </w:rPr>
        <w:t> </w:t>
      </w:r>
      <w:r>
        <w:rPr/>
        <w:t>forms such</w:t>
      </w:r>
      <w:r>
        <w:rPr>
          <w:spacing w:val="-1"/>
        </w:rPr>
        <w:t> </w:t>
      </w:r>
      <w:r>
        <w:rPr/>
        <w:t>as tablets and capsules are often assessed by carrying out certain </w:t>
      </w:r>
      <w:r>
        <w:rPr>
          <w:i/>
        </w:rPr>
        <w:t>in vitro </w:t>
      </w:r>
      <w:r>
        <w:rPr/>
        <w:t>tests as contained in the monographs of various pharmacopoeias. Such test include: assay</w:t>
      </w:r>
      <w:r>
        <w:rPr>
          <w:spacing w:val="-1"/>
        </w:rPr>
        <w:t> </w:t>
      </w:r>
      <w:r>
        <w:rPr/>
        <w:t>of active ingredients; weight uniformity; content uniformity; hardness; friability; disintegration and dissolution tests. These are to ensure batch to batch uniformity of quality during manufacturing processes. The general assumption was that if the physical and chemical integrity</w:t>
      </w:r>
      <w:r>
        <w:rPr>
          <w:spacing w:val="-2"/>
        </w:rPr>
        <w:t> </w:t>
      </w:r>
      <w:r>
        <w:rPr/>
        <w:t>of a drug product were assured, satisfactory pharmacologic or therapeutic performance would be obtained (Shargel </w:t>
      </w:r>
      <w:r>
        <w:rPr>
          <w:i/>
        </w:rPr>
        <w:t>et al</w:t>
      </w:r>
      <w:r>
        <w:rPr/>
        <w:t>., </w:t>
      </w:r>
      <w:r>
        <w:rPr>
          <w:spacing w:val="-2"/>
        </w:rPr>
        <w:t>2007).</w:t>
      </w:r>
    </w:p>
    <w:p>
      <w:pPr>
        <w:spacing w:after="0" w:line="480" w:lineRule="auto"/>
        <w:jc w:val="both"/>
        <w:sectPr>
          <w:pgSz w:w="12240" w:h="15840"/>
          <w:pgMar w:header="0" w:footer="1068" w:top="1540" w:bottom="1260" w:left="1420" w:right="440"/>
        </w:sectPr>
      </w:pPr>
    </w:p>
    <w:p>
      <w:pPr>
        <w:pStyle w:val="Heading2"/>
        <w:numPr>
          <w:ilvl w:val="2"/>
          <w:numId w:val="18"/>
        </w:numPr>
        <w:tabs>
          <w:tab w:pos="920" w:val="left" w:leader="none"/>
        </w:tabs>
        <w:spacing w:line="240" w:lineRule="auto" w:before="77" w:after="0"/>
        <w:ind w:left="920" w:right="0" w:hanging="540"/>
        <w:jc w:val="both"/>
      </w:pPr>
      <w:bookmarkStart w:name="_TOC_250047" w:id="37"/>
      <w:r>
        <w:rPr/>
        <w:t>Intrinsic</w:t>
      </w:r>
      <w:r>
        <w:rPr>
          <w:spacing w:val="-1"/>
        </w:rPr>
        <w:t> </w:t>
      </w:r>
      <w:bookmarkEnd w:id="37"/>
      <w:r>
        <w:rPr>
          <w:spacing w:val="-2"/>
        </w:rPr>
        <w:t>dissolution</w:t>
      </w:r>
    </w:p>
    <w:p>
      <w:pPr>
        <w:pStyle w:val="BodyText"/>
        <w:spacing w:line="480" w:lineRule="auto" w:before="271"/>
        <w:ind w:left="380" w:right="1264"/>
        <w:jc w:val="both"/>
      </w:pPr>
      <w:r>
        <w:rPr/>
        <w:t>Dissolution test is an </w:t>
      </w:r>
      <w:r>
        <w:rPr>
          <w:i/>
        </w:rPr>
        <w:t>in vitro </w:t>
      </w:r>
      <w:r>
        <w:rPr/>
        <w:t>physicochemical testing of solid oral dosage form. It determines the amount of active ingredient</w:t>
      </w:r>
      <w:r>
        <w:rPr>
          <w:sz w:val="22"/>
        </w:rPr>
        <w:t>(s) </w:t>
      </w:r>
      <w:r>
        <w:rPr/>
        <w:t>released from a solid oral dosage from, such as from tablets or capsules, using a known volume of dissolution medium, with a predetermined length of time. The general principle of dissolution test is that the solid dosage form is tested under uniform agitation in an attempt to achieve dissolution. Agitation is accomplished by either using stirrer inside the apparatus or rotating the container holding the dosage form. </w:t>
      </w:r>
      <w:r>
        <w:rPr>
          <w:i/>
        </w:rPr>
        <w:t>In vitro </w:t>
      </w:r>
      <w:r>
        <w:rPr/>
        <w:t>dissolution test can be used to guide formulation development, identify critical manufacturing variables, monitor formulation quality from batch to batch, predict </w:t>
      </w:r>
      <w:r>
        <w:rPr>
          <w:i/>
        </w:rPr>
        <w:t>in vitro </w:t>
      </w:r>
      <w:r>
        <w:rPr/>
        <w:t>performance, monitor manufacturing process, assure batch to batch product performance and serve as a surrogate for bioavailability and bioequivalence. Skinner and Kanfer (1992) suggested that the main physicochemical aspects pertaining to drug absorption are the intrinsic dissolution rate and solubility. Because these two parameters are highly dependent on pH, their influence on absorption could easily be determined by the entire pH range of the gastrointestinal tract. Intrinsic dissolution is the dissolution of a pure active substance, and the determination of the dissolution rate can be important during the development of new molecules, because with small</w:t>
      </w:r>
      <w:r>
        <w:rPr>
          <w:spacing w:val="-1"/>
        </w:rPr>
        <w:t> </w:t>
      </w:r>
      <w:r>
        <w:rPr/>
        <w:t>quantities</w:t>
      </w:r>
      <w:r>
        <w:rPr>
          <w:spacing w:val="-1"/>
        </w:rPr>
        <w:t> </w:t>
      </w:r>
      <w:r>
        <w:rPr/>
        <w:t>of</w:t>
      </w:r>
      <w:r>
        <w:rPr>
          <w:spacing w:val="-4"/>
        </w:rPr>
        <w:t> </w:t>
      </w:r>
      <w:r>
        <w:rPr/>
        <w:t>material,</w:t>
      </w:r>
      <w:r>
        <w:rPr>
          <w:spacing w:val="-1"/>
        </w:rPr>
        <w:t> </w:t>
      </w:r>
      <w:r>
        <w:rPr/>
        <w:t>it</w:t>
      </w:r>
      <w:r>
        <w:rPr>
          <w:spacing w:val="-1"/>
        </w:rPr>
        <w:t> </w:t>
      </w:r>
      <w:r>
        <w:rPr/>
        <w:t>is</w:t>
      </w:r>
      <w:r>
        <w:rPr>
          <w:spacing w:val="-3"/>
        </w:rPr>
        <w:t> </w:t>
      </w:r>
      <w:r>
        <w:rPr/>
        <w:t>possible</w:t>
      </w:r>
      <w:r>
        <w:rPr>
          <w:spacing w:val="-3"/>
        </w:rPr>
        <w:t> </w:t>
      </w:r>
      <w:r>
        <w:rPr/>
        <w:t>to</w:t>
      </w:r>
      <w:r>
        <w:rPr>
          <w:spacing w:val="-1"/>
        </w:rPr>
        <w:t> </w:t>
      </w:r>
      <w:r>
        <w:rPr/>
        <w:t>execute</w:t>
      </w:r>
      <w:r>
        <w:rPr>
          <w:spacing w:val="-2"/>
        </w:rPr>
        <w:t> </w:t>
      </w:r>
      <w:r>
        <w:rPr/>
        <w:t>the</w:t>
      </w:r>
      <w:r>
        <w:rPr>
          <w:spacing w:val="-2"/>
        </w:rPr>
        <w:t> </w:t>
      </w:r>
      <w:r>
        <w:rPr/>
        <w:t>test</w:t>
      </w:r>
      <w:r>
        <w:rPr>
          <w:spacing w:val="-1"/>
        </w:rPr>
        <w:t> </w:t>
      </w:r>
      <w:r>
        <w:rPr/>
        <w:t>and</w:t>
      </w:r>
      <w:r>
        <w:rPr>
          <w:spacing w:val="-1"/>
        </w:rPr>
        <w:t> </w:t>
      </w:r>
      <w:r>
        <w:rPr/>
        <w:t>predict</w:t>
      </w:r>
      <w:r>
        <w:rPr>
          <w:spacing w:val="-1"/>
        </w:rPr>
        <w:t> </w:t>
      </w:r>
      <w:r>
        <w:rPr/>
        <w:t>potential</w:t>
      </w:r>
      <w:r>
        <w:rPr>
          <w:spacing w:val="-1"/>
        </w:rPr>
        <w:t> </w:t>
      </w:r>
      <w:r>
        <w:rPr/>
        <w:t>problems (Skinner </w:t>
      </w:r>
      <w:r>
        <w:rPr>
          <w:i/>
        </w:rPr>
        <w:t>et al</w:t>
      </w:r>
      <w:r>
        <w:rPr/>
        <w:t>., 1992).</w:t>
      </w:r>
    </w:p>
    <w:p>
      <w:pPr>
        <w:pStyle w:val="BodyText"/>
        <w:spacing w:line="480" w:lineRule="auto" w:before="139"/>
        <w:ind w:left="380" w:right="1273"/>
        <w:jc w:val="both"/>
      </w:pPr>
      <w:r>
        <w:rPr/>
        <w:t>Accordingly,</w:t>
      </w:r>
      <w:r>
        <w:rPr>
          <w:spacing w:val="-1"/>
        </w:rPr>
        <w:t> </w:t>
      </w:r>
      <w:r>
        <w:rPr/>
        <w:t>the intrinsic</w:t>
      </w:r>
      <w:r>
        <w:rPr>
          <w:spacing w:val="-2"/>
        </w:rPr>
        <w:t> </w:t>
      </w:r>
      <w:r>
        <w:rPr/>
        <w:t>dissolution</w:t>
      </w:r>
      <w:r>
        <w:rPr>
          <w:spacing w:val="-1"/>
        </w:rPr>
        <w:t> </w:t>
      </w:r>
      <w:r>
        <w:rPr/>
        <w:t>rate (IDR) is</w:t>
      </w:r>
      <w:r>
        <w:rPr>
          <w:spacing w:val="-1"/>
        </w:rPr>
        <w:t> </w:t>
      </w:r>
      <w:r>
        <w:rPr/>
        <w:t>defined as</w:t>
      </w:r>
      <w:r>
        <w:rPr>
          <w:spacing w:val="-1"/>
        </w:rPr>
        <w:t> </w:t>
      </w:r>
      <w:r>
        <w:rPr/>
        <w:t>the dissolution</w:t>
      </w:r>
      <w:r>
        <w:rPr>
          <w:spacing w:val="-1"/>
        </w:rPr>
        <w:t> </w:t>
      </w:r>
      <w:r>
        <w:rPr/>
        <w:t>rate of a</w:t>
      </w:r>
      <w:r>
        <w:rPr>
          <w:spacing w:val="-2"/>
        </w:rPr>
        <w:t> </w:t>
      </w:r>
      <w:r>
        <w:rPr/>
        <w:t>pure active</w:t>
      </w:r>
      <w:r>
        <w:rPr>
          <w:spacing w:val="-2"/>
        </w:rPr>
        <w:t> </w:t>
      </w:r>
      <w:r>
        <w:rPr/>
        <w:t>substance,</w:t>
      </w:r>
      <w:r>
        <w:rPr>
          <w:spacing w:val="-2"/>
        </w:rPr>
        <w:t> </w:t>
      </w:r>
      <w:r>
        <w:rPr/>
        <w:t>where</w:t>
      </w:r>
      <w:r>
        <w:rPr>
          <w:spacing w:val="-2"/>
        </w:rPr>
        <w:t> </w:t>
      </w:r>
      <w:r>
        <w:rPr/>
        <w:t>the</w:t>
      </w:r>
      <w:r>
        <w:rPr>
          <w:spacing w:val="-2"/>
        </w:rPr>
        <w:t> </w:t>
      </w:r>
      <w:r>
        <w:rPr/>
        <w:t>conditions</w:t>
      </w:r>
      <w:r>
        <w:rPr>
          <w:spacing w:val="-2"/>
        </w:rPr>
        <w:t> </w:t>
      </w:r>
      <w:r>
        <w:rPr/>
        <w:t>of</w:t>
      </w:r>
      <w:r>
        <w:rPr>
          <w:spacing w:val="-2"/>
        </w:rPr>
        <w:t> </w:t>
      </w:r>
      <w:r>
        <w:rPr/>
        <w:t>surface</w:t>
      </w:r>
      <w:r>
        <w:rPr>
          <w:spacing w:val="-1"/>
        </w:rPr>
        <w:t> </w:t>
      </w:r>
      <w:r>
        <w:rPr/>
        <w:t>area, temperature, agitation,</w:t>
      </w:r>
      <w:r>
        <w:rPr>
          <w:spacing w:val="-2"/>
        </w:rPr>
        <w:t> </w:t>
      </w:r>
      <w:r>
        <w:rPr/>
        <w:t>and</w:t>
      </w:r>
      <w:r>
        <w:rPr>
          <w:spacing w:val="-2"/>
        </w:rPr>
        <w:t> </w:t>
      </w:r>
      <w:r>
        <w:rPr/>
        <w:t>medium pH and ionic strength are all constant. Thus, it is possible to obtain data on the chemical purity</w:t>
      </w:r>
      <w:r>
        <w:rPr>
          <w:spacing w:val="11"/>
        </w:rPr>
        <w:t> </w:t>
      </w:r>
      <w:r>
        <w:rPr/>
        <w:t>and</w:t>
      </w:r>
      <w:r>
        <w:rPr>
          <w:spacing w:val="16"/>
        </w:rPr>
        <w:t> </w:t>
      </w:r>
      <w:r>
        <w:rPr/>
        <w:t>equivalence</w:t>
      </w:r>
      <w:r>
        <w:rPr>
          <w:spacing w:val="16"/>
        </w:rPr>
        <w:t> </w:t>
      </w:r>
      <w:r>
        <w:rPr/>
        <w:t>of</w:t>
      </w:r>
      <w:r>
        <w:rPr>
          <w:spacing w:val="15"/>
        </w:rPr>
        <w:t> </w:t>
      </w:r>
      <w:r>
        <w:rPr/>
        <w:t>drugs</w:t>
      </w:r>
      <w:r>
        <w:rPr>
          <w:spacing w:val="15"/>
        </w:rPr>
        <w:t> </w:t>
      </w:r>
      <w:r>
        <w:rPr/>
        <w:t>from</w:t>
      </w:r>
      <w:r>
        <w:rPr>
          <w:spacing w:val="16"/>
        </w:rPr>
        <w:t> </w:t>
      </w:r>
      <w:r>
        <w:rPr/>
        <w:t>different</w:t>
      </w:r>
      <w:r>
        <w:rPr>
          <w:spacing w:val="16"/>
        </w:rPr>
        <w:t> </w:t>
      </w:r>
      <w:r>
        <w:rPr/>
        <w:t>sources.</w:t>
      </w:r>
      <w:r>
        <w:rPr>
          <w:spacing w:val="16"/>
        </w:rPr>
        <w:t> </w:t>
      </w:r>
      <w:r>
        <w:rPr/>
        <w:t>This</w:t>
      </w:r>
      <w:r>
        <w:rPr>
          <w:spacing w:val="16"/>
        </w:rPr>
        <w:t> </w:t>
      </w:r>
      <w:r>
        <w:rPr/>
        <w:t>information</w:t>
      </w:r>
      <w:r>
        <w:rPr>
          <w:spacing w:val="16"/>
        </w:rPr>
        <w:t> </w:t>
      </w:r>
      <w:r>
        <w:rPr/>
        <w:t>is</w:t>
      </w:r>
      <w:r>
        <w:rPr>
          <w:spacing w:val="16"/>
        </w:rPr>
        <w:t> </w:t>
      </w:r>
      <w:r>
        <w:rPr/>
        <w:t>related</w:t>
      </w:r>
      <w:r>
        <w:rPr>
          <w:spacing w:val="16"/>
        </w:rPr>
        <w:t> </w:t>
      </w:r>
      <w:r>
        <w:rPr/>
        <w:t>to</w:t>
      </w:r>
      <w:r>
        <w:rPr>
          <w:spacing w:val="17"/>
        </w:rPr>
        <w:t> </w:t>
      </w:r>
      <w:r>
        <w:rPr>
          <w:spacing w:val="-5"/>
        </w:rPr>
        <w:t>the</w:t>
      </w:r>
    </w:p>
    <w:p>
      <w:pPr>
        <w:spacing w:after="0" w:line="480" w:lineRule="auto"/>
        <w:jc w:val="both"/>
        <w:sectPr>
          <w:pgSz w:w="12240" w:h="15840"/>
          <w:pgMar w:header="0" w:footer="1068" w:top="1540" w:bottom="1260" w:left="1420" w:right="440"/>
        </w:sectPr>
      </w:pPr>
    </w:p>
    <w:p>
      <w:pPr>
        <w:pStyle w:val="BodyText"/>
        <w:spacing w:line="480" w:lineRule="auto" w:before="72"/>
        <w:ind w:left="380" w:right="1263"/>
        <w:jc w:val="both"/>
      </w:pPr>
      <w:r>
        <w:rPr/>
        <w:t>variability of raw material available on the market, which results from distinctive</w:t>
      </w:r>
      <w:r>
        <w:rPr>
          <w:spacing w:val="40"/>
        </w:rPr>
        <w:t> </w:t>
      </w:r>
      <w:r>
        <w:rPr/>
        <w:t>synthesis processes, especially in the final stages of crystallization, and may lead to different</w:t>
      </w:r>
      <w:r>
        <w:rPr>
          <w:spacing w:val="-1"/>
        </w:rPr>
        <w:t> </w:t>
      </w:r>
      <w:r>
        <w:rPr/>
        <w:t>particle</w:t>
      </w:r>
      <w:r>
        <w:rPr>
          <w:spacing w:val="-2"/>
        </w:rPr>
        <w:t> </w:t>
      </w:r>
      <w:r>
        <w:rPr/>
        <w:t>sizes,</w:t>
      </w:r>
      <w:r>
        <w:rPr>
          <w:spacing w:val="-1"/>
        </w:rPr>
        <w:t> </w:t>
      </w:r>
      <w:r>
        <w:rPr/>
        <w:t>degrees</w:t>
      </w:r>
      <w:r>
        <w:rPr>
          <w:spacing w:val="-1"/>
        </w:rPr>
        <w:t> </w:t>
      </w:r>
      <w:r>
        <w:rPr/>
        <w:t>of</w:t>
      </w:r>
      <w:r>
        <w:rPr>
          <w:spacing w:val="-1"/>
        </w:rPr>
        <w:t> </w:t>
      </w:r>
      <w:r>
        <w:rPr/>
        <w:t>hydration,</w:t>
      </w:r>
      <w:r>
        <w:rPr>
          <w:spacing w:val="-1"/>
        </w:rPr>
        <w:t> </w:t>
      </w:r>
      <w:r>
        <w:rPr/>
        <w:t>habits,</w:t>
      </w:r>
      <w:r>
        <w:rPr>
          <w:spacing w:val="-1"/>
        </w:rPr>
        <w:t> </w:t>
      </w:r>
      <w:r>
        <w:rPr/>
        <w:t>and</w:t>
      </w:r>
      <w:r>
        <w:rPr>
          <w:spacing w:val="-1"/>
        </w:rPr>
        <w:t> </w:t>
      </w:r>
      <w:r>
        <w:rPr/>
        <w:t>crystalline</w:t>
      </w:r>
      <w:r>
        <w:rPr>
          <w:spacing w:val="-1"/>
        </w:rPr>
        <w:t> </w:t>
      </w:r>
      <w:r>
        <w:rPr/>
        <w:t>forms</w:t>
      </w:r>
      <w:r>
        <w:rPr>
          <w:spacing w:val="-1"/>
        </w:rPr>
        <w:t> </w:t>
      </w:r>
      <w:r>
        <w:rPr/>
        <w:t>for</w:t>
      </w:r>
      <w:r>
        <w:rPr>
          <w:spacing w:val="-1"/>
        </w:rPr>
        <w:t> </w:t>
      </w:r>
      <w:r>
        <w:rPr/>
        <w:t>a</w:t>
      </w:r>
      <w:r>
        <w:rPr>
          <w:spacing w:val="-1"/>
        </w:rPr>
        <w:t> </w:t>
      </w:r>
      <w:r>
        <w:rPr/>
        <w:t>single</w:t>
      </w:r>
      <w:r>
        <w:rPr>
          <w:spacing w:val="-1"/>
        </w:rPr>
        <w:t> </w:t>
      </w:r>
      <w:r>
        <w:rPr/>
        <w:t>drug (Milani </w:t>
      </w:r>
      <w:r>
        <w:rPr>
          <w:i/>
        </w:rPr>
        <w:t>et al</w:t>
      </w:r>
      <w:r>
        <w:rPr/>
        <w:t>., 2009). The IDR can be obtained by employing a specific device for this purpose, where the compressed drug is exposed in a dissolution medium over a constant surface area, and its value is expressed in mg cm</w:t>
      </w:r>
      <w:r>
        <w:rPr>
          <w:vertAlign w:val="superscript"/>
        </w:rPr>
        <w:t>-2</w:t>
      </w:r>
      <w:r>
        <w:rPr>
          <w:vertAlign w:val="baseline"/>
        </w:rPr>
        <w:t> s</w:t>
      </w:r>
      <w:r>
        <w:rPr>
          <w:vertAlign w:val="superscript"/>
        </w:rPr>
        <w:t>-1</w:t>
      </w:r>
      <w:r>
        <w:rPr>
          <w:spacing w:val="80"/>
          <w:vertAlign w:val="baseline"/>
        </w:rPr>
        <w:t> </w:t>
      </w:r>
      <w:r>
        <w:rPr>
          <w:vertAlign w:val="baseline"/>
        </w:rPr>
        <w:t>Applications for intrinsic</w:t>
      </w:r>
      <w:r>
        <w:rPr>
          <w:spacing w:val="40"/>
          <w:vertAlign w:val="baseline"/>
        </w:rPr>
        <w:t> </w:t>
      </w:r>
      <w:r>
        <w:rPr>
          <w:vertAlign w:val="baseline"/>
        </w:rPr>
        <w:t>dissolution tests are related to their use as a tool in the characterization of solid-state</w:t>
      </w:r>
      <w:r>
        <w:rPr>
          <w:spacing w:val="40"/>
          <w:vertAlign w:val="baseline"/>
        </w:rPr>
        <w:t> </w:t>
      </w:r>
      <w:r>
        <w:rPr>
          <w:vertAlign w:val="baseline"/>
        </w:rPr>
        <w:t>drugs, such as the determination of thermodynamic parameters associated with transition from crystalline phases, degrees of hydration, the investigation of the phenomenon of</w:t>
      </w:r>
      <w:r>
        <w:rPr>
          <w:spacing w:val="40"/>
          <w:vertAlign w:val="baseline"/>
        </w:rPr>
        <w:t> </w:t>
      </w:r>
      <w:r>
        <w:rPr>
          <w:vertAlign w:val="baseline"/>
        </w:rPr>
        <w:t>mass transfer in the dissolution process, the evaluation of the dissolution rate of a drug in different media (variation of pH or use of surfactants), and the relationship between the dissolution rate of an active substance and that of its crystalline form (Bartolomei </w:t>
      </w:r>
      <w:r>
        <w:rPr>
          <w:i/>
          <w:vertAlign w:val="baseline"/>
        </w:rPr>
        <w:t>et al., </w:t>
      </w:r>
      <w:r>
        <w:rPr>
          <w:spacing w:val="-2"/>
          <w:vertAlign w:val="baseline"/>
        </w:rPr>
        <w:t>2006).</w:t>
      </w:r>
    </w:p>
    <w:p>
      <w:pPr>
        <w:pStyle w:val="BodyText"/>
        <w:spacing w:line="480" w:lineRule="auto" w:before="2"/>
        <w:ind w:left="380" w:right="1267"/>
        <w:jc w:val="both"/>
      </w:pPr>
      <w:r>
        <w:rPr/>
        <w:t>Recent studies have proved the usefulness of the IDR in determining solubility in the sphere of the BCS. Because this test is not related to equilibrium but rather to the rate, there is expected to be a greater correlation in the </w:t>
      </w:r>
      <w:r>
        <w:rPr>
          <w:i/>
        </w:rPr>
        <w:t>in vivo </w:t>
      </w:r>
      <w:r>
        <w:rPr/>
        <w:t>dissolution dynamic than in the solubility test. In a conventional solubility test, where a quantity of a drug is kept under constant agitation and temperature until the solution is saturated, any determination of the actual solubility of the material may be compromised because of possible occurrences of recrystallization, which may result in alteration of the crystalline form, and hydrate and solvate formation (Milani </w:t>
      </w:r>
      <w:r>
        <w:rPr>
          <w:i/>
        </w:rPr>
        <w:t>et al</w:t>
      </w:r>
      <w:r>
        <w:rPr/>
        <w:t>., 2009).</w:t>
      </w:r>
    </w:p>
    <w:p>
      <w:pPr>
        <w:spacing w:after="0" w:line="480" w:lineRule="auto"/>
        <w:jc w:val="both"/>
        <w:sectPr>
          <w:pgSz w:w="12240" w:h="15840"/>
          <w:pgMar w:header="0" w:footer="1068" w:top="1540" w:bottom="1260" w:left="1420" w:right="440"/>
        </w:sectPr>
      </w:pPr>
    </w:p>
    <w:p>
      <w:pPr>
        <w:pStyle w:val="ListParagraph"/>
        <w:numPr>
          <w:ilvl w:val="3"/>
          <w:numId w:val="18"/>
        </w:numPr>
        <w:tabs>
          <w:tab w:pos="1099" w:val="left" w:leader="none"/>
        </w:tabs>
        <w:spacing w:line="240" w:lineRule="auto" w:before="72" w:after="0"/>
        <w:ind w:left="1099" w:right="0" w:hanging="719"/>
        <w:jc w:val="both"/>
        <w:rPr>
          <w:i/>
          <w:sz w:val="24"/>
        </w:rPr>
      </w:pPr>
      <w:r>
        <w:rPr>
          <w:i/>
          <w:sz w:val="24"/>
        </w:rPr>
        <w:t>Determination</w:t>
      </w:r>
      <w:r>
        <w:rPr>
          <w:i/>
          <w:spacing w:val="-4"/>
          <w:sz w:val="24"/>
        </w:rPr>
        <w:t> </w:t>
      </w:r>
      <w:r>
        <w:rPr>
          <w:i/>
          <w:sz w:val="24"/>
        </w:rPr>
        <w:t>of</w:t>
      </w:r>
      <w:r>
        <w:rPr>
          <w:i/>
          <w:spacing w:val="-1"/>
          <w:sz w:val="24"/>
        </w:rPr>
        <w:t> </w:t>
      </w:r>
      <w:r>
        <w:rPr>
          <w:i/>
          <w:spacing w:val="-2"/>
          <w:sz w:val="24"/>
        </w:rPr>
        <w:t>dissolution</w:t>
      </w:r>
    </w:p>
    <w:p>
      <w:pPr>
        <w:pStyle w:val="BodyText"/>
        <w:rPr>
          <w:i/>
        </w:rPr>
      </w:pPr>
    </w:p>
    <w:p>
      <w:pPr>
        <w:pStyle w:val="BodyText"/>
        <w:spacing w:line="480" w:lineRule="auto"/>
        <w:ind w:left="380" w:right="1266"/>
        <w:jc w:val="both"/>
      </w:pPr>
      <w:r>
        <w:rPr/>
        <w:t>The choice of dissolution apparatus varies from one drug to another, depending on the nature</w:t>
      </w:r>
      <w:r>
        <w:rPr>
          <w:spacing w:val="-2"/>
        </w:rPr>
        <w:t> </w:t>
      </w:r>
      <w:r>
        <w:rPr/>
        <w:t>of</w:t>
      </w:r>
      <w:r>
        <w:rPr>
          <w:spacing w:val="-1"/>
        </w:rPr>
        <w:t> </w:t>
      </w:r>
      <w:r>
        <w:rPr/>
        <w:t>the</w:t>
      </w:r>
      <w:r>
        <w:rPr>
          <w:spacing w:val="-1"/>
        </w:rPr>
        <w:t> </w:t>
      </w:r>
      <w:r>
        <w:rPr/>
        <w:t>drug. Conditions employed for</w:t>
      </w:r>
      <w:r>
        <w:rPr>
          <w:spacing w:val="-2"/>
        </w:rPr>
        <w:t> </w:t>
      </w:r>
      <w:r>
        <w:rPr/>
        <w:t>the </w:t>
      </w:r>
      <w:r>
        <w:rPr>
          <w:i/>
        </w:rPr>
        <w:t>in vitro </w:t>
      </w:r>
      <w:r>
        <w:rPr/>
        <w:t>dissolution</w:t>
      </w:r>
      <w:r>
        <w:rPr>
          <w:spacing w:val="-2"/>
        </w:rPr>
        <w:t> </w:t>
      </w:r>
      <w:r>
        <w:rPr/>
        <w:t>test are</w:t>
      </w:r>
      <w:r>
        <w:rPr>
          <w:spacing w:val="-2"/>
        </w:rPr>
        <w:t> </w:t>
      </w:r>
      <w:r>
        <w:rPr/>
        <w:t>made</w:t>
      </w:r>
      <w:r>
        <w:rPr>
          <w:spacing w:val="-2"/>
        </w:rPr>
        <w:t> </w:t>
      </w:r>
      <w:r>
        <w:rPr/>
        <w:t>in such</w:t>
      </w:r>
      <w:r>
        <w:rPr>
          <w:spacing w:val="-1"/>
        </w:rPr>
        <w:t> </w:t>
      </w:r>
      <w:r>
        <w:rPr/>
        <w:t>a way to give the best and reproducible results for the particular drug under test. Such conditions include the size and shape of the dissolution vessel, the agitation rate, temperature</w:t>
      </w:r>
      <w:r>
        <w:rPr>
          <w:spacing w:val="-3"/>
        </w:rPr>
        <w:t> </w:t>
      </w:r>
      <w:r>
        <w:rPr/>
        <w:t>of</w:t>
      </w:r>
      <w:r>
        <w:rPr>
          <w:spacing w:val="-3"/>
        </w:rPr>
        <w:t> </w:t>
      </w:r>
      <w:r>
        <w:rPr/>
        <w:t>the</w:t>
      </w:r>
      <w:r>
        <w:rPr>
          <w:spacing w:val="-4"/>
        </w:rPr>
        <w:t> </w:t>
      </w:r>
      <w:r>
        <w:rPr/>
        <w:t>dissolution</w:t>
      </w:r>
      <w:r>
        <w:rPr>
          <w:spacing w:val="-3"/>
        </w:rPr>
        <w:t> </w:t>
      </w:r>
      <w:r>
        <w:rPr/>
        <w:t>medium</w:t>
      </w:r>
      <w:r>
        <w:rPr>
          <w:spacing w:val="-3"/>
        </w:rPr>
        <w:t> </w:t>
      </w:r>
      <w:r>
        <w:rPr/>
        <w:t>which</w:t>
      </w:r>
      <w:r>
        <w:rPr>
          <w:spacing w:val="-3"/>
        </w:rPr>
        <w:t> </w:t>
      </w:r>
      <w:r>
        <w:rPr/>
        <w:t>for</w:t>
      </w:r>
      <w:r>
        <w:rPr>
          <w:spacing w:val="-2"/>
        </w:rPr>
        <w:t> </w:t>
      </w:r>
      <w:r>
        <w:rPr/>
        <w:t>most</w:t>
      </w:r>
      <w:r>
        <w:rPr>
          <w:spacing w:val="-3"/>
        </w:rPr>
        <w:t> </w:t>
      </w:r>
      <w:r>
        <w:rPr/>
        <w:t>dissolution</w:t>
      </w:r>
      <w:r>
        <w:rPr>
          <w:spacing w:val="-3"/>
        </w:rPr>
        <w:t> </w:t>
      </w:r>
      <w:r>
        <w:rPr/>
        <w:t>test</w:t>
      </w:r>
      <w:r>
        <w:rPr>
          <w:spacing w:val="-3"/>
        </w:rPr>
        <w:t> </w:t>
      </w:r>
      <w:r>
        <w:rPr/>
        <w:t>is</w:t>
      </w:r>
      <w:r>
        <w:rPr>
          <w:spacing w:val="-5"/>
        </w:rPr>
        <w:t> </w:t>
      </w:r>
      <w:r>
        <w:rPr/>
        <w:t>temperature</w:t>
      </w:r>
      <w:r>
        <w:rPr>
          <w:spacing w:val="-3"/>
        </w:rPr>
        <w:t> </w:t>
      </w:r>
      <w:r>
        <w:rPr/>
        <w:t>of</w:t>
      </w:r>
      <w:r>
        <w:rPr>
          <w:spacing w:val="-3"/>
        </w:rPr>
        <w:t> </w:t>
      </w:r>
      <w:r>
        <w:rPr/>
        <w:t>37 </w:t>
      </w:r>
      <w:r>
        <w:rPr>
          <w:vertAlign w:val="superscript"/>
        </w:rPr>
        <w:t>o</w:t>
      </w:r>
      <w:r>
        <w:rPr>
          <w:vertAlign w:val="baseline"/>
        </w:rPr>
        <w:t>C which is similar to the </w:t>
      </w:r>
      <w:r>
        <w:rPr>
          <w:i/>
          <w:vertAlign w:val="baseline"/>
        </w:rPr>
        <w:t>in vivo </w:t>
      </w:r>
      <w:r>
        <w:rPr>
          <w:vertAlign w:val="baseline"/>
        </w:rPr>
        <w:t>temperature. The nature and volume of the dissolution media is also important e.g. simulated gastric fluid, simulated intestinal fluid, water, 0.1N HCl, phosphate and acetate buffer depending on the nature of the drug and the location in the gastro-intestinal tract where the drug is expected to dissolve. The volume of the dissolution medium ranges from 500 mL to 1000 mL. Formulation composition and the manufacturing process generally influence in vitro drug dissolution. The BCS classifies a drug product as rapidly dissolving when no less than 85 % of the labelled amount of the drug substance dissolves in 30 min using the following USP Apparatus 1 (basket) at 100 rpm or USP Apparatus 2 (paddle) at 50 rpm. Dissolution medium volume of 900 mL or less in each of the following</w:t>
      </w:r>
    </w:p>
    <w:p>
      <w:pPr>
        <w:pStyle w:val="ListParagraph"/>
        <w:numPr>
          <w:ilvl w:val="0"/>
          <w:numId w:val="19"/>
        </w:numPr>
        <w:tabs>
          <w:tab w:pos="620" w:val="left" w:leader="none"/>
        </w:tabs>
        <w:spacing w:line="240" w:lineRule="auto" w:before="2" w:after="0"/>
        <w:ind w:left="620" w:right="0" w:hanging="240"/>
        <w:jc w:val="both"/>
        <w:rPr>
          <w:sz w:val="24"/>
        </w:rPr>
      </w:pPr>
      <w:r>
        <w:rPr>
          <w:sz w:val="24"/>
        </w:rPr>
        <w:t>0.1</w:t>
      </w:r>
      <w:r>
        <w:rPr>
          <w:spacing w:val="-3"/>
          <w:sz w:val="24"/>
        </w:rPr>
        <w:t> </w:t>
      </w:r>
      <w:r>
        <w:rPr>
          <w:sz w:val="24"/>
        </w:rPr>
        <w:t>N HCI</w:t>
      </w:r>
      <w:r>
        <w:rPr>
          <w:spacing w:val="-6"/>
          <w:sz w:val="24"/>
        </w:rPr>
        <w:t> </w:t>
      </w:r>
      <w:r>
        <w:rPr>
          <w:sz w:val="24"/>
        </w:rPr>
        <w:t>or simulated gastric fluid (SGF) USP without </w:t>
      </w:r>
      <w:r>
        <w:rPr>
          <w:spacing w:val="-2"/>
          <w:sz w:val="24"/>
        </w:rPr>
        <w:t>enzymes</w:t>
      </w:r>
    </w:p>
    <w:p>
      <w:pPr>
        <w:pStyle w:val="BodyText"/>
      </w:pPr>
    </w:p>
    <w:p>
      <w:pPr>
        <w:pStyle w:val="ListParagraph"/>
        <w:numPr>
          <w:ilvl w:val="0"/>
          <w:numId w:val="19"/>
        </w:numPr>
        <w:tabs>
          <w:tab w:pos="620" w:val="left" w:leader="none"/>
        </w:tabs>
        <w:spacing w:line="240" w:lineRule="auto" w:before="0" w:after="0"/>
        <w:ind w:left="620" w:right="0" w:hanging="240"/>
        <w:jc w:val="both"/>
        <w:rPr>
          <w:sz w:val="24"/>
        </w:rPr>
      </w:pPr>
      <w:r>
        <w:rPr>
          <w:sz w:val="24"/>
        </w:rPr>
        <w:t>A</w:t>
      </w:r>
      <w:r>
        <w:rPr>
          <w:spacing w:val="-2"/>
          <w:sz w:val="24"/>
        </w:rPr>
        <w:t> </w:t>
      </w:r>
      <w:r>
        <w:rPr>
          <w:sz w:val="24"/>
        </w:rPr>
        <w:t>pH</w:t>
      </w:r>
      <w:r>
        <w:rPr>
          <w:spacing w:val="-1"/>
          <w:sz w:val="24"/>
        </w:rPr>
        <w:t> </w:t>
      </w:r>
      <w:r>
        <w:rPr>
          <w:sz w:val="24"/>
        </w:rPr>
        <w:t>4.5 </w:t>
      </w:r>
      <w:r>
        <w:rPr>
          <w:spacing w:val="-2"/>
          <w:sz w:val="24"/>
        </w:rPr>
        <w:t>buffer</w:t>
      </w:r>
    </w:p>
    <w:p>
      <w:pPr>
        <w:pStyle w:val="BodyText"/>
      </w:pPr>
    </w:p>
    <w:p>
      <w:pPr>
        <w:pStyle w:val="ListParagraph"/>
        <w:numPr>
          <w:ilvl w:val="0"/>
          <w:numId w:val="19"/>
        </w:numPr>
        <w:tabs>
          <w:tab w:pos="620" w:val="left" w:leader="none"/>
        </w:tabs>
        <w:spacing w:line="240" w:lineRule="auto" w:before="0" w:after="0"/>
        <w:ind w:left="620" w:right="0" w:hanging="240"/>
        <w:jc w:val="left"/>
        <w:rPr>
          <w:sz w:val="24"/>
        </w:rPr>
      </w:pPr>
      <w:r>
        <w:rPr>
          <w:sz w:val="24"/>
        </w:rPr>
        <w:t>A</w:t>
      </w:r>
      <w:r>
        <w:rPr>
          <w:spacing w:val="-3"/>
          <w:sz w:val="24"/>
        </w:rPr>
        <w:t> </w:t>
      </w:r>
      <w:r>
        <w:rPr>
          <w:sz w:val="24"/>
        </w:rPr>
        <w:t>pH</w:t>
      </w:r>
      <w:r>
        <w:rPr>
          <w:spacing w:val="-2"/>
          <w:sz w:val="24"/>
        </w:rPr>
        <w:t> </w:t>
      </w:r>
      <w:r>
        <w:rPr>
          <w:sz w:val="24"/>
        </w:rPr>
        <w:t>6.8</w:t>
      </w:r>
      <w:r>
        <w:rPr>
          <w:spacing w:val="-2"/>
          <w:sz w:val="24"/>
        </w:rPr>
        <w:t> </w:t>
      </w:r>
      <w:r>
        <w:rPr>
          <w:sz w:val="24"/>
        </w:rPr>
        <w:t>to</w:t>
      </w:r>
      <w:r>
        <w:rPr>
          <w:spacing w:val="-1"/>
          <w:sz w:val="24"/>
        </w:rPr>
        <w:t> </w:t>
      </w:r>
      <w:r>
        <w:rPr>
          <w:sz w:val="24"/>
        </w:rPr>
        <w:t>9.0 buffer or</w:t>
      </w:r>
      <w:r>
        <w:rPr>
          <w:spacing w:val="-2"/>
          <w:sz w:val="24"/>
        </w:rPr>
        <w:t> </w:t>
      </w:r>
      <w:r>
        <w:rPr>
          <w:sz w:val="24"/>
        </w:rPr>
        <w:t>simulated</w:t>
      </w:r>
      <w:r>
        <w:rPr>
          <w:spacing w:val="-1"/>
          <w:sz w:val="24"/>
        </w:rPr>
        <w:t> </w:t>
      </w:r>
      <w:r>
        <w:rPr>
          <w:sz w:val="24"/>
        </w:rPr>
        <w:t>intestinal fluid</w:t>
      </w:r>
      <w:r>
        <w:rPr>
          <w:spacing w:val="-1"/>
          <w:sz w:val="24"/>
        </w:rPr>
        <w:t> </w:t>
      </w:r>
      <w:r>
        <w:rPr>
          <w:sz w:val="24"/>
        </w:rPr>
        <w:t>(SIF)</w:t>
      </w:r>
      <w:r>
        <w:rPr>
          <w:spacing w:val="-1"/>
          <w:sz w:val="24"/>
        </w:rPr>
        <w:t> </w:t>
      </w:r>
      <w:r>
        <w:rPr>
          <w:sz w:val="24"/>
        </w:rPr>
        <w:t>USP</w:t>
      </w:r>
      <w:r>
        <w:rPr>
          <w:spacing w:val="-1"/>
          <w:sz w:val="24"/>
        </w:rPr>
        <w:t> </w:t>
      </w:r>
      <w:r>
        <w:rPr>
          <w:sz w:val="24"/>
        </w:rPr>
        <w:t>without </w:t>
      </w:r>
      <w:r>
        <w:rPr>
          <w:spacing w:val="-2"/>
          <w:sz w:val="24"/>
        </w:rPr>
        <w:t>enzymes</w:t>
      </w:r>
    </w:p>
    <w:p>
      <w:pPr>
        <w:pStyle w:val="BodyText"/>
      </w:pPr>
    </w:p>
    <w:p>
      <w:pPr>
        <w:pStyle w:val="BodyText"/>
        <w:spacing w:line="480" w:lineRule="auto" w:before="1"/>
        <w:ind w:left="380" w:right="1272"/>
        <w:jc w:val="both"/>
      </w:pPr>
      <w:r>
        <w:rPr/>
        <w:t>The similarity factor (</w:t>
      </w:r>
      <w:r>
        <w:rPr>
          <w:i/>
        </w:rPr>
        <w:t>f</w:t>
      </w:r>
      <w:r>
        <w:rPr>
          <w:vertAlign w:val="subscript"/>
        </w:rPr>
        <w:t>2</w:t>
      </w:r>
      <w:r>
        <w:rPr>
          <w:vertAlign w:val="baseline"/>
        </w:rPr>
        <w:t>) for test versus reference profile comparisons should be greater than</w:t>
      </w:r>
      <w:r>
        <w:rPr>
          <w:spacing w:val="-2"/>
          <w:vertAlign w:val="baseline"/>
        </w:rPr>
        <w:t> </w:t>
      </w:r>
      <w:r>
        <w:rPr>
          <w:vertAlign w:val="baseline"/>
        </w:rPr>
        <w:t>50</w:t>
      </w:r>
      <w:r>
        <w:rPr>
          <w:spacing w:val="-1"/>
          <w:vertAlign w:val="baseline"/>
        </w:rPr>
        <w:t> </w:t>
      </w:r>
      <w:r>
        <w:rPr>
          <w:vertAlign w:val="baseline"/>
        </w:rPr>
        <w:t>(i.e.,</w:t>
      </w:r>
      <w:r>
        <w:rPr>
          <w:spacing w:val="-1"/>
          <w:vertAlign w:val="baseline"/>
        </w:rPr>
        <w:t> </w:t>
      </w:r>
      <w:r>
        <w:rPr>
          <w:i/>
          <w:vertAlign w:val="baseline"/>
        </w:rPr>
        <w:t>f</w:t>
      </w:r>
      <w:r>
        <w:rPr>
          <w:vertAlign w:val="subscript"/>
        </w:rPr>
        <w:t>2</w:t>
      </w:r>
      <w:r>
        <w:rPr>
          <w:vertAlign w:val="baseline"/>
        </w:rPr>
        <w:t> value</w:t>
      </w:r>
      <w:r>
        <w:rPr>
          <w:spacing w:val="-2"/>
          <w:vertAlign w:val="baseline"/>
        </w:rPr>
        <w:t> </w:t>
      </w:r>
      <w:r>
        <w:rPr>
          <w:vertAlign w:val="baseline"/>
        </w:rPr>
        <w:t>between</w:t>
      </w:r>
      <w:r>
        <w:rPr>
          <w:spacing w:val="-1"/>
          <w:vertAlign w:val="baseline"/>
        </w:rPr>
        <w:t> </w:t>
      </w:r>
      <w:r>
        <w:rPr>
          <w:vertAlign w:val="baseline"/>
        </w:rPr>
        <w:t>50 and</w:t>
      </w:r>
      <w:r>
        <w:rPr>
          <w:spacing w:val="-1"/>
          <w:vertAlign w:val="baseline"/>
        </w:rPr>
        <w:t> </w:t>
      </w:r>
      <w:r>
        <w:rPr>
          <w:vertAlign w:val="baseline"/>
        </w:rPr>
        <w:t>100</w:t>
      </w:r>
      <w:r>
        <w:rPr>
          <w:spacing w:val="-1"/>
          <w:vertAlign w:val="baseline"/>
        </w:rPr>
        <w:t> </w:t>
      </w:r>
      <w:r>
        <w:rPr>
          <w:vertAlign w:val="baseline"/>
        </w:rPr>
        <w:t>suggests</w:t>
      </w:r>
      <w:r>
        <w:rPr>
          <w:spacing w:val="-1"/>
          <w:vertAlign w:val="baseline"/>
        </w:rPr>
        <w:t> </w:t>
      </w:r>
      <w:r>
        <w:rPr>
          <w:vertAlign w:val="baseline"/>
        </w:rPr>
        <w:t>the</w:t>
      </w:r>
      <w:r>
        <w:rPr>
          <w:spacing w:val="-2"/>
          <w:vertAlign w:val="baseline"/>
        </w:rPr>
        <w:t> </w:t>
      </w:r>
      <w:r>
        <w:rPr>
          <w:vertAlign w:val="baseline"/>
        </w:rPr>
        <w:t>two</w:t>
      </w:r>
      <w:r>
        <w:rPr>
          <w:spacing w:val="-1"/>
          <w:vertAlign w:val="baseline"/>
        </w:rPr>
        <w:t> </w:t>
      </w:r>
      <w:r>
        <w:rPr>
          <w:vertAlign w:val="baseline"/>
        </w:rPr>
        <w:t>dissolution</w:t>
      </w:r>
      <w:r>
        <w:rPr>
          <w:spacing w:val="-1"/>
          <w:vertAlign w:val="baseline"/>
        </w:rPr>
        <w:t> </w:t>
      </w:r>
      <w:r>
        <w:rPr>
          <w:vertAlign w:val="baseline"/>
        </w:rPr>
        <w:t>profiles</w:t>
      </w:r>
      <w:r>
        <w:rPr>
          <w:spacing w:val="-1"/>
          <w:vertAlign w:val="baseline"/>
        </w:rPr>
        <w:t> </w:t>
      </w:r>
      <w:r>
        <w:rPr>
          <w:vertAlign w:val="baseline"/>
        </w:rPr>
        <w:t>are</w:t>
      </w:r>
      <w:r>
        <w:rPr>
          <w:spacing w:val="-3"/>
          <w:vertAlign w:val="baseline"/>
        </w:rPr>
        <w:t> </w:t>
      </w:r>
      <w:r>
        <w:rPr>
          <w:vertAlign w:val="baseline"/>
        </w:rPr>
        <w:t>similar) (Singh </w:t>
      </w:r>
      <w:r>
        <w:rPr>
          <w:i/>
          <w:vertAlign w:val="baseline"/>
        </w:rPr>
        <w:t>et al</w:t>
      </w:r>
      <w:r>
        <w:rPr>
          <w:vertAlign w:val="baseline"/>
        </w:rPr>
        <w:t>., 2011).</w:t>
      </w:r>
    </w:p>
    <w:p>
      <w:pPr>
        <w:spacing w:after="0" w:line="480" w:lineRule="auto"/>
        <w:jc w:val="both"/>
        <w:sectPr>
          <w:pgSz w:w="12240" w:h="15840"/>
          <w:pgMar w:header="0" w:footer="1068" w:top="1540" w:bottom="1260" w:left="1420" w:right="440"/>
        </w:sectPr>
      </w:pPr>
    </w:p>
    <w:p>
      <w:pPr>
        <w:pStyle w:val="BodyText"/>
        <w:ind w:left="2639"/>
        <w:rPr>
          <w:sz w:val="20"/>
        </w:rPr>
      </w:pPr>
      <w:r>
        <w:rPr>
          <w:sz w:val="20"/>
        </w:rPr>
        <w:drawing>
          <wp:inline distT="0" distB="0" distL="0" distR="0">
            <wp:extent cx="2809175" cy="651891"/>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4" cstate="print"/>
                    <a:stretch>
                      <a:fillRect/>
                    </a:stretch>
                  </pic:blipFill>
                  <pic:spPr>
                    <a:xfrm>
                      <a:off x="0" y="0"/>
                      <a:ext cx="2809175" cy="651891"/>
                    </a:xfrm>
                    <a:prstGeom prst="rect">
                      <a:avLst/>
                    </a:prstGeom>
                  </pic:spPr>
                </pic:pic>
              </a:graphicData>
            </a:graphic>
          </wp:inline>
        </w:drawing>
      </w:r>
      <w:r>
        <w:rPr>
          <w:sz w:val="20"/>
        </w:rPr>
      </w:r>
    </w:p>
    <w:p>
      <w:pPr>
        <w:pStyle w:val="BodyText"/>
        <w:spacing w:before="121"/>
      </w:pPr>
    </w:p>
    <w:p>
      <w:pPr>
        <w:pStyle w:val="BodyText"/>
        <w:spacing w:line="480" w:lineRule="auto"/>
        <w:ind w:left="380" w:right="1265"/>
        <w:jc w:val="both"/>
      </w:pPr>
      <w:r>
        <w:rPr/>
        <w:t>Where </w:t>
      </w:r>
      <w:r>
        <w:rPr>
          <w:i/>
        </w:rPr>
        <w:t>Rt </w:t>
      </w:r>
      <w:r>
        <w:rPr/>
        <w:t>and </w:t>
      </w:r>
      <w:r>
        <w:rPr>
          <w:i/>
        </w:rPr>
        <w:t>Tt </w:t>
      </w:r>
      <w:r>
        <w:rPr/>
        <w:t>are the cumulative percentage dissolved at time point </w:t>
      </w:r>
      <w:r>
        <w:rPr>
          <w:i/>
        </w:rPr>
        <w:t>t </w:t>
      </w:r>
      <w:r>
        <w:rPr/>
        <w:t>for reference and test products, respectively, and </w:t>
      </w:r>
      <w:r>
        <w:rPr>
          <w:i/>
        </w:rPr>
        <w:t>n </w:t>
      </w:r>
      <w:r>
        <w:rPr/>
        <w:t>is the number of pool points. According to the BCS guidance,</w:t>
      </w:r>
      <w:r>
        <w:rPr>
          <w:spacing w:val="-1"/>
        </w:rPr>
        <w:t> </w:t>
      </w:r>
      <w:r>
        <w:rPr/>
        <w:t>the</w:t>
      </w:r>
      <w:r>
        <w:rPr>
          <w:spacing w:val="-1"/>
        </w:rPr>
        <w:t> </w:t>
      </w:r>
      <w:r>
        <w:rPr/>
        <w:t>test</w:t>
      </w:r>
      <w:r>
        <w:rPr>
          <w:spacing w:val="-1"/>
        </w:rPr>
        <w:t> </w:t>
      </w:r>
      <w:r>
        <w:rPr/>
        <w:t>and</w:t>
      </w:r>
      <w:r>
        <w:rPr>
          <w:spacing w:val="-1"/>
        </w:rPr>
        <w:t> </w:t>
      </w:r>
      <w:r>
        <w:rPr/>
        <w:t>reference</w:t>
      </w:r>
      <w:r>
        <w:rPr>
          <w:spacing w:val="-1"/>
        </w:rPr>
        <w:t> </w:t>
      </w:r>
      <w:r>
        <w:rPr/>
        <w:t>dissolution</w:t>
      </w:r>
      <w:r>
        <w:rPr>
          <w:spacing w:val="-1"/>
        </w:rPr>
        <w:t> </w:t>
      </w:r>
      <w:r>
        <w:rPr/>
        <w:t>profiles</w:t>
      </w:r>
      <w:r>
        <w:rPr>
          <w:spacing w:val="-1"/>
        </w:rPr>
        <w:t> </w:t>
      </w:r>
      <w:r>
        <w:rPr/>
        <w:t>are</w:t>
      </w:r>
      <w:r>
        <w:rPr>
          <w:spacing w:val="-1"/>
        </w:rPr>
        <w:t> </w:t>
      </w:r>
      <w:r>
        <w:rPr/>
        <w:t>considered similar</w:t>
      </w:r>
      <w:r>
        <w:rPr>
          <w:spacing w:val="-1"/>
        </w:rPr>
        <w:t> </w:t>
      </w:r>
      <w:r>
        <w:rPr/>
        <w:t>if</w:t>
      </w:r>
      <w:r>
        <w:rPr>
          <w:spacing w:val="-1"/>
        </w:rPr>
        <w:t> </w:t>
      </w:r>
      <w:r>
        <w:rPr/>
        <w:t>both</w:t>
      </w:r>
      <w:r>
        <w:rPr>
          <w:spacing w:val="-1"/>
        </w:rPr>
        <w:t> </w:t>
      </w:r>
      <w:r>
        <w:rPr/>
        <w:t>products have</w:t>
      </w:r>
      <w:r>
        <w:rPr>
          <w:spacing w:val="-3"/>
        </w:rPr>
        <w:t> </w:t>
      </w:r>
      <w:r>
        <w:rPr/>
        <w:t>at</w:t>
      </w:r>
      <w:r>
        <w:rPr>
          <w:spacing w:val="-2"/>
        </w:rPr>
        <w:t> </w:t>
      </w:r>
      <w:r>
        <w:rPr/>
        <w:t>least</w:t>
      </w:r>
      <w:r>
        <w:rPr>
          <w:spacing w:val="-2"/>
        </w:rPr>
        <w:t> </w:t>
      </w:r>
      <w:r>
        <w:rPr/>
        <w:t>80</w:t>
      </w:r>
      <w:r>
        <w:rPr>
          <w:spacing w:val="-1"/>
        </w:rPr>
        <w:t> </w:t>
      </w:r>
      <w:r>
        <w:rPr/>
        <w:t>%</w:t>
      </w:r>
      <w:r>
        <w:rPr>
          <w:spacing w:val="-3"/>
        </w:rPr>
        <w:t> </w:t>
      </w:r>
      <w:r>
        <w:rPr/>
        <w:t>dissolution</w:t>
      </w:r>
      <w:r>
        <w:rPr>
          <w:spacing w:val="-2"/>
        </w:rPr>
        <w:t> </w:t>
      </w:r>
      <w:r>
        <w:rPr/>
        <w:t>in</w:t>
      </w:r>
      <w:r>
        <w:rPr>
          <w:spacing w:val="-2"/>
        </w:rPr>
        <w:t> </w:t>
      </w:r>
      <w:r>
        <w:rPr/>
        <w:t>15</w:t>
      </w:r>
      <w:r>
        <w:rPr>
          <w:spacing w:val="-2"/>
        </w:rPr>
        <w:t> </w:t>
      </w:r>
      <w:r>
        <w:rPr/>
        <w:t>min</w:t>
      </w:r>
      <w:r>
        <w:rPr>
          <w:spacing w:val="-2"/>
        </w:rPr>
        <w:t> </w:t>
      </w:r>
      <w:r>
        <w:rPr/>
        <w:t>or</w:t>
      </w:r>
      <w:r>
        <w:rPr>
          <w:spacing w:val="-2"/>
        </w:rPr>
        <w:t> </w:t>
      </w:r>
      <w:r>
        <w:rPr/>
        <w:t>if</w:t>
      </w:r>
      <w:r>
        <w:rPr>
          <w:spacing w:val="-3"/>
        </w:rPr>
        <w:t> </w:t>
      </w:r>
      <w:r>
        <w:rPr/>
        <w:t>comparison</w:t>
      </w:r>
      <w:r>
        <w:rPr>
          <w:spacing w:val="-2"/>
        </w:rPr>
        <w:t> </w:t>
      </w:r>
      <w:r>
        <w:rPr/>
        <w:t>of</w:t>
      </w:r>
      <w:r>
        <w:rPr>
          <w:spacing w:val="-2"/>
        </w:rPr>
        <w:t> </w:t>
      </w:r>
      <w:r>
        <w:rPr/>
        <w:t>profiles</w:t>
      </w:r>
      <w:r>
        <w:rPr>
          <w:spacing w:val="-2"/>
        </w:rPr>
        <w:t> </w:t>
      </w:r>
      <w:r>
        <w:rPr/>
        <w:t>by</w:t>
      </w:r>
      <w:r>
        <w:rPr>
          <w:spacing w:val="-7"/>
        </w:rPr>
        <w:t> </w:t>
      </w:r>
      <w:r>
        <w:rPr/>
        <w:t>the </w:t>
      </w:r>
      <w:r>
        <w:rPr>
          <w:i/>
        </w:rPr>
        <w:t>f</w:t>
      </w:r>
      <w:r>
        <w:rPr>
          <w:vertAlign w:val="subscript"/>
        </w:rPr>
        <w:t>2</w:t>
      </w:r>
      <w:r>
        <w:rPr>
          <w:spacing w:val="-1"/>
          <w:vertAlign w:val="baseline"/>
        </w:rPr>
        <w:t> </w:t>
      </w:r>
      <w:r>
        <w:rPr>
          <w:vertAlign w:val="baseline"/>
        </w:rPr>
        <w:t>test</w:t>
      </w:r>
      <w:r>
        <w:rPr>
          <w:spacing w:val="-2"/>
          <w:vertAlign w:val="baseline"/>
        </w:rPr>
        <w:t> </w:t>
      </w:r>
      <w:r>
        <w:rPr>
          <w:vertAlign w:val="baseline"/>
        </w:rPr>
        <w:t>results</w:t>
      </w:r>
      <w:r>
        <w:rPr>
          <w:spacing w:val="-2"/>
          <w:vertAlign w:val="baseline"/>
        </w:rPr>
        <w:t> </w:t>
      </w:r>
      <w:r>
        <w:rPr>
          <w:vertAlign w:val="baseline"/>
        </w:rPr>
        <w:t>in an </w:t>
      </w:r>
      <w:r>
        <w:rPr>
          <w:i/>
          <w:vertAlign w:val="baseline"/>
        </w:rPr>
        <w:t>f</w:t>
      </w:r>
      <w:r>
        <w:rPr>
          <w:vertAlign w:val="subscript"/>
        </w:rPr>
        <w:t>2</w:t>
      </w:r>
      <w:r>
        <w:rPr>
          <w:vertAlign w:val="baseline"/>
        </w:rPr>
        <w:t> value of at least 50. To allow for the use of mean data, the coefficient of variation should not be more than 20 % at earlier time points (e.g., 10 min) and should not be more than 10 % at other times (Singh </w:t>
      </w:r>
      <w:r>
        <w:rPr>
          <w:i/>
          <w:vertAlign w:val="baseline"/>
        </w:rPr>
        <w:t>et al</w:t>
      </w:r>
      <w:r>
        <w:rPr>
          <w:vertAlign w:val="baseline"/>
        </w:rPr>
        <w:t>., 2011). Dissolution performance is influenced by both the physicochemical properties of the substance and the prevailing physiological conditions</w:t>
      </w:r>
      <w:r>
        <w:rPr>
          <w:spacing w:val="-2"/>
          <w:vertAlign w:val="baseline"/>
        </w:rPr>
        <w:t> </w:t>
      </w:r>
      <w:r>
        <w:rPr>
          <w:vertAlign w:val="baseline"/>
        </w:rPr>
        <w:t>in</w:t>
      </w:r>
      <w:r>
        <w:rPr>
          <w:spacing w:val="-2"/>
          <w:vertAlign w:val="baseline"/>
        </w:rPr>
        <w:t> </w:t>
      </w:r>
      <w:r>
        <w:rPr>
          <w:vertAlign w:val="baseline"/>
        </w:rPr>
        <w:t>the</w:t>
      </w:r>
      <w:r>
        <w:rPr>
          <w:spacing w:val="-2"/>
          <w:vertAlign w:val="baseline"/>
        </w:rPr>
        <w:t> </w:t>
      </w:r>
      <w:r>
        <w:rPr>
          <w:vertAlign w:val="baseline"/>
        </w:rPr>
        <w:t>GI</w:t>
      </w:r>
      <w:r>
        <w:rPr>
          <w:spacing w:val="-6"/>
          <w:vertAlign w:val="baseline"/>
        </w:rPr>
        <w:t> </w:t>
      </w:r>
      <w:r>
        <w:rPr>
          <w:vertAlign w:val="baseline"/>
        </w:rPr>
        <w:t>tract,</w:t>
      </w:r>
      <w:r>
        <w:rPr>
          <w:spacing w:val="-2"/>
          <w:vertAlign w:val="baseline"/>
        </w:rPr>
        <w:t> </w:t>
      </w:r>
      <w:r>
        <w:rPr>
          <w:vertAlign w:val="baseline"/>
        </w:rPr>
        <w:t>which</w:t>
      </w:r>
      <w:r>
        <w:rPr>
          <w:spacing w:val="-2"/>
          <w:vertAlign w:val="baseline"/>
        </w:rPr>
        <w:t> </w:t>
      </w:r>
      <w:r>
        <w:rPr>
          <w:vertAlign w:val="baseline"/>
        </w:rPr>
        <w:t>varies</w:t>
      </w:r>
      <w:r>
        <w:rPr>
          <w:spacing w:val="-2"/>
          <w:vertAlign w:val="baseline"/>
        </w:rPr>
        <w:t> </w:t>
      </w:r>
      <w:r>
        <w:rPr>
          <w:vertAlign w:val="baseline"/>
        </w:rPr>
        <w:t>between the</w:t>
      </w:r>
      <w:r>
        <w:rPr>
          <w:spacing w:val="-3"/>
          <w:vertAlign w:val="baseline"/>
        </w:rPr>
        <w:t> </w:t>
      </w:r>
      <w:r>
        <w:rPr>
          <w:vertAlign w:val="baseline"/>
        </w:rPr>
        <w:t>fasted-</w:t>
      </w:r>
      <w:r>
        <w:rPr>
          <w:spacing w:val="-1"/>
          <w:vertAlign w:val="baseline"/>
        </w:rPr>
        <w:t> </w:t>
      </w:r>
      <w:r>
        <w:rPr>
          <w:vertAlign w:val="baseline"/>
        </w:rPr>
        <w:t>and</w:t>
      </w:r>
      <w:r>
        <w:rPr>
          <w:spacing w:val="-2"/>
          <w:vertAlign w:val="baseline"/>
        </w:rPr>
        <w:t> </w:t>
      </w:r>
      <w:r>
        <w:rPr>
          <w:vertAlign w:val="baseline"/>
        </w:rPr>
        <w:t>fed-states as</w:t>
      </w:r>
      <w:r>
        <w:rPr>
          <w:spacing w:val="-2"/>
          <w:vertAlign w:val="baseline"/>
        </w:rPr>
        <w:t> </w:t>
      </w:r>
      <w:r>
        <w:rPr>
          <w:vertAlign w:val="baseline"/>
        </w:rPr>
        <w:t>well</w:t>
      </w:r>
      <w:r>
        <w:rPr>
          <w:spacing w:val="-2"/>
          <w:vertAlign w:val="baseline"/>
        </w:rPr>
        <w:t> </w:t>
      </w:r>
      <w:r>
        <w:rPr>
          <w:vertAlign w:val="baseline"/>
        </w:rPr>
        <w:t>as within and among subjects. Within the key </w:t>
      </w:r>
      <w:r>
        <w:rPr>
          <w:i/>
          <w:vertAlign w:val="baseline"/>
        </w:rPr>
        <w:t>in vivo </w:t>
      </w:r>
      <w:r>
        <w:rPr>
          <w:vertAlign w:val="baseline"/>
        </w:rPr>
        <w:t>parameters influencing drug product dissolution</w:t>
      </w:r>
      <w:r>
        <w:rPr>
          <w:spacing w:val="-2"/>
          <w:vertAlign w:val="baseline"/>
        </w:rPr>
        <w:t> </w:t>
      </w:r>
      <w:r>
        <w:rPr>
          <w:vertAlign w:val="baseline"/>
        </w:rPr>
        <w:t>performance</w:t>
      </w:r>
      <w:r>
        <w:rPr>
          <w:spacing w:val="-1"/>
          <w:vertAlign w:val="baseline"/>
        </w:rPr>
        <w:t> </w:t>
      </w:r>
      <w:r>
        <w:rPr>
          <w:vertAlign w:val="baseline"/>
        </w:rPr>
        <w:t>There</w:t>
      </w:r>
      <w:r>
        <w:rPr>
          <w:spacing w:val="-1"/>
          <w:vertAlign w:val="baseline"/>
        </w:rPr>
        <w:t> </w:t>
      </w:r>
      <w:r>
        <w:rPr>
          <w:vertAlign w:val="baseline"/>
        </w:rPr>
        <w:t>was consensus</w:t>
      </w:r>
      <w:r>
        <w:rPr>
          <w:spacing w:val="-2"/>
          <w:vertAlign w:val="baseline"/>
        </w:rPr>
        <w:t> </w:t>
      </w:r>
      <w:r>
        <w:rPr>
          <w:vertAlign w:val="baseline"/>
        </w:rPr>
        <w:t>that</w:t>
      </w:r>
      <w:r>
        <w:rPr>
          <w:spacing w:val="-2"/>
          <w:vertAlign w:val="baseline"/>
        </w:rPr>
        <w:t> </w:t>
      </w:r>
      <w:r>
        <w:rPr>
          <w:vertAlign w:val="baseline"/>
        </w:rPr>
        <w:t>the</w:t>
      </w:r>
      <w:r>
        <w:rPr>
          <w:spacing w:val="-2"/>
          <w:vertAlign w:val="baseline"/>
        </w:rPr>
        <w:t> </w:t>
      </w:r>
      <w:r>
        <w:rPr>
          <w:i/>
          <w:vertAlign w:val="baseline"/>
        </w:rPr>
        <w:t>f</w:t>
      </w:r>
      <w:r>
        <w:rPr>
          <w:vertAlign w:val="subscript"/>
        </w:rPr>
        <w:t>2</w:t>
      </w:r>
      <w:r>
        <w:rPr>
          <w:spacing w:val="-1"/>
          <w:vertAlign w:val="baseline"/>
        </w:rPr>
        <w:t> </w:t>
      </w:r>
      <w:r>
        <w:rPr>
          <w:vertAlign w:val="baseline"/>
        </w:rPr>
        <w:t>test</w:t>
      </w:r>
      <w:r>
        <w:rPr>
          <w:spacing w:val="-2"/>
          <w:vertAlign w:val="baseline"/>
        </w:rPr>
        <w:t> </w:t>
      </w:r>
      <w:r>
        <w:rPr>
          <w:vertAlign w:val="baseline"/>
        </w:rPr>
        <w:t>is</w:t>
      </w:r>
      <w:r>
        <w:rPr>
          <w:spacing w:val="-2"/>
          <w:vertAlign w:val="baseline"/>
        </w:rPr>
        <w:t> </w:t>
      </w:r>
      <w:r>
        <w:rPr>
          <w:vertAlign w:val="baseline"/>
        </w:rPr>
        <w:t>not</w:t>
      </w:r>
      <w:r>
        <w:rPr>
          <w:spacing w:val="-2"/>
          <w:vertAlign w:val="baseline"/>
        </w:rPr>
        <w:t> </w:t>
      </w:r>
      <w:r>
        <w:rPr>
          <w:vertAlign w:val="baseline"/>
        </w:rPr>
        <w:t>necessary</w:t>
      </w:r>
      <w:r>
        <w:rPr>
          <w:spacing w:val="-5"/>
          <w:vertAlign w:val="baseline"/>
        </w:rPr>
        <w:t> </w:t>
      </w:r>
      <w:r>
        <w:rPr>
          <w:vertAlign w:val="baseline"/>
        </w:rPr>
        <w:t>when</w:t>
      </w:r>
      <w:r>
        <w:rPr>
          <w:spacing w:val="-2"/>
          <w:vertAlign w:val="baseline"/>
        </w:rPr>
        <w:t> </w:t>
      </w:r>
      <w:r>
        <w:rPr>
          <w:vertAlign w:val="baseline"/>
        </w:rPr>
        <w:t>the</w:t>
      </w:r>
      <w:r>
        <w:rPr>
          <w:spacing w:val="-3"/>
          <w:vertAlign w:val="baseline"/>
        </w:rPr>
        <w:t> </w:t>
      </w:r>
      <w:r>
        <w:rPr>
          <w:vertAlign w:val="baseline"/>
        </w:rPr>
        <w:t>two products each provide at least 85 % dissolution in 30 min. A profile comparison test (e.g., </w:t>
      </w:r>
      <w:r>
        <w:rPr>
          <w:i/>
          <w:vertAlign w:val="baseline"/>
        </w:rPr>
        <w:t>f</w:t>
      </w:r>
      <w:r>
        <w:rPr>
          <w:vertAlign w:val="subscript"/>
        </w:rPr>
        <w:t>2</w:t>
      </w:r>
      <w:r>
        <w:rPr>
          <w:spacing w:val="4"/>
          <w:vertAlign w:val="baseline"/>
        </w:rPr>
        <w:t> </w:t>
      </w:r>
      <w:r>
        <w:rPr>
          <w:vertAlign w:val="baseline"/>
        </w:rPr>
        <w:t>or</w:t>
      </w:r>
      <w:r>
        <w:rPr>
          <w:spacing w:val="3"/>
          <w:vertAlign w:val="baseline"/>
        </w:rPr>
        <w:t> </w:t>
      </w:r>
      <w:r>
        <w:rPr>
          <w:vertAlign w:val="baseline"/>
        </w:rPr>
        <w:t>a</w:t>
      </w:r>
      <w:r>
        <w:rPr>
          <w:spacing w:val="3"/>
          <w:vertAlign w:val="baseline"/>
        </w:rPr>
        <w:t> </w:t>
      </w:r>
      <w:r>
        <w:rPr>
          <w:vertAlign w:val="baseline"/>
        </w:rPr>
        <w:t>single</w:t>
      </w:r>
      <w:r>
        <w:rPr>
          <w:spacing w:val="4"/>
          <w:vertAlign w:val="baseline"/>
        </w:rPr>
        <w:t> </w:t>
      </w:r>
      <w:r>
        <w:rPr>
          <w:vertAlign w:val="baseline"/>
        </w:rPr>
        <w:t>time</w:t>
      </w:r>
      <w:r>
        <w:rPr>
          <w:spacing w:val="4"/>
          <w:vertAlign w:val="baseline"/>
        </w:rPr>
        <w:t> </w:t>
      </w:r>
      <w:r>
        <w:rPr>
          <w:vertAlign w:val="baseline"/>
        </w:rPr>
        <w:t>point</w:t>
      </w:r>
      <w:r>
        <w:rPr>
          <w:spacing w:val="6"/>
          <w:vertAlign w:val="baseline"/>
        </w:rPr>
        <w:t> </w:t>
      </w:r>
      <w:r>
        <w:rPr>
          <w:vertAlign w:val="baseline"/>
        </w:rPr>
        <w:t>comparison)</w:t>
      </w:r>
      <w:r>
        <w:rPr>
          <w:spacing w:val="4"/>
          <w:vertAlign w:val="baseline"/>
        </w:rPr>
        <w:t> </w:t>
      </w:r>
      <w:r>
        <w:rPr>
          <w:vertAlign w:val="baseline"/>
        </w:rPr>
        <w:t>would</w:t>
      </w:r>
      <w:r>
        <w:rPr>
          <w:spacing w:val="4"/>
          <w:vertAlign w:val="baseline"/>
        </w:rPr>
        <w:t> </w:t>
      </w:r>
      <w:r>
        <w:rPr>
          <w:vertAlign w:val="baseline"/>
        </w:rPr>
        <w:t>be</w:t>
      </w:r>
      <w:r>
        <w:rPr>
          <w:spacing w:val="3"/>
          <w:vertAlign w:val="baseline"/>
        </w:rPr>
        <w:t> </w:t>
      </w:r>
      <w:r>
        <w:rPr>
          <w:vertAlign w:val="baseline"/>
        </w:rPr>
        <w:t>necessary</w:t>
      </w:r>
      <w:r>
        <w:rPr>
          <w:spacing w:val="2"/>
          <w:vertAlign w:val="baseline"/>
        </w:rPr>
        <w:t> </w:t>
      </w:r>
      <w:r>
        <w:rPr>
          <w:vertAlign w:val="baseline"/>
        </w:rPr>
        <w:t>when</w:t>
      </w:r>
      <w:r>
        <w:rPr>
          <w:spacing w:val="5"/>
          <w:vertAlign w:val="baseline"/>
        </w:rPr>
        <w:t> </w:t>
      </w:r>
      <w:r>
        <w:rPr>
          <w:vertAlign w:val="baseline"/>
        </w:rPr>
        <w:t>at</w:t>
      </w:r>
      <w:r>
        <w:rPr>
          <w:spacing w:val="5"/>
          <w:vertAlign w:val="baseline"/>
        </w:rPr>
        <w:t> </w:t>
      </w:r>
      <w:r>
        <w:rPr>
          <w:vertAlign w:val="baseline"/>
        </w:rPr>
        <w:t>least</w:t>
      </w:r>
      <w:r>
        <w:rPr>
          <w:spacing w:val="7"/>
          <w:vertAlign w:val="baseline"/>
        </w:rPr>
        <w:t> </w:t>
      </w:r>
      <w:r>
        <w:rPr>
          <w:vertAlign w:val="baseline"/>
        </w:rPr>
        <w:t>one</w:t>
      </w:r>
      <w:r>
        <w:rPr>
          <w:spacing w:val="6"/>
          <w:vertAlign w:val="baseline"/>
        </w:rPr>
        <w:t> </w:t>
      </w:r>
      <w:r>
        <w:rPr>
          <w:vertAlign w:val="baseline"/>
        </w:rPr>
        <w:t>product</w:t>
      </w:r>
      <w:r>
        <w:rPr>
          <w:spacing w:val="5"/>
          <w:vertAlign w:val="baseline"/>
        </w:rPr>
        <w:t> </w:t>
      </w:r>
      <w:r>
        <w:rPr>
          <w:vertAlign w:val="baseline"/>
        </w:rPr>
        <w:t>has</w:t>
      </w:r>
      <w:r>
        <w:rPr>
          <w:spacing w:val="5"/>
          <w:vertAlign w:val="baseline"/>
        </w:rPr>
        <w:t> </w:t>
      </w:r>
      <w:r>
        <w:rPr>
          <w:spacing w:val="-5"/>
          <w:vertAlign w:val="baseline"/>
        </w:rPr>
        <w:t>85</w:t>
      </w:r>
    </w:p>
    <w:p>
      <w:pPr>
        <w:pStyle w:val="BodyText"/>
        <w:spacing w:line="480" w:lineRule="auto" w:before="2"/>
        <w:ind w:left="380" w:right="1265"/>
        <w:jc w:val="both"/>
      </w:pPr>
      <w:r>
        <w:rPr/>
        <w:t>% dissolution between 30 and 60 min. The number of time points sampled need not be extraordinary; sampling can be as infrequent as every 30 min (i.e., two samples over 60 min). The </w:t>
      </w:r>
      <w:r>
        <w:rPr>
          <w:i/>
        </w:rPr>
        <w:t>f</w:t>
      </w:r>
      <w:r>
        <w:rPr>
          <w:vertAlign w:val="subscript"/>
        </w:rPr>
        <w:t>2</w:t>
      </w:r>
      <w:r>
        <w:rPr>
          <w:vertAlign w:val="baseline"/>
        </w:rPr>
        <w:t> acceptance criterion (</w:t>
      </w:r>
      <w:r>
        <w:rPr>
          <w:i/>
          <w:vertAlign w:val="baseline"/>
        </w:rPr>
        <w:t>f</w:t>
      </w:r>
      <w:r>
        <w:rPr>
          <w:vertAlign w:val="subscript"/>
        </w:rPr>
        <w:t>2</w:t>
      </w:r>
      <w:r>
        <w:rPr>
          <w:vertAlign w:val="baseline"/>
        </w:rPr>
        <w:t> ≥ 50) can be lowered with justification that considers underlying</w:t>
      </w:r>
      <w:r>
        <w:rPr>
          <w:spacing w:val="-3"/>
          <w:vertAlign w:val="baseline"/>
        </w:rPr>
        <w:t> </w:t>
      </w:r>
      <w:r>
        <w:rPr>
          <w:vertAlign w:val="baseline"/>
        </w:rPr>
        <w:t>biopharmaceutics characteristics</w:t>
      </w:r>
      <w:r>
        <w:rPr>
          <w:spacing w:val="-1"/>
          <w:vertAlign w:val="baseline"/>
        </w:rPr>
        <w:t> </w:t>
      </w:r>
      <w:r>
        <w:rPr>
          <w:vertAlign w:val="baseline"/>
        </w:rPr>
        <w:t>and</w:t>
      </w:r>
      <w:r>
        <w:rPr>
          <w:spacing w:val="-1"/>
          <w:vertAlign w:val="baseline"/>
        </w:rPr>
        <w:t> </w:t>
      </w:r>
      <w:r>
        <w:rPr>
          <w:vertAlign w:val="baseline"/>
        </w:rPr>
        <w:t>risk</w:t>
      </w:r>
      <w:r>
        <w:rPr>
          <w:spacing w:val="-1"/>
          <w:vertAlign w:val="baseline"/>
        </w:rPr>
        <w:t> </w:t>
      </w:r>
      <w:r>
        <w:rPr>
          <w:vertAlign w:val="baseline"/>
        </w:rPr>
        <w:t>based</w:t>
      </w:r>
      <w:r>
        <w:rPr>
          <w:spacing w:val="-1"/>
          <w:vertAlign w:val="baseline"/>
        </w:rPr>
        <w:t> </w:t>
      </w:r>
      <w:r>
        <w:rPr>
          <w:vertAlign w:val="baseline"/>
        </w:rPr>
        <w:t>factors</w:t>
      </w:r>
      <w:r>
        <w:rPr>
          <w:spacing w:val="-1"/>
          <w:vertAlign w:val="baseline"/>
        </w:rPr>
        <w:t> </w:t>
      </w:r>
      <w:r>
        <w:rPr>
          <w:vertAlign w:val="baseline"/>
        </w:rPr>
        <w:t>for</w:t>
      </w:r>
      <w:r>
        <w:rPr>
          <w:spacing w:val="-2"/>
          <w:vertAlign w:val="baseline"/>
        </w:rPr>
        <w:t> </w:t>
      </w:r>
      <w:r>
        <w:rPr>
          <w:vertAlign w:val="baseline"/>
        </w:rPr>
        <w:t>example dissolution results from the most relevant pH (Amidon </w:t>
      </w:r>
      <w:r>
        <w:rPr>
          <w:i/>
          <w:vertAlign w:val="baseline"/>
        </w:rPr>
        <w:t>et al., </w:t>
      </w:r>
      <w:r>
        <w:rPr>
          <w:vertAlign w:val="baseline"/>
        </w:rPr>
        <w:t>2005).</w:t>
      </w:r>
      <w:r>
        <w:rPr>
          <w:spacing w:val="40"/>
          <w:vertAlign w:val="baseline"/>
        </w:rPr>
        <w:t> </w:t>
      </w:r>
      <w:r>
        <w:rPr>
          <w:vertAlign w:val="baseline"/>
        </w:rPr>
        <w:t>Using this method studies have been</w:t>
      </w:r>
      <w:r>
        <w:rPr>
          <w:spacing w:val="62"/>
          <w:w w:val="150"/>
          <w:vertAlign w:val="baseline"/>
        </w:rPr>
        <w:t> </w:t>
      </w:r>
      <w:r>
        <w:rPr>
          <w:vertAlign w:val="baseline"/>
        </w:rPr>
        <w:t>conducted</w:t>
      </w:r>
      <w:r>
        <w:rPr>
          <w:spacing w:val="65"/>
          <w:w w:val="150"/>
          <w:vertAlign w:val="baseline"/>
        </w:rPr>
        <w:t> </w:t>
      </w:r>
      <w:r>
        <w:rPr>
          <w:vertAlign w:val="baseline"/>
        </w:rPr>
        <w:t>on</w:t>
      </w:r>
      <w:r>
        <w:rPr>
          <w:spacing w:val="64"/>
          <w:w w:val="150"/>
          <w:vertAlign w:val="baseline"/>
        </w:rPr>
        <w:t> </w:t>
      </w:r>
      <w:r>
        <w:rPr>
          <w:vertAlign w:val="baseline"/>
        </w:rPr>
        <w:t>the</w:t>
      </w:r>
      <w:r>
        <w:rPr>
          <w:spacing w:val="67"/>
          <w:w w:val="150"/>
          <w:vertAlign w:val="baseline"/>
        </w:rPr>
        <w:t> </w:t>
      </w:r>
      <w:r>
        <w:rPr>
          <w:i/>
          <w:vertAlign w:val="baseline"/>
        </w:rPr>
        <w:t>in</w:t>
      </w:r>
      <w:r>
        <w:rPr>
          <w:i/>
          <w:spacing w:val="65"/>
          <w:w w:val="150"/>
          <w:vertAlign w:val="baseline"/>
        </w:rPr>
        <w:t> </w:t>
      </w:r>
      <w:r>
        <w:rPr>
          <w:i/>
          <w:vertAlign w:val="baseline"/>
        </w:rPr>
        <w:t>vitro</w:t>
      </w:r>
      <w:r>
        <w:rPr>
          <w:i/>
          <w:spacing w:val="66"/>
          <w:w w:val="150"/>
          <w:vertAlign w:val="baseline"/>
        </w:rPr>
        <w:t> </w:t>
      </w:r>
      <w:r>
        <w:rPr>
          <w:vertAlign w:val="baseline"/>
        </w:rPr>
        <w:t>dissolution</w:t>
      </w:r>
      <w:r>
        <w:rPr>
          <w:spacing w:val="65"/>
          <w:w w:val="150"/>
          <w:vertAlign w:val="baseline"/>
        </w:rPr>
        <w:t> </w:t>
      </w:r>
      <w:r>
        <w:rPr>
          <w:vertAlign w:val="baseline"/>
        </w:rPr>
        <w:t>profiles</w:t>
      </w:r>
      <w:r>
        <w:rPr>
          <w:spacing w:val="65"/>
          <w:w w:val="150"/>
          <w:vertAlign w:val="baseline"/>
        </w:rPr>
        <w:t> </w:t>
      </w:r>
      <w:r>
        <w:rPr>
          <w:vertAlign w:val="baseline"/>
        </w:rPr>
        <w:t>with</w:t>
      </w:r>
      <w:r>
        <w:rPr>
          <w:spacing w:val="66"/>
          <w:w w:val="150"/>
          <w:vertAlign w:val="baseline"/>
        </w:rPr>
        <w:t> </w:t>
      </w:r>
      <w:r>
        <w:rPr>
          <w:i/>
          <w:vertAlign w:val="baseline"/>
        </w:rPr>
        <w:t>in</w:t>
      </w:r>
      <w:r>
        <w:rPr>
          <w:i/>
          <w:spacing w:val="65"/>
          <w:w w:val="150"/>
          <w:vertAlign w:val="baseline"/>
        </w:rPr>
        <w:t> </w:t>
      </w:r>
      <w:r>
        <w:rPr>
          <w:i/>
          <w:vertAlign w:val="baseline"/>
        </w:rPr>
        <w:t>vivo</w:t>
      </w:r>
      <w:r>
        <w:rPr>
          <w:i/>
          <w:spacing w:val="65"/>
          <w:w w:val="150"/>
          <w:vertAlign w:val="baseline"/>
        </w:rPr>
        <w:t> </w:t>
      </w:r>
      <w:r>
        <w:rPr>
          <w:spacing w:val="-2"/>
          <w:vertAlign w:val="baseline"/>
        </w:rPr>
        <w:t>pharmacokinetic</w:t>
      </w:r>
    </w:p>
    <w:p>
      <w:pPr>
        <w:spacing w:after="0" w:line="480" w:lineRule="auto"/>
        <w:jc w:val="both"/>
        <w:sectPr>
          <w:pgSz w:w="12240" w:h="15840"/>
          <w:pgMar w:header="0" w:footer="1068" w:top="1820" w:bottom="1260" w:left="1420" w:right="440"/>
        </w:sectPr>
      </w:pPr>
    </w:p>
    <w:p>
      <w:pPr>
        <w:pStyle w:val="BodyText"/>
        <w:spacing w:line="480" w:lineRule="auto" w:before="72"/>
        <w:ind w:left="380" w:right="1267"/>
        <w:jc w:val="both"/>
      </w:pPr>
      <w:r>
        <w:rPr/>
        <w:t>parameters of some commercial brands of aspirin tablets marketed in Nigeria (</w:t>
      </w:r>
      <w:r>
        <w:rPr>
          <w:color w:val="212121"/>
        </w:rPr>
        <w:t>Bamigbola, </w:t>
      </w:r>
      <w:r>
        <w:rPr>
          <w:color w:val="212121"/>
          <w:spacing w:val="-2"/>
        </w:rPr>
        <w:t>2012).</w:t>
      </w:r>
    </w:p>
    <w:p>
      <w:pPr>
        <w:pStyle w:val="ListParagraph"/>
        <w:numPr>
          <w:ilvl w:val="3"/>
          <w:numId w:val="18"/>
        </w:numPr>
        <w:tabs>
          <w:tab w:pos="1099" w:val="left" w:leader="none"/>
        </w:tabs>
        <w:spacing w:line="240" w:lineRule="auto" w:before="0" w:after="0"/>
        <w:ind w:left="1099" w:right="0" w:hanging="719"/>
        <w:jc w:val="left"/>
        <w:rPr>
          <w:i/>
          <w:sz w:val="24"/>
        </w:rPr>
      </w:pPr>
      <w:r>
        <w:rPr>
          <w:i/>
          <w:sz w:val="24"/>
        </w:rPr>
        <w:t>Relation</w:t>
      </w:r>
      <w:r>
        <w:rPr>
          <w:i/>
          <w:spacing w:val="-1"/>
          <w:sz w:val="24"/>
        </w:rPr>
        <w:t> </w:t>
      </w:r>
      <w:r>
        <w:rPr>
          <w:i/>
          <w:sz w:val="24"/>
        </w:rPr>
        <w:t>between dissolution</w:t>
      </w:r>
      <w:r>
        <w:rPr>
          <w:i/>
          <w:spacing w:val="-1"/>
          <w:sz w:val="24"/>
        </w:rPr>
        <w:t> </w:t>
      </w:r>
      <w:r>
        <w:rPr>
          <w:i/>
          <w:sz w:val="24"/>
        </w:rPr>
        <w:t>test and</w:t>
      </w:r>
      <w:r>
        <w:rPr>
          <w:i/>
          <w:spacing w:val="-1"/>
          <w:sz w:val="24"/>
        </w:rPr>
        <w:t> </w:t>
      </w:r>
      <w:r>
        <w:rPr>
          <w:i/>
          <w:spacing w:val="-2"/>
          <w:sz w:val="24"/>
        </w:rPr>
        <w:t>bioavailability</w:t>
      </w:r>
    </w:p>
    <w:p>
      <w:pPr>
        <w:pStyle w:val="BodyText"/>
        <w:rPr>
          <w:i/>
        </w:rPr>
      </w:pPr>
    </w:p>
    <w:p>
      <w:pPr>
        <w:pStyle w:val="BodyText"/>
        <w:spacing w:line="480" w:lineRule="auto"/>
        <w:ind w:left="380" w:right="1264"/>
        <w:jc w:val="both"/>
      </w:pPr>
      <w:r>
        <w:rPr/>
        <w:t>In biologic systems, drug dissolution in an aqueous medium is an important condition for systemic absorption and subsequent bioavailability. The rate at which drugs with poor aqueous solubility dissolve from an intact or disintegrated solid dosage form in the gastro intestinal tract often controls the rate of systemic absorption of the drug.</w:t>
      </w:r>
    </w:p>
    <w:p>
      <w:pPr>
        <w:pStyle w:val="BodyText"/>
        <w:spacing w:line="480" w:lineRule="auto" w:before="92"/>
        <w:ind w:left="380" w:right="1270"/>
        <w:jc w:val="both"/>
      </w:pPr>
      <w:r>
        <w:rPr/>
        <w:t>Dissolution</w:t>
      </w:r>
      <w:r>
        <w:rPr>
          <w:spacing w:val="-2"/>
        </w:rPr>
        <w:t> </w:t>
      </w:r>
      <w:r>
        <w:rPr/>
        <w:t>therefore,</w:t>
      </w:r>
      <w:r>
        <w:rPr>
          <w:spacing w:val="-2"/>
        </w:rPr>
        <w:t> </w:t>
      </w:r>
      <w:r>
        <w:rPr/>
        <w:t>is</w:t>
      </w:r>
      <w:r>
        <w:rPr>
          <w:spacing w:val="-2"/>
        </w:rPr>
        <w:t> </w:t>
      </w:r>
      <w:r>
        <w:rPr/>
        <w:t>the</w:t>
      </w:r>
      <w:r>
        <w:rPr>
          <w:spacing w:val="-3"/>
        </w:rPr>
        <w:t> </w:t>
      </w:r>
      <w:r>
        <w:rPr/>
        <w:t>process</w:t>
      </w:r>
      <w:r>
        <w:rPr>
          <w:spacing w:val="-2"/>
        </w:rPr>
        <w:t> </w:t>
      </w:r>
      <w:r>
        <w:rPr/>
        <w:t>by</w:t>
      </w:r>
      <w:r>
        <w:rPr>
          <w:spacing w:val="-7"/>
        </w:rPr>
        <w:t> </w:t>
      </w:r>
      <w:r>
        <w:rPr/>
        <w:t>which a</w:t>
      </w:r>
      <w:r>
        <w:rPr>
          <w:spacing w:val="-3"/>
        </w:rPr>
        <w:t> </w:t>
      </w:r>
      <w:r>
        <w:rPr/>
        <w:t>drug</w:t>
      </w:r>
      <w:r>
        <w:rPr>
          <w:spacing w:val="-5"/>
        </w:rPr>
        <w:t> </w:t>
      </w:r>
      <w:r>
        <w:rPr/>
        <w:t>substance</w:t>
      </w:r>
      <w:r>
        <w:rPr>
          <w:spacing w:val="-3"/>
        </w:rPr>
        <w:t> </w:t>
      </w:r>
      <w:r>
        <w:rPr/>
        <w:t>is</w:t>
      </w:r>
      <w:r>
        <w:rPr>
          <w:spacing w:val="-2"/>
        </w:rPr>
        <w:t> </w:t>
      </w:r>
      <w:r>
        <w:rPr/>
        <w:t>released</w:t>
      </w:r>
      <w:r>
        <w:rPr>
          <w:spacing w:val="-2"/>
        </w:rPr>
        <w:t> </w:t>
      </w:r>
      <w:r>
        <w:rPr/>
        <w:t>from</w:t>
      </w:r>
      <w:r>
        <w:rPr>
          <w:spacing w:val="-2"/>
        </w:rPr>
        <w:t> </w:t>
      </w:r>
      <w:r>
        <w:rPr/>
        <w:t>the</w:t>
      </w:r>
      <w:r>
        <w:rPr>
          <w:spacing w:val="-2"/>
        </w:rPr>
        <w:t> </w:t>
      </w:r>
      <w:r>
        <w:rPr/>
        <w:t>dosage form into a dissolution medium. A drug administered in a tablet or capsule form must be released, dissolved and reach its site of action before it can exert a pharmacological </w:t>
      </w:r>
      <w:r>
        <w:rPr>
          <w:spacing w:val="-2"/>
        </w:rPr>
        <w:t>response.</w:t>
      </w:r>
    </w:p>
    <w:p>
      <w:pPr>
        <w:pStyle w:val="BodyText"/>
        <w:spacing w:line="480" w:lineRule="auto"/>
        <w:ind w:left="380" w:right="1266"/>
        <w:jc w:val="both"/>
      </w:pPr>
      <w:r>
        <w:rPr/>
        <w:t>Dissolution of drug in the body represents the end of the release process and precedes the absorption of drugs from solid dosage forms. Various theories of tablet dissolution that have been proffered include: The diffusion layer model, the Noyes-Whitney theory, the Wagner’s, the Kitazawa, the El-Yazigi, the Carstensen’s theories, the Danckwert’s model (Olaniyi </w:t>
      </w:r>
      <w:r>
        <w:rPr>
          <w:i/>
        </w:rPr>
        <w:t>et al</w:t>
      </w:r>
      <w:r>
        <w:rPr/>
        <w:t>., 2001). Edwards in 1951 was the first to appreciate that following the oral administration of solid dosage forms, if the absorption process of drug from the gastrointestinal tract is</w:t>
      </w:r>
      <w:r>
        <w:rPr>
          <w:spacing w:val="-2"/>
        </w:rPr>
        <w:t> </w:t>
      </w:r>
      <w:r>
        <w:rPr/>
        <w:t>rapid,</w:t>
      </w:r>
      <w:r>
        <w:rPr>
          <w:spacing w:val="-2"/>
        </w:rPr>
        <w:t> </w:t>
      </w:r>
      <w:r>
        <w:rPr/>
        <w:t>then</w:t>
      </w:r>
      <w:r>
        <w:rPr>
          <w:spacing w:val="-2"/>
        </w:rPr>
        <w:t> </w:t>
      </w:r>
      <w:r>
        <w:rPr/>
        <w:t>the</w:t>
      </w:r>
      <w:r>
        <w:rPr>
          <w:spacing w:val="-1"/>
        </w:rPr>
        <w:t> </w:t>
      </w:r>
      <w:r>
        <w:rPr/>
        <w:t>rate</w:t>
      </w:r>
      <w:r>
        <w:rPr>
          <w:spacing w:val="-3"/>
        </w:rPr>
        <w:t> </w:t>
      </w:r>
      <w:r>
        <w:rPr/>
        <w:t>of</w:t>
      </w:r>
      <w:r>
        <w:rPr>
          <w:spacing w:val="-1"/>
        </w:rPr>
        <w:t> </w:t>
      </w:r>
      <w:r>
        <w:rPr/>
        <w:t>dissolution</w:t>
      </w:r>
      <w:r>
        <w:rPr>
          <w:spacing w:val="-2"/>
        </w:rPr>
        <w:t> </w:t>
      </w:r>
      <w:r>
        <w:rPr/>
        <w:t>of</w:t>
      </w:r>
      <w:r>
        <w:rPr>
          <w:spacing w:val="-2"/>
        </w:rPr>
        <w:t> </w:t>
      </w:r>
      <w:r>
        <w:rPr/>
        <w:t>that</w:t>
      </w:r>
      <w:r>
        <w:rPr>
          <w:spacing w:val="-2"/>
        </w:rPr>
        <w:t> </w:t>
      </w:r>
      <w:r>
        <w:rPr/>
        <w:t>drug</w:t>
      </w:r>
      <w:r>
        <w:rPr>
          <w:spacing w:val="-2"/>
        </w:rPr>
        <w:t> </w:t>
      </w:r>
      <w:r>
        <w:rPr/>
        <w:t>can</w:t>
      </w:r>
      <w:r>
        <w:rPr>
          <w:spacing w:val="-2"/>
        </w:rPr>
        <w:t> </w:t>
      </w:r>
      <w:r>
        <w:rPr/>
        <w:t>be</w:t>
      </w:r>
      <w:r>
        <w:rPr>
          <w:spacing w:val="-1"/>
        </w:rPr>
        <w:t> </w:t>
      </w:r>
      <w:r>
        <w:rPr/>
        <w:t>the step</w:t>
      </w:r>
      <w:r>
        <w:rPr>
          <w:spacing w:val="-1"/>
        </w:rPr>
        <w:t> </w:t>
      </w:r>
      <w:r>
        <w:rPr/>
        <w:t>which controls its appearance in the body. In fact, he postulated that the dissolution of an aspirin tablet in the stomach and intestine would be the rate process controlling the absorption of aspirin into the blood stream (Edwards </w:t>
      </w:r>
      <w:r>
        <w:rPr>
          <w:i/>
        </w:rPr>
        <w:t>et al</w:t>
      </w:r>
      <w:r>
        <w:rPr/>
        <w:t>., 1951). However, Nelson in 1957 was the</w:t>
      </w:r>
      <w:r>
        <w:rPr>
          <w:spacing w:val="40"/>
        </w:rPr>
        <w:t> </w:t>
      </w:r>
      <w:r>
        <w:rPr/>
        <w:t>first to explicitly</w:t>
      </w:r>
      <w:r>
        <w:rPr>
          <w:spacing w:val="-8"/>
        </w:rPr>
        <w:t> </w:t>
      </w:r>
      <w:r>
        <w:rPr/>
        <w:t>relate</w:t>
      </w:r>
      <w:r>
        <w:rPr>
          <w:spacing w:val="-1"/>
        </w:rPr>
        <w:t> </w:t>
      </w:r>
      <w:r>
        <w:rPr/>
        <w:t>the</w:t>
      </w:r>
      <w:r>
        <w:rPr>
          <w:spacing w:val="-1"/>
        </w:rPr>
        <w:t> </w:t>
      </w:r>
      <w:r>
        <w:rPr/>
        <w:t>blood levels of</w:t>
      </w:r>
      <w:r>
        <w:rPr>
          <w:spacing w:val="-1"/>
        </w:rPr>
        <w:t> </w:t>
      </w:r>
      <w:r>
        <w:rPr/>
        <w:t>orally</w:t>
      </w:r>
      <w:r>
        <w:rPr>
          <w:spacing w:val="-5"/>
        </w:rPr>
        <w:t> </w:t>
      </w:r>
      <w:r>
        <w:rPr/>
        <w:t>administered theophylline salts to their </w:t>
      </w:r>
      <w:r>
        <w:rPr>
          <w:i/>
        </w:rPr>
        <w:t>in vitro</w:t>
      </w:r>
      <w:r>
        <w:rPr>
          <w:i/>
          <w:spacing w:val="18"/>
        </w:rPr>
        <w:t> </w:t>
      </w:r>
      <w:r>
        <w:rPr/>
        <w:t>dissolution</w:t>
      </w:r>
      <w:r>
        <w:rPr>
          <w:spacing w:val="20"/>
        </w:rPr>
        <w:t> </w:t>
      </w:r>
      <w:r>
        <w:rPr/>
        <w:t>rate</w:t>
      </w:r>
      <w:r>
        <w:rPr>
          <w:spacing w:val="21"/>
        </w:rPr>
        <w:t> </w:t>
      </w:r>
      <w:r>
        <w:rPr/>
        <w:t>(Nelson,</w:t>
      </w:r>
      <w:r>
        <w:rPr>
          <w:spacing w:val="21"/>
        </w:rPr>
        <w:t> </w:t>
      </w:r>
      <w:r>
        <w:rPr/>
        <w:t>1957).</w:t>
      </w:r>
      <w:r>
        <w:rPr>
          <w:spacing w:val="20"/>
        </w:rPr>
        <w:t> </w:t>
      </w:r>
      <w:r>
        <w:rPr/>
        <w:t>He</w:t>
      </w:r>
      <w:r>
        <w:rPr>
          <w:spacing w:val="17"/>
        </w:rPr>
        <w:t> </w:t>
      </w:r>
      <w:r>
        <w:rPr/>
        <w:t>used</w:t>
      </w:r>
      <w:r>
        <w:rPr>
          <w:spacing w:val="19"/>
        </w:rPr>
        <w:t> </w:t>
      </w:r>
      <w:r>
        <w:rPr/>
        <w:t>a</w:t>
      </w:r>
      <w:r>
        <w:rPr>
          <w:spacing w:val="17"/>
        </w:rPr>
        <w:t> </w:t>
      </w:r>
      <w:r>
        <w:rPr/>
        <w:t>non-disintegrating</w:t>
      </w:r>
      <w:r>
        <w:rPr>
          <w:spacing w:val="17"/>
        </w:rPr>
        <w:t> </w:t>
      </w:r>
      <w:r>
        <w:rPr/>
        <w:t>drug</w:t>
      </w:r>
      <w:r>
        <w:rPr>
          <w:spacing w:val="20"/>
        </w:rPr>
        <w:t> </w:t>
      </w:r>
      <w:r>
        <w:rPr/>
        <w:t>pellet,</w:t>
      </w:r>
      <w:r>
        <w:rPr>
          <w:spacing w:val="20"/>
        </w:rPr>
        <w:t> </w:t>
      </w:r>
      <w:r>
        <w:rPr>
          <w:spacing w:val="-2"/>
        </w:rPr>
        <w:t>(mounted</w:t>
      </w:r>
    </w:p>
    <w:p>
      <w:pPr>
        <w:spacing w:after="0" w:line="480" w:lineRule="auto"/>
        <w:jc w:val="both"/>
        <w:sectPr>
          <w:pgSz w:w="12240" w:h="15840"/>
          <w:pgMar w:header="0" w:footer="1068" w:top="1540" w:bottom="1260" w:left="1420" w:right="440"/>
        </w:sectPr>
      </w:pPr>
    </w:p>
    <w:p>
      <w:pPr>
        <w:pStyle w:val="BodyText"/>
        <w:spacing w:line="480" w:lineRule="auto" w:before="72"/>
        <w:ind w:left="380" w:right="1264"/>
        <w:jc w:val="both"/>
      </w:pPr>
      <w:r>
        <w:rPr/>
        <w:t>on a glass side so that only</w:t>
      </w:r>
      <w:r>
        <w:rPr>
          <w:spacing w:val="-4"/>
        </w:rPr>
        <w:t> </w:t>
      </w:r>
      <w:r>
        <w:rPr/>
        <w:t>the upper face was exposed), placed at the bottom of a 600 mL beaker in such a manner that it could not rotate when the dissolution medium was stirred</w:t>
      </w:r>
      <w:r>
        <w:rPr>
          <w:spacing w:val="40"/>
        </w:rPr>
        <w:t> </w:t>
      </w:r>
      <w:r>
        <w:rPr/>
        <w:t>at 500 rpm. In mid 1960s to early 1970s a number of studies demonstrating the effect of dissolution on the bioavailability</w:t>
      </w:r>
      <w:r>
        <w:rPr>
          <w:spacing w:val="-2"/>
        </w:rPr>
        <w:t> </w:t>
      </w:r>
      <w:r>
        <w:rPr/>
        <w:t>of a variety of drugs were reported in the literature. Two reports were published in 1963 and 1964 drawing attention to the lack of full clinical</w:t>
      </w:r>
      <w:r>
        <w:rPr>
          <w:spacing w:val="40"/>
        </w:rPr>
        <w:t> </w:t>
      </w:r>
      <w:r>
        <w:rPr/>
        <w:t>effect for</w:t>
      </w:r>
      <w:r>
        <w:rPr>
          <w:spacing w:val="-1"/>
        </w:rPr>
        <w:t> </w:t>
      </w:r>
      <w:r>
        <w:rPr/>
        <w:t>two brands of</w:t>
      </w:r>
      <w:r>
        <w:rPr>
          <w:spacing w:val="-1"/>
        </w:rPr>
        <w:t> </w:t>
      </w:r>
      <w:r>
        <w:rPr/>
        <w:t>tolbutamide</w:t>
      </w:r>
      <w:r>
        <w:rPr>
          <w:spacing w:val="-1"/>
        </w:rPr>
        <w:t> </w:t>
      </w:r>
      <w:r>
        <w:rPr/>
        <w:t>marketed in Canada (Levy</w:t>
      </w:r>
      <w:r>
        <w:rPr>
          <w:spacing w:val="-2"/>
        </w:rPr>
        <w:t> </w:t>
      </w:r>
      <w:r>
        <w:rPr>
          <w:i/>
        </w:rPr>
        <w:t>et al., </w:t>
      </w:r>
      <w:r>
        <w:rPr/>
        <w:t>1980). These tablets were shown to have long disintegration times as well as slow dissolution characteristics (Levy, 1980). Besides, a slight change in formulation of an experimental tolbutamide preparation was shown to produce significantly lower blood levels and hypoglycemic effect (Varley, 1968).</w:t>
      </w:r>
      <w:r>
        <w:rPr>
          <w:spacing w:val="40"/>
        </w:rPr>
        <w:t> </w:t>
      </w:r>
      <w:r>
        <w:rPr/>
        <w:t>Martin </w:t>
      </w:r>
      <w:r>
        <w:rPr>
          <w:i/>
        </w:rPr>
        <w:t>et al. </w:t>
      </w:r>
      <w:r>
        <w:rPr/>
        <w:t>(1968) reported significant differences in the bioavailability between different brands of sodium diphenylhydantoin, chloramphenicol and sulfisoxazole.</w:t>
      </w:r>
    </w:p>
    <w:p>
      <w:pPr>
        <w:pStyle w:val="BodyText"/>
        <w:spacing w:line="480" w:lineRule="auto" w:before="2"/>
        <w:ind w:left="380" w:right="1268" w:firstLine="60"/>
        <w:jc w:val="both"/>
      </w:pPr>
      <w:r>
        <w:rPr/>
        <w:t>MacLeod </w:t>
      </w:r>
      <w:r>
        <w:rPr>
          <w:i/>
        </w:rPr>
        <w:t>et al. </w:t>
      </w:r>
      <w:r>
        <w:rPr/>
        <w:t>(1972) reported greater than 20 % difference in peak concentration and area</w:t>
      </w:r>
      <w:r>
        <w:rPr>
          <w:spacing w:val="-3"/>
        </w:rPr>
        <w:t> </w:t>
      </w:r>
      <w:r>
        <w:rPr/>
        <w:t>under</w:t>
      </w:r>
      <w:r>
        <w:rPr>
          <w:spacing w:val="-3"/>
        </w:rPr>
        <w:t> </w:t>
      </w:r>
      <w:r>
        <w:rPr/>
        <w:t>the</w:t>
      </w:r>
      <w:r>
        <w:rPr>
          <w:spacing w:val="-3"/>
        </w:rPr>
        <w:t> </w:t>
      </w:r>
      <w:r>
        <w:rPr/>
        <w:t>serum</w:t>
      </w:r>
      <w:r>
        <w:rPr>
          <w:spacing w:val="-3"/>
        </w:rPr>
        <w:t> </w:t>
      </w:r>
      <w:r>
        <w:rPr/>
        <w:t>concentration–time</w:t>
      </w:r>
      <w:r>
        <w:rPr>
          <w:spacing w:val="-3"/>
        </w:rPr>
        <w:t> </w:t>
      </w:r>
      <w:r>
        <w:rPr/>
        <w:t>curve</w:t>
      </w:r>
      <w:r>
        <w:rPr>
          <w:spacing w:val="-3"/>
        </w:rPr>
        <w:t> </w:t>
      </w:r>
      <w:r>
        <w:rPr/>
        <w:t>for</w:t>
      </w:r>
      <w:r>
        <w:rPr>
          <w:spacing w:val="-1"/>
        </w:rPr>
        <w:t> </w:t>
      </w:r>
      <w:r>
        <w:rPr/>
        <w:t>three</w:t>
      </w:r>
      <w:r>
        <w:rPr>
          <w:spacing w:val="-3"/>
        </w:rPr>
        <w:t> </w:t>
      </w:r>
      <w:r>
        <w:rPr/>
        <w:t>ampicillin</w:t>
      </w:r>
      <w:r>
        <w:rPr>
          <w:spacing w:val="-2"/>
        </w:rPr>
        <w:t> </w:t>
      </w:r>
      <w:r>
        <w:rPr/>
        <w:t>products. In</w:t>
      </w:r>
      <w:r>
        <w:rPr>
          <w:spacing w:val="-2"/>
        </w:rPr>
        <w:t> </w:t>
      </w:r>
      <w:r>
        <w:rPr/>
        <w:t>late</w:t>
      </w:r>
      <w:r>
        <w:rPr>
          <w:spacing w:val="-3"/>
        </w:rPr>
        <w:t> </w:t>
      </w:r>
      <w:r>
        <w:rPr/>
        <w:t>sixties it was realized that differences in product formulation could lead to large differences in speed</w:t>
      </w:r>
      <w:r>
        <w:rPr>
          <w:spacing w:val="75"/>
          <w:w w:val="150"/>
        </w:rPr>
        <w:t> </w:t>
      </w:r>
      <w:r>
        <w:rPr/>
        <w:t>of</w:t>
      </w:r>
      <w:r>
        <w:rPr>
          <w:spacing w:val="74"/>
          <w:w w:val="150"/>
        </w:rPr>
        <w:t> </w:t>
      </w:r>
      <w:r>
        <w:rPr/>
        <w:t>onset,</w:t>
      </w:r>
      <w:r>
        <w:rPr>
          <w:spacing w:val="75"/>
          <w:w w:val="150"/>
        </w:rPr>
        <w:t> </w:t>
      </w:r>
      <w:r>
        <w:rPr/>
        <w:t>intensity</w:t>
      </w:r>
      <w:r>
        <w:rPr>
          <w:spacing w:val="70"/>
          <w:w w:val="150"/>
        </w:rPr>
        <w:t> </w:t>
      </w:r>
      <w:r>
        <w:rPr/>
        <w:t>and</w:t>
      </w:r>
      <w:r>
        <w:rPr>
          <w:spacing w:val="75"/>
          <w:w w:val="150"/>
        </w:rPr>
        <w:t> </w:t>
      </w:r>
      <w:r>
        <w:rPr/>
        <w:t>duration</w:t>
      </w:r>
      <w:r>
        <w:rPr>
          <w:spacing w:val="75"/>
          <w:w w:val="150"/>
        </w:rPr>
        <w:t> </w:t>
      </w:r>
      <w:r>
        <w:rPr/>
        <w:t>of</w:t>
      </w:r>
      <w:r>
        <w:rPr>
          <w:spacing w:val="74"/>
          <w:w w:val="150"/>
        </w:rPr>
        <w:t> </w:t>
      </w:r>
      <w:r>
        <w:rPr/>
        <w:t>drug</w:t>
      </w:r>
      <w:r>
        <w:rPr>
          <w:spacing w:val="72"/>
          <w:w w:val="150"/>
        </w:rPr>
        <w:t> </w:t>
      </w:r>
      <w:r>
        <w:rPr/>
        <w:t>response.</w:t>
      </w:r>
      <w:r>
        <w:rPr>
          <w:spacing w:val="75"/>
          <w:w w:val="150"/>
        </w:rPr>
        <w:t> </w:t>
      </w:r>
      <w:r>
        <w:rPr/>
        <w:t>At</w:t>
      </w:r>
      <w:r>
        <w:rPr>
          <w:spacing w:val="75"/>
          <w:w w:val="150"/>
        </w:rPr>
        <w:t> </w:t>
      </w:r>
      <w:r>
        <w:rPr/>
        <w:t>that</w:t>
      </w:r>
      <w:r>
        <w:rPr>
          <w:spacing w:val="75"/>
          <w:w w:val="150"/>
        </w:rPr>
        <w:t> </w:t>
      </w:r>
      <w:r>
        <w:rPr/>
        <w:t>time</w:t>
      </w:r>
      <w:r>
        <w:rPr>
          <w:spacing w:val="74"/>
          <w:w w:val="150"/>
        </w:rPr>
        <w:t> </w:t>
      </w:r>
      <w:r>
        <w:rPr/>
        <w:t>the</w:t>
      </w:r>
      <w:r>
        <w:rPr>
          <w:spacing w:val="75"/>
          <w:w w:val="150"/>
        </w:rPr>
        <w:t> </w:t>
      </w:r>
      <w:r>
        <w:rPr>
          <w:spacing w:val="-4"/>
        </w:rPr>
        <w:t>term</w:t>
      </w:r>
    </w:p>
    <w:p>
      <w:pPr>
        <w:pStyle w:val="BodyText"/>
        <w:spacing w:line="480" w:lineRule="auto"/>
        <w:ind w:left="380" w:right="1273"/>
        <w:jc w:val="both"/>
      </w:pPr>
      <w:r>
        <w:rPr/>
        <w:t>―bioavailability‖ was coined to describe either the extent to which a particular drug is utilized pharmacologically or, more strictly, the fraction of dose reaching the general circulation (Lobenberg </w:t>
      </w:r>
      <w:r>
        <w:rPr>
          <w:i/>
        </w:rPr>
        <w:t>et al., </w:t>
      </w:r>
      <w:r>
        <w:rPr/>
        <w:t>2000)</w:t>
      </w:r>
    </w:p>
    <w:p>
      <w:pPr>
        <w:pStyle w:val="BodyText"/>
        <w:spacing w:before="1"/>
        <w:ind w:left="380"/>
        <w:jc w:val="both"/>
      </w:pPr>
      <w:r>
        <w:rPr/>
        <w:t>Dissolution</w:t>
      </w:r>
      <w:r>
        <w:rPr>
          <w:spacing w:val="-2"/>
        </w:rPr>
        <w:t> </w:t>
      </w:r>
      <w:r>
        <w:rPr/>
        <w:t>kinetics of a</w:t>
      </w:r>
      <w:r>
        <w:rPr>
          <w:spacing w:val="-2"/>
        </w:rPr>
        <w:t> </w:t>
      </w:r>
      <w:r>
        <w:rPr/>
        <w:t>drug</w:t>
      </w:r>
      <w:r>
        <w:rPr>
          <w:spacing w:val="-4"/>
        </w:rPr>
        <w:t> </w:t>
      </w:r>
      <w:r>
        <w:rPr/>
        <w:t>product can</w:t>
      </w:r>
      <w:r>
        <w:rPr>
          <w:spacing w:val="1"/>
        </w:rPr>
        <w:t> </w:t>
      </w:r>
      <w:r>
        <w:rPr/>
        <w:t>be</w:t>
      </w:r>
      <w:r>
        <w:rPr>
          <w:spacing w:val="-1"/>
        </w:rPr>
        <w:t> </w:t>
      </w:r>
      <w:r>
        <w:rPr/>
        <w:t>influenced by</w:t>
      </w:r>
      <w:r>
        <w:rPr>
          <w:spacing w:val="-5"/>
        </w:rPr>
        <w:t> </w:t>
      </w:r>
      <w:r>
        <w:rPr/>
        <w:t>various factors</w:t>
      </w:r>
      <w:r>
        <w:rPr>
          <w:spacing w:val="2"/>
        </w:rPr>
        <w:t> </w:t>
      </w:r>
      <w:r>
        <w:rPr/>
        <w:t>such </w:t>
      </w:r>
      <w:r>
        <w:rPr>
          <w:spacing w:val="-5"/>
        </w:rPr>
        <w:t>as</w:t>
      </w:r>
    </w:p>
    <w:p>
      <w:pPr>
        <w:pStyle w:val="ListParagraph"/>
        <w:numPr>
          <w:ilvl w:val="0"/>
          <w:numId w:val="20"/>
        </w:numPr>
        <w:tabs>
          <w:tab w:pos="740" w:val="left" w:leader="none"/>
        </w:tabs>
        <w:spacing w:line="480" w:lineRule="auto" w:before="276" w:after="0"/>
        <w:ind w:left="740" w:right="1271" w:hanging="360"/>
        <w:jc w:val="left"/>
        <w:rPr>
          <w:sz w:val="24"/>
        </w:rPr>
      </w:pPr>
      <w:r>
        <w:rPr>
          <w:sz w:val="24"/>
        </w:rPr>
        <w:t>The physicochemical</w:t>
      </w:r>
      <w:r>
        <w:rPr>
          <w:spacing w:val="29"/>
          <w:sz w:val="24"/>
        </w:rPr>
        <w:t> </w:t>
      </w:r>
      <w:r>
        <w:rPr>
          <w:sz w:val="24"/>
        </w:rPr>
        <w:t>characteristics</w:t>
      </w:r>
      <w:r>
        <w:rPr>
          <w:spacing w:val="29"/>
          <w:sz w:val="24"/>
        </w:rPr>
        <w:t> </w:t>
      </w:r>
      <w:r>
        <w:rPr>
          <w:sz w:val="24"/>
        </w:rPr>
        <w:t>of the drug</w:t>
      </w:r>
      <w:r>
        <w:rPr>
          <w:spacing w:val="29"/>
          <w:sz w:val="24"/>
        </w:rPr>
        <w:t> </w:t>
      </w:r>
      <w:r>
        <w:rPr>
          <w:sz w:val="24"/>
        </w:rPr>
        <w:t>substance e.g.</w:t>
      </w:r>
      <w:r>
        <w:rPr>
          <w:spacing w:val="29"/>
          <w:sz w:val="24"/>
        </w:rPr>
        <w:t> </w:t>
      </w:r>
      <w:r>
        <w:rPr>
          <w:sz w:val="24"/>
        </w:rPr>
        <w:t>particle size,</w:t>
      </w:r>
      <w:r>
        <w:rPr>
          <w:spacing w:val="29"/>
          <w:sz w:val="24"/>
        </w:rPr>
        <w:t> </w:t>
      </w:r>
      <w:r>
        <w:rPr>
          <w:sz w:val="24"/>
        </w:rPr>
        <w:t>particle shape, polymorphism, crystal form, salt ester formation.</w:t>
      </w:r>
    </w:p>
    <w:p>
      <w:pPr>
        <w:spacing w:after="0" w:line="480" w:lineRule="auto"/>
        <w:jc w:val="left"/>
        <w:rPr>
          <w:sz w:val="24"/>
        </w:rPr>
        <w:sectPr>
          <w:pgSz w:w="12240" w:h="15840"/>
          <w:pgMar w:header="0" w:footer="1068" w:top="1540" w:bottom="1260" w:left="1420" w:right="440"/>
        </w:sectPr>
      </w:pPr>
    </w:p>
    <w:p>
      <w:pPr>
        <w:pStyle w:val="ListParagraph"/>
        <w:numPr>
          <w:ilvl w:val="0"/>
          <w:numId w:val="20"/>
        </w:numPr>
        <w:tabs>
          <w:tab w:pos="738" w:val="left" w:leader="none"/>
          <w:tab w:pos="740" w:val="left" w:leader="none"/>
        </w:tabs>
        <w:spacing w:line="480" w:lineRule="auto" w:before="72" w:after="0"/>
        <w:ind w:left="740" w:right="1271" w:hanging="360"/>
        <w:jc w:val="both"/>
        <w:rPr>
          <w:sz w:val="24"/>
        </w:rPr>
      </w:pPr>
      <w:r>
        <w:rPr>
          <w:sz w:val="24"/>
        </w:rPr>
        <w:t>Formulation factors such as the nature and amount of excipients e.g. diluents, disintegrants, binders, lubricants, etc.</w:t>
      </w:r>
    </w:p>
    <w:p>
      <w:pPr>
        <w:pStyle w:val="ListParagraph"/>
        <w:numPr>
          <w:ilvl w:val="0"/>
          <w:numId w:val="20"/>
        </w:numPr>
        <w:tabs>
          <w:tab w:pos="738" w:val="left" w:leader="none"/>
          <w:tab w:pos="740" w:val="left" w:leader="none"/>
        </w:tabs>
        <w:spacing w:line="480" w:lineRule="auto" w:before="0" w:after="0"/>
        <w:ind w:left="740" w:right="1273" w:hanging="360"/>
        <w:jc w:val="both"/>
        <w:rPr>
          <w:sz w:val="24"/>
        </w:rPr>
      </w:pPr>
      <w:r>
        <w:rPr>
          <w:sz w:val="24"/>
        </w:rPr>
        <w:t>Manufacturing procedures such as the method of granulation, the size and density of the granules, moisture content, age of the granules, compressional force used in tabletting</w:t>
      </w:r>
      <w:r>
        <w:rPr>
          <w:spacing w:val="-2"/>
          <w:sz w:val="24"/>
        </w:rPr>
        <w:t> </w:t>
      </w:r>
      <w:r>
        <w:rPr>
          <w:sz w:val="24"/>
        </w:rPr>
        <w:t>process, the</w:t>
      </w:r>
      <w:r>
        <w:rPr>
          <w:spacing w:val="-1"/>
          <w:sz w:val="24"/>
        </w:rPr>
        <w:t> </w:t>
      </w:r>
      <w:r>
        <w:rPr>
          <w:sz w:val="24"/>
        </w:rPr>
        <w:t>quality</w:t>
      </w:r>
      <w:r>
        <w:rPr>
          <w:spacing w:val="-5"/>
          <w:sz w:val="24"/>
        </w:rPr>
        <w:t> </w:t>
      </w:r>
      <w:r>
        <w:rPr>
          <w:sz w:val="24"/>
        </w:rPr>
        <w:t>of the</w:t>
      </w:r>
      <w:r>
        <w:rPr>
          <w:spacing w:val="-1"/>
          <w:sz w:val="24"/>
        </w:rPr>
        <w:t> </w:t>
      </w:r>
      <w:r>
        <w:rPr>
          <w:sz w:val="24"/>
        </w:rPr>
        <w:t>personnel, the</w:t>
      </w:r>
      <w:r>
        <w:rPr>
          <w:spacing w:val="-1"/>
          <w:sz w:val="24"/>
        </w:rPr>
        <w:t> </w:t>
      </w:r>
      <w:r>
        <w:rPr>
          <w:sz w:val="24"/>
        </w:rPr>
        <w:t>sophistication of</w:t>
      </w:r>
      <w:r>
        <w:rPr>
          <w:spacing w:val="-1"/>
          <w:sz w:val="24"/>
        </w:rPr>
        <w:t> </w:t>
      </w:r>
      <w:r>
        <w:rPr>
          <w:sz w:val="24"/>
        </w:rPr>
        <w:t>the equipment and level of in process quality control (Olaniyi </w:t>
      </w:r>
      <w:r>
        <w:rPr>
          <w:i/>
          <w:sz w:val="24"/>
        </w:rPr>
        <w:t>et al</w:t>
      </w:r>
      <w:r>
        <w:rPr>
          <w:sz w:val="24"/>
        </w:rPr>
        <w:t>., 2001).</w:t>
      </w:r>
    </w:p>
    <w:p>
      <w:pPr>
        <w:pStyle w:val="BodyText"/>
        <w:spacing w:line="480" w:lineRule="auto" w:before="1"/>
        <w:ind w:left="380" w:right="1268"/>
        <w:jc w:val="both"/>
      </w:pPr>
      <w:r>
        <w:rPr/>
        <w:t>Drug</w:t>
      </w:r>
      <w:r>
        <w:rPr>
          <w:spacing w:val="-1"/>
        </w:rPr>
        <w:t> </w:t>
      </w:r>
      <w:r>
        <w:rPr/>
        <w:t>in the body</w:t>
      </w:r>
      <w:r>
        <w:rPr>
          <w:spacing w:val="-6"/>
        </w:rPr>
        <w:t> </w:t>
      </w:r>
      <w:r>
        <w:rPr/>
        <w:t>particularly, in the gastrointestinal tract, is considered to</w:t>
      </w:r>
      <w:r>
        <w:rPr>
          <w:spacing w:val="-1"/>
        </w:rPr>
        <w:t> </w:t>
      </w:r>
      <w:r>
        <w:rPr/>
        <w:t>be dissolving</w:t>
      </w:r>
      <w:r>
        <w:rPr>
          <w:spacing w:val="-1"/>
        </w:rPr>
        <w:t> </w:t>
      </w:r>
      <w:r>
        <w:rPr/>
        <w:t>in an aqueous environment. Therefore, temperature of the medium and the agitation rate also affect the rate drug dissolution. The </w:t>
      </w:r>
      <w:r>
        <w:rPr>
          <w:i/>
        </w:rPr>
        <w:t>in vivo </w:t>
      </w:r>
      <w:r>
        <w:rPr/>
        <w:t>temperature is maintained at a constant temperature of 37 </w:t>
      </w:r>
      <w:r>
        <w:rPr>
          <w:vertAlign w:val="superscript"/>
        </w:rPr>
        <w:t>o</w:t>
      </w:r>
      <w:r>
        <w:rPr>
          <w:vertAlign w:val="baseline"/>
        </w:rPr>
        <w:t>C, and the agitation (primarily peristaltic movement in the gastrointestinal tract) is reasonably constant (Olaniyi, 2000; Olaniyi </w:t>
      </w:r>
      <w:r>
        <w:rPr>
          <w:i/>
          <w:vertAlign w:val="baseline"/>
        </w:rPr>
        <w:t>et al</w:t>
      </w:r>
      <w:r>
        <w:rPr>
          <w:vertAlign w:val="baseline"/>
        </w:rPr>
        <w:t>., 2001).</w:t>
      </w:r>
    </w:p>
    <w:p>
      <w:pPr>
        <w:pStyle w:val="Heading2"/>
        <w:numPr>
          <w:ilvl w:val="1"/>
          <w:numId w:val="16"/>
        </w:numPr>
        <w:tabs>
          <w:tab w:pos="2605" w:val="left" w:leader="none"/>
        </w:tabs>
        <w:spacing w:line="240" w:lineRule="auto" w:before="96" w:after="0"/>
        <w:ind w:left="2605" w:right="0" w:hanging="360"/>
        <w:jc w:val="both"/>
      </w:pPr>
      <w:bookmarkStart w:name="_TOC_250046" w:id="38"/>
      <w:r>
        <w:rPr>
          <w:i/>
        </w:rPr>
        <w:t>In</w:t>
      </w:r>
      <w:r>
        <w:rPr>
          <w:i/>
          <w:spacing w:val="-2"/>
        </w:rPr>
        <w:t> </w:t>
      </w:r>
      <w:r>
        <w:rPr>
          <w:i/>
        </w:rPr>
        <w:t>Vivo</w:t>
      </w:r>
      <w:r>
        <w:rPr>
          <w:i/>
          <w:spacing w:val="-3"/>
        </w:rPr>
        <w:t> </w:t>
      </w:r>
      <w:r>
        <w:rPr/>
        <w:t>Quality</w:t>
      </w:r>
      <w:r>
        <w:rPr>
          <w:spacing w:val="-1"/>
        </w:rPr>
        <w:t> </w:t>
      </w:r>
      <w:r>
        <w:rPr/>
        <w:t>Assessment</w:t>
      </w:r>
      <w:r>
        <w:rPr>
          <w:spacing w:val="-2"/>
        </w:rPr>
        <w:t> </w:t>
      </w:r>
      <w:r>
        <w:rPr/>
        <w:t>of</w:t>
      </w:r>
      <w:r>
        <w:rPr>
          <w:spacing w:val="-2"/>
        </w:rPr>
        <w:t> </w:t>
      </w:r>
      <w:r>
        <w:rPr/>
        <w:t>Drug</w:t>
      </w:r>
      <w:r>
        <w:rPr>
          <w:spacing w:val="-1"/>
        </w:rPr>
        <w:t> </w:t>
      </w:r>
      <w:bookmarkEnd w:id="38"/>
      <w:r>
        <w:rPr>
          <w:spacing w:val="-2"/>
        </w:rPr>
        <w:t>Products</w:t>
      </w:r>
    </w:p>
    <w:p>
      <w:pPr>
        <w:pStyle w:val="BodyText"/>
        <w:spacing w:line="480" w:lineRule="auto" w:before="272"/>
        <w:ind w:left="380" w:right="1268"/>
        <w:jc w:val="both"/>
      </w:pPr>
      <w:r>
        <w:rPr/>
        <w:t>In addition to the </w:t>
      </w:r>
      <w:r>
        <w:rPr>
          <w:i/>
        </w:rPr>
        <w:t>in vitro </w:t>
      </w:r>
      <w:r>
        <w:rPr/>
        <w:t>quality assessment of drug products as prescribed in various pharmacopeias, </w:t>
      </w:r>
      <w:r>
        <w:rPr>
          <w:i/>
        </w:rPr>
        <w:t>in vivo </w:t>
      </w:r>
      <w:r>
        <w:rPr/>
        <w:t>bioavailability requirement is now an essential parameter in</w:t>
      </w:r>
      <w:r>
        <w:rPr>
          <w:spacing w:val="80"/>
        </w:rPr>
        <w:t> </w:t>
      </w:r>
      <w:r>
        <w:rPr/>
        <w:t>quality control of a number of medicinal products, particularly, those which have low or high therapeutic index or those which are poorly water soluble. This became necessary in view of apparent inadequacy of the </w:t>
      </w:r>
      <w:r>
        <w:rPr>
          <w:i/>
        </w:rPr>
        <w:t>in vitro </w:t>
      </w:r>
      <w:r>
        <w:rPr/>
        <w:t>pharmacopoeia tests which did not take into consideration whether or not the active ingredient would be released from the dosage</w:t>
      </w:r>
      <w:r>
        <w:rPr>
          <w:spacing w:val="40"/>
        </w:rPr>
        <w:t> </w:t>
      </w:r>
      <w:r>
        <w:rPr/>
        <w:t>form, or at what rate it gets into the biologic system </w:t>
      </w:r>
      <w:r>
        <w:rPr>
          <w:b/>
        </w:rPr>
        <w:t>(</w:t>
      </w:r>
      <w:r>
        <w:rPr/>
        <w:t>Olaniyi, 2000). Many formulations were produced and marketed that satisfied all the required legal standards but which were not therapeutically active </w:t>
      </w:r>
      <w:r>
        <w:rPr>
          <w:b/>
        </w:rPr>
        <w:t>(</w:t>
      </w:r>
      <w:r>
        <w:rPr/>
        <w:t>Akanni </w:t>
      </w:r>
      <w:r>
        <w:rPr>
          <w:i/>
        </w:rPr>
        <w:t>et al</w:t>
      </w:r>
      <w:r>
        <w:rPr/>
        <w:t>., 1993).</w:t>
      </w:r>
    </w:p>
    <w:p>
      <w:pPr>
        <w:pStyle w:val="BodyText"/>
        <w:spacing w:line="480" w:lineRule="auto" w:before="138"/>
        <w:ind w:left="380" w:right="1273"/>
        <w:jc w:val="both"/>
      </w:pPr>
      <w:r>
        <w:rPr/>
        <w:t>Events and certain realizations have revealed that percentage chemical strength was not</w:t>
      </w:r>
      <w:r>
        <w:rPr>
          <w:spacing w:val="40"/>
        </w:rPr>
        <w:t> </w:t>
      </w:r>
      <w:r>
        <w:rPr/>
        <w:t>the</w:t>
      </w:r>
      <w:r>
        <w:rPr>
          <w:spacing w:val="4"/>
        </w:rPr>
        <w:t> </w:t>
      </w:r>
      <w:r>
        <w:rPr/>
        <w:t>sole</w:t>
      </w:r>
      <w:r>
        <w:rPr>
          <w:spacing w:val="4"/>
        </w:rPr>
        <w:t> </w:t>
      </w:r>
      <w:r>
        <w:rPr/>
        <w:t>criterion</w:t>
      </w:r>
      <w:r>
        <w:rPr>
          <w:spacing w:val="5"/>
        </w:rPr>
        <w:t> </w:t>
      </w:r>
      <w:r>
        <w:rPr/>
        <w:t>for</w:t>
      </w:r>
      <w:r>
        <w:rPr>
          <w:spacing w:val="3"/>
        </w:rPr>
        <w:t> </w:t>
      </w:r>
      <w:r>
        <w:rPr/>
        <w:t>clinical</w:t>
      </w:r>
      <w:r>
        <w:rPr>
          <w:spacing w:val="6"/>
        </w:rPr>
        <w:t> </w:t>
      </w:r>
      <w:r>
        <w:rPr/>
        <w:t>effectiveness.</w:t>
      </w:r>
      <w:r>
        <w:rPr>
          <w:spacing w:val="7"/>
        </w:rPr>
        <w:t> </w:t>
      </w:r>
      <w:r>
        <w:rPr/>
        <w:t>It</w:t>
      </w:r>
      <w:r>
        <w:rPr>
          <w:spacing w:val="5"/>
        </w:rPr>
        <w:t> </w:t>
      </w:r>
      <w:r>
        <w:rPr/>
        <w:t>became</w:t>
      </w:r>
      <w:r>
        <w:rPr>
          <w:spacing w:val="4"/>
        </w:rPr>
        <w:t> </w:t>
      </w:r>
      <w:r>
        <w:rPr/>
        <w:t>obvious</w:t>
      </w:r>
      <w:r>
        <w:rPr>
          <w:spacing w:val="5"/>
        </w:rPr>
        <w:t> </w:t>
      </w:r>
      <w:r>
        <w:rPr/>
        <w:t>that</w:t>
      </w:r>
      <w:r>
        <w:rPr>
          <w:spacing w:val="5"/>
        </w:rPr>
        <w:t> </w:t>
      </w:r>
      <w:r>
        <w:rPr/>
        <w:t>a</w:t>
      </w:r>
      <w:r>
        <w:rPr>
          <w:spacing w:val="4"/>
        </w:rPr>
        <w:t> </w:t>
      </w:r>
      <w:r>
        <w:rPr/>
        <w:t>dosage</w:t>
      </w:r>
      <w:r>
        <w:rPr>
          <w:spacing w:val="6"/>
        </w:rPr>
        <w:t> </w:t>
      </w:r>
      <w:r>
        <w:rPr/>
        <w:t>form</w:t>
      </w:r>
      <w:r>
        <w:rPr>
          <w:spacing w:val="5"/>
        </w:rPr>
        <w:t> </w:t>
      </w:r>
      <w:r>
        <w:rPr/>
        <w:t>must</w:t>
      </w:r>
      <w:r>
        <w:rPr>
          <w:spacing w:val="6"/>
        </w:rPr>
        <w:t> </w:t>
      </w:r>
      <w:r>
        <w:rPr>
          <w:spacing w:val="-5"/>
        </w:rPr>
        <w:t>not</w:t>
      </w:r>
    </w:p>
    <w:p>
      <w:pPr>
        <w:spacing w:after="0" w:line="480" w:lineRule="auto"/>
        <w:jc w:val="both"/>
        <w:sectPr>
          <w:pgSz w:w="12240" w:h="15840"/>
          <w:pgMar w:header="0" w:footer="1068" w:top="1540" w:bottom="1260" w:left="1420" w:right="440"/>
        </w:sectPr>
      </w:pPr>
    </w:p>
    <w:p>
      <w:pPr>
        <w:pStyle w:val="BodyText"/>
        <w:spacing w:line="480" w:lineRule="auto" w:before="72"/>
        <w:ind w:left="380" w:right="1267"/>
        <w:jc w:val="both"/>
      </w:pPr>
      <w:r>
        <w:rPr/>
        <w:t>only contain the correct amount of labelled drugs, but must also release the drugs on administration for absorption in the patient. So apart from chemical purity and percentage strength, bioavailability, clinical efficacy and safety became additional criteria for</w:t>
      </w:r>
      <w:r>
        <w:rPr>
          <w:spacing w:val="40"/>
        </w:rPr>
        <w:t> </w:t>
      </w:r>
      <w:r>
        <w:rPr/>
        <w:t>effective product development. It is now recognized that various physicochemical properties and formulation factors can influence the biologic availability of medicaments from dosage form in the body system (Olaniyi </w:t>
      </w:r>
      <w:r>
        <w:rPr>
          <w:i/>
        </w:rPr>
        <w:t>et al</w:t>
      </w:r>
      <w:r>
        <w:rPr>
          <w:b/>
          <w:i/>
        </w:rPr>
        <w:t>., </w:t>
      </w:r>
      <w:r>
        <w:rPr/>
        <w:t>2001).</w:t>
      </w:r>
    </w:p>
    <w:p>
      <w:pPr>
        <w:spacing w:after="0" w:line="480" w:lineRule="auto"/>
        <w:jc w:val="both"/>
        <w:sectPr>
          <w:pgSz w:w="12240" w:h="15840"/>
          <w:pgMar w:header="0" w:footer="1068" w:top="1540" w:bottom="1260" w:left="1420" w:right="440"/>
        </w:sectPr>
      </w:pPr>
    </w:p>
    <w:p>
      <w:pPr>
        <w:pStyle w:val="Heading1"/>
        <w:spacing w:before="77"/>
        <w:ind w:right="708"/>
      </w:pPr>
      <w:bookmarkStart w:name="_TOC_250045" w:id="39"/>
      <w:r>
        <w:rPr/>
        <w:t>CHAPTER</w:t>
      </w:r>
      <w:r>
        <w:rPr>
          <w:spacing w:val="-4"/>
        </w:rPr>
        <w:t> </w:t>
      </w:r>
      <w:bookmarkEnd w:id="39"/>
      <w:r>
        <w:rPr>
          <w:spacing w:val="-2"/>
        </w:rPr>
        <w:t>THREE</w:t>
      </w:r>
    </w:p>
    <w:p>
      <w:pPr>
        <w:pStyle w:val="BodyText"/>
        <w:spacing w:before="120"/>
        <w:rPr>
          <w:b/>
        </w:rPr>
      </w:pPr>
    </w:p>
    <w:p>
      <w:pPr>
        <w:pStyle w:val="Heading1"/>
        <w:numPr>
          <w:ilvl w:val="1"/>
          <w:numId w:val="21"/>
        </w:numPr>
        <w:tabs>
          <w:tab w:pos="3421" w:val="left" w:leader="none"/>
        </w:tabs>
        <w:spacing w:line="240" w:lineRule="auto" w:before="0" w:after="0"/>
        <w:ind w:left="3421" w:right="0" w:hanging="360"/>
        <w:jc w:val="left"/>
      </w:pPr>
      <w:bookmarkStart w:name="_TOC_250044" w:id="40"/>
      <w:r>
        <w:rPr/>
        <w:t>MATERIALS</w:t>
      </w:r>
      <w:r>
        <w:rPr>
          <w:spacing w:val="-2"/>
        </w:rPr>
        <w:t> </w:t>
      </w:r>
      <w:r>
        <w:rPr/>
        <w:t>AND</w:t>
      </w:r>
      <w:r>
        <w:rPr>
          <w:spacing w:val="-1"/>
        </w:rPr>
        <w:t> </w:t>
      </w:r>
      <w:bookmarkEnd w:id="40"/>
      <w:r>
        <w:rPr>
          <w:spacing w:val="-2"/>
        </w:rPr>
        <w:t>METHOD</w:t>
      </w:r>
    </w:p>
    <w:p>
      <w:pPr>
        <w:pStyle w:val="BodyText"/>
        <w:spacing w:before="120"/>
        <w:rPr>
          <w:b/>
        </w:rPr>
      </w:pPr>
    </w:p>
    <w:p>
      <w:pPr>
        <w:pStyle w:val="Heading2"/>
        <w:numPr>
          <w:ilvl w:val="1"/>
          <w:numId w:val="19"/>
        </w:numPr>
        <w:tabs>
          <w:tab w:pos="4432" w:val="left" w:leader="none"/>
        </w:tabs>
        <w:spacing w:line="240" w:lineRule="auto" w:before="0" w:after="0"/>
        <w:ind w:left="4432" w:right="0" w:hanging="360"/>
        <w:jc w:val="left"/>
      </w:pPr>
      <w:bookmarkStart w:name="_TOC_250043" w:id="41"/>
      <w:bookmarkEnd w:id="41"/>
      <w:r>
        <w:rPr>
          <w:spacing w:val="-2"/>
        </w:rPr>
        <w:t>Materials</w:t>
      </w:r>
    </w:p>
    <w:p>
      <w:pPr>
        <w:pStyle w:val="BodyText"/>
        <w:rPr>
          <w:b/>
        </w:rPr>
      </w:pPr>
    </w:p>
    <w:p>
      <w:pPr>
        <w:pStyle w:val="Heading2"/>
        <w:numPr>
          <w:ilvl w:val="2"/>
          <w:numId w:val="19"/>
        </w:numPr>
        <w:tabs>
          <w:tab w:pos="1100" w:val="left" w:leader="none"/>
        </w:tabs>
        <w:spacing w:line="240" w:lineRule="auto" w:before="0" w:after="0"/>
        <w:ind w:left="1100" w:right="0" w:hanging="720"/>
        <w:jc w:val="left"/>
      </w:pPr>
      <w:bookmarkStart w:name="_TOC_250042" w:id="42"/>
      <w:bookmarkEnd w:id="42"/>
      <w:r>
        <w:rPr>
          <w:spacing w:val="-4"/>
        </w:rPr>
        <w:t>Drugs</w:t>
      </w:r>
    </w:p>
    <w:p>
      <w:pPr>
        <w:pStyle w:val="BodyText"/>
        <w:spacing w:before="19"/>
        <w:rPr>
          <w:b/>
        </w:rPr>
      </w:pPr>
    </w:p>
    <w:p>
      <w:pPr>
        <w:pStyle w:val="BodyText"/>
        <w:ind w:left="380"/>
      </w:pPr>
      <w:r>
        <w:rPr/>
        <w:t>Four</w:t>
      </w:r>
      <w:r>
        <w:rPr>
          <w:spacing w:val="-4"/>
        </w:rPr>
        <w:t> </w:t>
      </w:r>
      <w:r>
        <w:rPr/>
        <w:t>different</w:t>
      </w:r>
      <w:r>
        <w:rPr>
          <w:spacing w:val="-1"/>
        </w:rPr>
        <w:t> </w:t>
      </w:r>
      <w:r>
        <w:rPr/>
        <w:t>samples</w:t>
      </w:r>
      <w:r>
        <w:rPr>
          <w:spacing w:val="-1"/>
        </w:rPr>
        <w:t> </w:t>
      </w:r>
      <w:r>
        <w:rPr/>
        <w:t>of tinidazole</w:t>
      </w:r>
      <w:r>
        <w:rPr>
          <w:spacing w:val="-1"/>
        </w:rPr>
        <w:t> </w:t>
      </w:r>
      <w:r>
        <w:rPr/>
        <w:t>tablets (500</w:t>
      </w:r>
      <w:r>
        <w:rPr>
          <w:spacing w:val="-1"/>
        </w:rPr>
        <w:t> </w:t>
      </w:r>
      <w:r>
        <w:rPr/>
        <w:t>mg)</w:t>
      </w:r>
      <w:r>
        <w:rPr>
          <w:spacing w:val="-1"/>
        </w:rPr>
        <w:t> </w:t>
      </w:r>
      <w:r>
        <w:rPr/>
        <w:t>and</w:t>
      </w:r>
      <w:r>
        <w:rPr>
          <w:spacing w:val="-1"/>
        </w:rPr>
        <w:t> </w:t>
      </w:r>
      <w:r>
        <w:rPr/>
        <w:t>standard</w:t>
      </w:r>
      <w:r>
        <w:rPr>
          <w:spacing w:val="-1"/>
        </w:rPr>
        <w:t> </w:t>
      </w:r>
      <w:r>
        <w:rPr/>
        <w:t>powder</w:t>
      </w:r>
      <w:r>
        <w:rPr>
          <w:spacing w:val="-1"/>
        </w:rPr>
        <w:t> </w:t>
      </w:r>
      <w:r>
        <w:rPr/>
        <w:t>of</w:t>
      </w:r>
      <w:r>
        <w:rPr>
          <w:spacing w:val="-1"/>
        </w:rPr>
        <w:t> </w:t>
      </w:r>
      <w:r>
        <w:rPr>
          <w:spacing w:val="-2"/>
        </w:rPr>
        <w:t>tinidazole.</w:t>
      </w:r>
    </w:p>
    <w:p>
      <w:pPr>
        <w:pStyle w:val="BodyText"/>
        <w:spacing w:before="2"/>
      </w:pPr>
    </w:p>
    <w:p>
      <w:pPr>
        <w:pStyle w:val="Heading2"/>
        <w:numPr>
          <w:ilvl w:val="2"/>
          <w:numId w:val="19"/>
        </w:numPr>
        <w:tabs>
          <w:tab w:pos="920" w:val="left" w:leader="none"/>
        </w:tabs>
        <w:spacing w:line="240" w:lineRule="auto" w:before="1" w:after="0"/>
        <w:ind w:left="920" w:right="0" w:hanging="540"/>
        <w:jc w:val="left"/>
      </w:pPr>
      <w:bookmarkStart w:name="_TOC_250041" w:id="43"/>
      <w:r>
        <w:rPr/>
        <w:t>Glass</w:t>
      </w:r>
      <w:r>
        <w:rPr>
          <w:spacing w:val="-1"/>
        </w:rPr>
        <w:t> </w:t>
      </w:r>
      <w:r>
        <w:rPr/>
        <w:t>wares</w:t>
      </w:r>
      <w:r>
        <w:rPr>
          <w:spacing w:val="-1"/>
        </w:rPr>
        <w:t> </w:t>
      </w:r>
      <w:r>
        <w:rPr/>
        <w:t>and </w:t>
      </w:r>
      <w:bookmarkEnd w:id="43"/>
      <w:r>
        <w:rPr>
          <w:spacing w:val="-2"/>
        </w:rPr>
        <w:t>accessories</w:t>
      </w:r>
    </w:p>
    <w:p>
      <w:pPr>
        <w:pStyle w:val="BodyText"/>
        <w:spacing w:line="480" w:lineRule="auto" w:before="271"/>
        <w:ind w:left="380" w:right="5130"/>
      </w:pPr>
      <w:r>
        <w:rPr/>
        <w:t>2×250 mL Extraction tubes (Pyrex England) 2×100</w:t>
      </w:r>
      <w:r>
        <w:rPr>
          <w:spacing w:val="-8"/>
        </w:rPr>
        <w:t> </w:t>
      </w:r>
      <w:r>
        <w:rPr/>
        <w:t>mL</w:t>
      </w:r>
      <w:r>
        <w:rPr>
          <w:spacing w:val="-12"/>
        </w:rPr>
        <w:t> </w:t>
      </w:r>
      <w:r>
        <w:rPr/>
        <w:t>measuring</w:t>
      </w:r>
      <w:r>
        <w:rPr>
          <w:spacing w:val="-10"/>
        </w:rPr>
        <w:t> </w:t>
      </w:r>
      <w:r>
        <w:rPr/>
        <w:t>cylinders</w:t>
      </w:r>
      <w:r>
        <w:rPr>
          <w:spacing w:val="-7"/>
        </w:rPr>
        <w:t> </w:t>
      </w:r>
      <w:r>
        <w:rPr/>
        <w:t>(Pyrex</w:t>
      </w:r>
      <w:r>
        <w:rPr>
          <w:spacing w:val="-5"/>
        </w:rPr>
        <w:t> </w:t>
      </w:r>
      <w:r>
        <w:rPr/>
        <w:t>England)</w:t>
      </w:r>
    </w:p>
    <w:p>
      <w:pPr>
        <w:pStyle w:val="BodyText"/>
        <w:spacing w:line="480" w:lineRule="auto" w:before="1"/>
        <w:ind w:left="380" w:right="4347"/>
      </w:pPr>
      <w:r>
        <w:rPr/>
        <w:t>2×100</w:t>
      </w:r>
      <w:r>
        <w:rPr>
          <w:spacing w:val="-6"/>
        </w:rPr>
        <w:t> </w:t>
      </w:r>
      <w:r>
        <w:rPr/>
        <w:t>mL</w:t>
      </w:r>
      <w:r>
        <w:rPr>
          <w:spacing w:val="-8"/>
        </w:rPr>
        <w:t> </w:t>
      </w:r>
      <w:r>
        <w:rPr/>
        <w:t>and</w:t>
      </w:r>
      <w:r>
        <w:rPr>
          <w:spacing w:val="-5"/>
        </w:rPr>
        <w:t> </w:t>
      </w:r>
      <w:r>
        <w:rPr/>
        <w:t>2×250</w:t>
      </w:r>
      <w:r>
        <w:rPr>
          <w:spacing w:val="-5"/>
        </w:rPr>
        <w:t> </w:t>
      </w:r>
      <w:r>
        <w:rPr/>
        <w:t>mL</w:t>
      </w:r>
      <w:r>
        <w:rPr>
          <w:spacing w:val="-8"/>
        </w:rPr>
        <w:t> </w:t>
      </w:r>
      <w:r>
        <w:rPr/>
        <w:t>conical</w:t>
      </w:r>
      <w:r>
        <w:rPr>
          <w:spacing w:val="-5"/>
        </w:rPr>
        <w:t> </w:t>
      </w:r>
      <w:r>
        <w:rPr/>
        <w:t>flasks</w:t>
      </w:r>
      <w:r>
        <w:rPr>
          <w:spacing w:val="-5"/>
        </w:rPr>
        <w:t> </w:t>
      </w:r>
      <w:r>
        <w:rPr/>
        <w:t>(Pyrex</w:t>
      </w:r>
      <w:r>
        <w:rPr>
          <w:spacing w:val="-3"/>
        </w:rPr>
        <w:t> </w:t>
      </w:r>
      <w:r>
        <w:rPr/>
        <w:t>England) 2×25 mL and 2×50 mL beakers (Pyrex England)</w:t>
      </w:r>
    </w:p>
    <w:p>
      <w:pPr>
        <w:pStyle w:val="BodyText"/>
        <w:ind w:left="380"/>
      </w:pPr>
      <w:r>
        <w:rPr/>
        <w:t>6×10</w:t>
      </w:r>
      <w:r>
        <w:rPr>
          <w:spacing w:val="-2"/>
        </w:rPr>
        <w:t> </w:t>
      </w:r>
      <w:r>
        <w:rPr/>
        <w:t>mL</w:t>
      </w:r>
      <w:r>
        <w:rPr>
          <w:spacing w:val="-5"/>
        </w:rPr>
        <w:t> </w:t>
      </w:r>
      <w:r>
        <w:rPr/>
        <w:t>test tubes</w:t>
      </w:r>
      <w:r>
        <w:rPr>
          <w:spacing w:val="2"/>
        </w:rPr>
        <w:t> </w:t>
      </w:r>
      <w:r>
        <w:rPr/>
        <w:t>(Pyrex</w:t>
      </w:r>
      <w:r>
        <w:rPr>
          <w:spacing w:val="2"/>
        </w:rPr>
        <w:t> </w:t>
      </w:r>
      <w:r>
        <w:rPr>
          <w:spacing w:val="-2"/>
        </w:rPr>
        <w:t>England)</w:t>
      </w:r>
    </w:p>
    <w:p>
      <w:pPr>
        <w:pStyle w:val="BodyText"/>
      </w:pPr>
    </w:p>
    <w:p>
      <w:pPr>
        <w:pStyle w:val="BodyText"/>
        <w:ind w:left="380"/>
      </w:pPr>
      <w:r>
        <w:rPr/>
        <w:t>6×15</w:t>
      </w:r>
      <w:r>
        <w:rPr>
          <w:spacing w:val="-2"/>
        </w:rPr>
        <w:t> </w:t>
      </w:r>
      <w:r>
        <w:rPr/>
        <w:t>mL</w:t>
      </w:r>
      <w:r>
        <w:rPr>
          <w:spacing w:val="-3"/>
        </w:rPr>
        <w:t> </w:t>
      </w:r>
      <w:r>
        <w:rPr/>
        <w:t>centrifuge</w:t>
      </w:r>
      <w:r>
        <w:rPr>
          <w:spacing w:val="-2"/>
        </w:rPr>
        <w:t> </w:t>
      </w:r>
      <w:r>
        <w:rPr/>
        <w:t>tubes (Pyrex</w:t>
      </w:r>
      <w:r>
        <w:rPr>
          <w:spacing w:val="2"/>
        </w:rPr>
        <w:t> </w:t>
      </w:r>
      <w:r>
        <w:rPr>
          <w:spacing w:val="-2"/>
        </w:rPr>
        <w:t>England)</w:t>
      </w:r>
    </w:p>
    <w:p>
      <w:pPr>
        <w:pStyle w:val="BodyText"/>
      </w:pPr>
    </w:p>
    <w:p>
      <w:pPr>
        <w:pStyle w:val="BodyText"/>
        <w:spacing w:line="480" w:lineRule="auto"/>
        <w:ind w:left="380" w:right="2875"/>
      </w:pPr>
      <w:r>
        <w:rPr/>
        <w:t>2×25</w:t>
      </w:r>
      <w:r>
        <w:rPr>
          <w:spacing w:val="-5"/>
        </w:rPr>
        <w:t> </w:t>
      </w:r>
      <w:r>
        <w:rPr/>
        <w:t>mL,</w:t>
      </w:r>
      <w:r>
        <w:rPr>
          <w:spacing w:val="-4"/>
        </w:rPr>
        <w:t> </w:t>
      </w:r>
      <w:r>
        <w:rPr/>
        <w:t>2×50</w:t>
      </w:r>
      <w:r>
        <w:rPr>
          <w:spacing w:val="-4"/>
        </w:rPr>
        <w:t> </w:t>
      </w:r>
      <w:r>
        <w:rPr/>
        <w:t>mL</w:t>
      </w:r>
      <w:r>
        <w:rPr>
          <w:spacing w:val="-7"/>
        </w:rPr>
        <w:t> </w:t>
      </w:r>
      <w:r>
        <w:rPr/>
        <w:t>and</w:t>
      </w:r>
      <w:r>
        <w:rPr>
          <w:spacing w:val="-2"/>
        </w:rPr>
        <w:t> </w:t>
      </w:r>
      <w:r>
        <w:rPr/>
        <w:t>2×100</w:t>
      </w:r>
      <w:r>
        <w:rPr>
          <w:spacing w:val="-4"/>
        </w:rPr>
        <w:t> </w:t>
      </w:r>
      <w:r>
        <w:rPr/>
        <w:t>mL</w:t>
      </w:r>
      <w:r>
        <w:rPr>
          <w:spacing w:val="-9"/>
        </w:rPr>
        <w:t> </w:t>
      </w:r>
      <w:r>
        <w:rPr/>
        <w:t>volumetric</w:t>
      </w:r>
      <w:r>
        <w:rPr>
          <w:spacing w:val="-5"/>
        </w:rPr>
        <w:t> </w:t>
      </w:r>
      <w:r>
        <w:rPr/>
        <w:t>flasks</w:t>
      </w:r>
      <w:r>
        <w:rPr>
          <w:spacing w:val="-4"/>
        </w:rPr>
        <w:t> </w:t>
      </w:r>
      <w:r>
        <w:rPr/>
        <w:t>(Pyrex</w:t>
      </w:r>
      <w:r>
        <w:rPr>
          <w:spacing w:val="-2"/>
        </w:rPr>
        <w:t> </w:t>
      </w:r>
      <w:r>
        <w:rPr/>
        <w:t>England) 20×Filter paper</w:t>
      </w:r>
    </w:p>
    <w:p>
      <w:pPr>
        <w:pStyle w:val="Heading2"/>
        <w:numPr>
          <w:ilvl w:val="2"/>
          <w:numId w:val="19"/>
        </w:numPr>
        <w:tabs>
          <w:tab w:pos="920" w:val="left" w:leader="none"/>
        </w:tabs>
        <w:spacing w:line="240" w:lineRule="auto" w:before="5" w:after="0"/>
        <w:ind w:left="920" w:right="0" w:hanging="540"/>
        <w:jc w:val="left"/>
      </w:pPr>
      <w:bookmarkStart w:name="_TOC_250040" w:id="44"/>
      <w:bookmarkEnd w:id="44"/>
      <w:r>
        <w:rPr>
          <w:spacing w:val="-2"/>
        </w:rPr>
        <w:t>Equipment</w:t>
      </w:r>
    </w:p>
    <w:p>
      <w:pPr>
        <w:pStyle w:val="BodyText"/>
        <w:spacing w:line="480" w:lineRule="auto" w:before="271"/>
        <w:ind w:left="380" w:right="4347"/>
      </w:pPr>
      <w:r>
        <w:rPr/>
        <w:t>Electronic</w:t>
      </w:r>
      <w:r>
        <w:rPr>
          <w:spacing w:val="-7"/>
        </w:rPr>
        <w:t> </w:t>
      </w:r>
      <w:r>
        <w:rPr/>
        <w:t>weighing</w:t>
      </w:r>
      <w:r>
        <w:rPr>
          <w:spacing w:val="-8"/>
        </w:rPr>
        <w:t> </w:t>
      </w:r>
      <w:r>
        <w:rPr/>
        <w:t>balance</w:t>
      </w:r>
      <w:r>
        <w:rPr>
          <w:spacing w:val="-7"/>
        </w:rPr>
        <w:t> </w:t>
      </w:r>
      <w:r>
        <w:rPr/>
        <w:t>(Metlers</w:t>
      </w:r>
      <w:r>
        <w:rPr>
          <w:spacing w:val="-6"/>
        </w:rPr>
        <w:t> </w:t>
      </w:r>
      <w:r>
        <w:rPr/>
        <w:t>Pr</w:t>
      </w:r>
      <w:r>
        <w:rPr>
          <w:spacing w:val="-6"/>
        </w:rPr>
        <w:t> </w:t>
      </w:r>
      <w:r>
        <w:rPr/>
        <w:t>63</w:t>
      </w:r>
      <w:r>
        <w:rPr>
          <w:spacing w:val="-6"/>
        </w:rPr>
        <w:t> </w:t>
      </w:r>
      <w:r>
        <w:rPr/>
        <w:t>Switzerland). Tablet friabilator (Erweka TA3, Germany).</w:t>
      </w:r>
    </w:p>
    <w:p>
      <w:pPr>
        <w:pStyle w:val="BodyText"/>
        <w:ind w:left="380"/>
      </w:pPr>
      <w:r>
        <w:rPr/>
        <w:t>Disintegration</w:t>
      </w:r>
      <w:r>
        <w:rPr>
          <w:spacing w:val="-2"/>
        </w:rPr>
        <w:t> </w:t>
      </w:r>
      <w:r>
        <w:rPr/>
        <w:t>apparatus</w:t>
      </w:r>
      <w:r>
        <w:rPr>
          <w:spacing w:val="-1"/>
        </w:rPr>
        <w:t> </w:t>
      </w:r>
      <w:r>
        <w:rPr/>
        <w:t>(Erweka</w:t>
      </w:r>
      <w:r>
        <w:rPr>
          <w:spacing w:val="-2"/>
        </w:rPr>
        <w:t> </w:t>
      </w:r>
      <w:r>
        <w:rPr/>
        <w:t>G.M.B.H</w:t>
      </w:r>
      <w:r>
        <w:rPr>
          <w:spacing w:val="-1"/>
        </w:rPr>
        <w:t> </w:t>
      </w:r>
      <w:r>
        <w:rPr>
          <w:spacing w:val="-2"/>
        </w:rPr>
        <w:t>Germany)</w:t>
      </w:r>
    </w:p>
    <w:p>
      <w:pPr>
        <w:pStyle w:val="BodyText"/>
        <w:spacing w:before="1"/>
      </w:pPr>
    </w:p>
    <w:p>
      <w:pPr>
        <w:pStyle w:val="BodyText"/>
        <w:spacing w:line="480" w:lineRule="auto"/>
        <w:ind w:left="380" w:right="2875"/>
      </w:pPr>
      <w:r>
        <w:rPr/>
        <w:t>Tablet hardness tester (Monsanto, Philip Harries Ltd, England) Centrifugation</w:t>
      </w:r>
      <w:r>
        <w:rPr>
          <w:spacing w:val="-7"/>
        </w:rPr>
        <w:t> </w:t>
      </w:r>
      <w:r>
        <w:rPr/>
        <w:t>machine</w:t>
      </w:r>
      <w:r>
        <w:rPr>
          <w:spacing w:val="-7"/>
        </w:rPr>
        <w:t> </w:t>
      </w:r>
      <w:r>
        <w:rPr/>
        <w:t>(Gallen</w:t>
      </w:r>
      <w:r>
        <w:rPr>
          <w:spacing w:val="-7"/>
        </w:rPr>
        <w:t> </w:t>
      </w:r>
      <w:r>
        <w:rPr/>
        <w:t>Kamp,</w:t>
      </w:r>
      <w:r>
        <w:rPr>
          <w:spacing w:val="-7"/>
        </w:rPr>
        <w:t> </w:t>
      </w:r>
      <w:r>
        <w:rPr/>
        <w:t>Philip</w:t>
      </w:r>
      <w:r>
        <w:rPr>
          <w:spacing w:val="-7"/>
        </w:rPr>
        <w:t> </w:t>
      </w:r>
      <w:r>
        <w:rPr/>
        <w:t>Harries</w:t>
      </w:r>
      <w:r>
        <w:rPr>
          <w:spacing w:val="-5"/>
        </w:rPr>
        <w:t> </w:t>
      </w:r>
      <w:r>
        <w:rPr/>
        <w:t>Ltd,</w:t>
      </w:r>
      <w:r>
        <w:rPr>
          <w:spacing w:val="-7"/>
        </w:rPr>
        <w:t> </w:t>
      </w:r>
      <w:r>
        <w:rPr/>
        <w:t>England) Gallen Kamp Hot Air Oven (Philip Harries Ltd, England)</w:t>
      </w:r>
    </w:p>
    <w:p>
      <w:pPr>
        <w:pStyle w:val="BodyText"/>
        <w:ind w:left="380"/>
      </w:pPr>
      <w:r>
        <w:rPr/>
        <w:t>Porcelain</w:t>
      </w:r>
      <w:r>
        <w:rPr>
          <w:spacing w:val="-2"/>
        </w:rPr>
        <w:t> </w:t>
      </w:r>
      <w:r>
        <w:rPr/>
        <w:t>pestle</w:t>
      </w:r>
      <w:r>
        <w:rPr>
          <w:spacing w:val="-3"/>
        </w:rPr>
        <w:t> </w:t>
      </w:r>
      <w:r>
        <w:rPr/>
        <w:t>and</w:t>
      </w:r>
      <w:r>
        <w:rPr>
          <w:spacing w:val="-1"/>
        </w:rPr>
        <w:t> </w:t>
      </w:r>
      <w:r>
        <w:rPr>
          <w:spacing w:val="-2"/>
        </w:rPr>
        <w:t>mortar</w:t>
      </w:r>
    </w:p>
    <w:p>
      <w:pPr>
        <w:pStyle w:val="BodyText"/>
      </w:pPr>
    </w:p>
    <w:p>
      <w:pPr>
        <w:pStyle w:val="BodyText"/>
        <w:ind w:left="380"/>
      </w:pPr>
      <w:r>
        <w:rPr/>
        <w:t>Thermometer</w:t>
      </w:r>
      <w:r>
        <w:rPr>
          <w:spacing w:val="-5"/>
        </w:rPr>
        <w:t> </w:t>
      </w:r>
      <w:r>
        <w:rPr/>
        <w:t>(Mc</w:t>
      </w:r>
      <w:r>
        <w:rPr>
          <w:spacing w:val="-4"/>
        </w:rPr>
        <w:t> </w:t>
      </w:r>
      <w:r>
        <w:rPr/>
        <w:t>Donald</w:t>
      </w:r>
      <w:r>
        <w:rPr>
          <w:spacing w:val="-3"/>
        </w:rPr>
        <w:t> </w:t>
      </w:r>
      <w:r>
        <w:rPr/>
        <w:t>Scientific</w:t>
      </w:r>
      <w:r>
        <w:rPr>
          <w:spacing w:val="-1"/>
        </w:rPr>
        <w:t> </w:t>
      </w:r>
      <w:r>
        <w:rPr/>
        <w:t>International, </w:t>
      </w:r>
      <w:r>
        <w:rPr>
          <w:spacing w:val="-2"/>
        </w:rPr>
        <w:t>England)</w:t>
      </w:r>
    </w:p>
    <w:p>
      <w:pPr>
        <w:spacing w:after="0"/>
        <w:sectPr>
          <w:pgSz w:w="12240" w:h="15840"/>
          <w:pgMar w:header="0" w:footer="1068" w:top="1540" w:bottom="1260" w:left="1420" w:right="440"/>
        </w:sectPr>
      </w:pPr>
    </w:p>
    <w:p>
      <w:pPr>
        <w:pStyle w:val="BodyText"/>
        <w:spacing w:line="480" w:lineRule="auto" w:before="72"/>
        <w:ind w:left="380" w:right="2875"/>
      </w:pPr>
      <w:r>
        <w:rPr/>
        <w:t>Dissolution</w:t>
      </w:r>
      <w:r>
        <w:rPr>
          <w:spacing w:val="-6"/>
        </w:rPr>
        <w:t> </w:t>
      </w:r>
      <w:r>
        <w:rPr/>
        <w:t>machine</w:t>
      </w:r>
      <w:r>
        <w:rPr>
          <w:spacing w:val="-6"/>
        </w:rPr>
        <w:t> </w:t>
      </w:r>
      <w:r>
        <w:rPr/>
        <w:t>(DA-6D,</w:t>
      </w:r>
      <w:r>
        <w:rPr>
          <w:spacing w:val="-6"/>
        </w:rPr>
        <w:t> </w:t>
      </w:r>
      <w:r>
        <w:rPr/>
        <w:t>Veego</w:t>
      </w:r>
      <w:r>
        <w:rPr>
          <w:spacing w:val="-6"/>
        </w:rPr>
        <w:t> </w:t>
      </w:r>
      <w:r>
        <w:rPr/>
        <w:t>Scientific</w:t>
      </w:r>
      <w:r>
        <w:rPr>
          <w:spacing w:val="-7"/>
        </w:rPr>
        <w:t> </w:t>
      </w:r>
      <w:r>
        <w:rPr/>
        <w:t>devices</w:t>
      </w:r>
      <w:r>
        <w:rPr>
          <w:spacing w:val="-6"/>
        </w:rPr>
        <w:t> </w:t>
      </w:r>
      <w:r>
        <w:rPr/>
        <w:t>Mumbai,</w:t>
      </w:r>
      <w:r>
        <w:rPr>
          <w:spacing w:val="-4"/>
        </w:rPr>
        <w:t> </w:t>
      </w:r>
      <w:r>
        <w:rPr/>
        <w:t>India) UV Spectrophotometer (Helios Zeta and Model 164617)</w:t>
      </w:r>
    </w:p>
    <w:p>
      <w:pPr>
        <w:pStyle w:val="BodyText"/>
        <w:ind w:left="380"/>
      </w:pPr>
      <w:r>
        <w:rPr/>
        <w:t>Stop</w:t>
      </w:r>
      <w:r>
        <w:rPr>
          <w:spacing w:val="-2"/>
        </w:rPr>
        <w:t> </w:t>
      </w:r>
      <w:r>
        <w:rPr/>
        <w:t>watch</w:t>
      </w:r>
      <w:r>
        <w:rPr>
          <w:spacing w:val="-1"/>
        </w:rPr>
        <w:t> </w:t>
      </w:r>
      <w:r>
        <w:rPr/>
        <w:t>(Smith England</w:t>
      </w:r>
      <w:r>
        <w:rPr>
          <w:spacing w:val="-1"/>
        </w:rPr>
        <w:t> </w:t>
      </w:r>
      <w:r>
        <w:rPr/>
        <w:t>clock</w:t>
      </w:r>
      <w:r>
        <w:rPr>
          <w:spacing w:val="-1"/>
        </w:rPr>
        <w:t> </w:t>
      </w:r>
      <w:r>
        <w:rPr>
          <w:spacing w:val="-2"/>
        </w:rPr>
        <w:t>system)</w:t>
      </w:r>
    </w:p>
    <w:p>
      <w:pPr>
        <w:pStyle w:val="BodyText"/>
        <w:spacing w:before="5"/>
      </w:pPr>
    </w:p>
    <w:p>
      <w:pPr>
        <w:pStyle w:val="Heading2"/>
        <w:numPr>
          <w:ilvl w:val="2"/>
          <w:numId w:val="19"/>
        </w:numPr>
        <w:tabs>
          <w:tab w:pos="1100" w:val="left" w:leader="none"/>
        </w:tabs>
        <w:spacing w:line="240" w:lineRule="auto" w:before="0" w:after="0"/>
        <w:ind w:left="1100" w:right="0" w:hanging="720"/>
        <w:jc w:val="left"/>
      </w:pPr>
      <w:bookmarkStart w:name="_TOC_250039" w:id="45"/>
      <w:bookmarkEnd w:id="45"/>
      <w:r>
        <w:rPr>
          <w:spacing w:val="-2"/>
        </w:rPr>
        <w:t>Reagents</w:t>
      </w:r>
    </w:p>
    <w:p>
      <w:pPr>
        <w:pStyle w:val="BodyText"/>
        <w:spacing w:line="480" w:lineRule="auto" w:before="271"/>
        <w:ind w:left="380" w:right="5580"/>
      </w:pPr>
      <w:r>
        <w:rPr/>
        <w:t>Glacial</w:t>
      </w:r>
      <w:r>
        <w:rPr>
          <w:spacing w:val="-9"/>
        </w:rPr>
        <w:t> </w:t>
      </w:r>
      <w:r>
        <w:rPr/>
        <w:t>acetic</w:t>
      </w:r>
      <w:r>
        <w:rPr>
          <w:spacing w:val="-10"/>
        </w:rPr>
        <w:t> </w:t>
      </w:r>
      <w:r>
        <w:rPr/>
        <w:t>acid</w:t>
      </w:r>
      <w:r>
        <w:rPr>
          <w:spacing w:val="-9"/>
        </w:rPr>
        <w:t> </w:t>
      </w:r>
      <w:r>
        <w:rPr/>
        <w:t>(BPH</w:t>
      </w:r>
      <w:r>
        <w:rPr>
          <w:spacing w:val="-8"/>
        </w:rPr>
        <w:t> </w:t>
      </w:r>
      <w:r>
        <w:rPr/>
        <w:t>Chemical,</w:t>
      </w:r>
      <w:r>
        <w:rPr>
          <w:spacing w:val="-9"/>
        </w:rPr>
        <w:t> </w:t>
      </w:r>
      <w:r>
        <w:rPr/>
        <w:t>England) Distilled water (BPH Chemical, England) Methanol (BPH Chemical, England) Disodium Hydrogen Orthophosphate Potasium Dihydrogen Orthophosphate Sodium Chloride (BPH Chemical, England) Conc. HCl (BPH Chemical, England)</w:t>
      </w:r>
    </w:p>
    <w:p>
      <w:pPr>
        <w:pStyle w:val="BodyText"/>
        <w:spacing w:before="1"/>
        <w:ind w:left="380"/>
      </w:pPr>
      <w:r>
        <w:rPr/>
        <w:t>KOH</w:t>
      </w:r>
      <w:r>
        <w:rPr>
          <w:spacing w:val="-2"/>
        </w:rPr>
        <w:t> </w:t>
      </w:r>
      <w:r>
        <w:rPr/>
        <w:t>pallet</w:t>
      </w:r>
      <w:r>
        <w:rPr>
          <w:spacing w:val="-2"/>
        </w:rPr>
        <w:t> </w:t>
      </w:r>
      <w:r>
        <w:rPr/>
        <w:t>(BPH</w:t>
      </w:r>
      <w:r>
        <w:rPr>
          <w:spacing w:val="-2"/>
        </w:rPr>
        <w:t> </w:t>
      </w:r>
      <w:r>
        <w:rPr/>
        <w:t>Chemical,</w:t>
      </w:r>
      <w:r>
        <w:rPr>
          <w:spacing w:val="-2"/>
        </w:rPr>
        <w:t> England)</w:t>
      </w:r>
    </w:p>
    <w:p>
      <w:pPr>
        <w:pStyle w:val="BodyText"/>
      </w:pPr>
    </w:p>
    <w:p>
      <w:pPr>
        <w:pStyle w:val="BodyText"/>
        <w:spacing w:line="480" w:lineRule="auto" w:before="1"/>
        <w:ind w:left="380" w:right="1175"/>
      </w:pPr>
      <w:r>
        <w:rPr/>
        <w:t>The</w:t>
      </w:r>
      <w:r>
        <w:rPr>
          <w:spacing w:val="40"/>
        </w:rPr>
        <w:t> </w:t>
      </w:r>
      <w:r>
        <w:rPr/>
        <w:t>solvent</w:t>
      </w:r>
      <w:r>
        <w:rPr>
          <w:spacing w:val="40"/>
        </w:rPr>
        <w:t> </w:t>
      </w:r>
      <w:r>
        <w:rPr/>
        <w:t>used</w:t>
      </w:r>
      <w:r>
        <w:rPr>
          <w:spacing w:val="40"/>
        </w:rPr>
        <w:t> </w:t>
      </w:r>
      <w:r>
        <w:rPr/>
        <w:t>for</w:t>
      </w:r>
      <w:r>
        <w:rPr>
          <w:spacing w:val="40"/>
        </w:rPr>
        <w:t> </w:t>
      </w:r>
      <w:r>
        <w:rPr/>
        <w:t>solubility</w:t>
      </w:r>
      <w:r>
        <w:rPr>
          <w:spacing w:val="40"/>
        </w:rPr>
        <w:t> </w:t>
      </w:r>
      <w:r>
        <w:rPr/>
        <w:t>studies</w:t>
      </w:r>
      <w:r>
        <w:rPr>
          <w:spacing w:val="40"/>
        </w:rPr>
        <w:t> </w:t>
      </w:r>
      <w:r>
        <w:rPr/>
        <w:t>of</w:t>
      </w:r>
      <w:r>
        <w:rPr>
          <w:spacing w:val="40"/>
        </w:rPr>
        <w:t> </w:t>
      </w:r>
      <w:r>
        <w:rPr/>
        <w:t>tinidazole</w:t>
      </w:r>
      <w:r>
        <w:rPr>
          <w:spacing w:val="40"/>
        </w:rPr>
        <w:t> </w:t>
      </w:r>
      <w:r>
        <w:rPr/>
        <w:t>tablets</w:t>
      </w:r>
      <w:r>
        <w:rPr>
          <w:spacing w:val="40"/>
        </w:rPr>
        <w:t> </w:t>
      </w:r>
      <w:r>
        <w:rPr/>
        <w:t>and</w:t>
      </w:r>
      <w:r>
        <w:rPr>
          <w:spacing w:val="40"/>
        </w:rPr>
        <w:t> </w:t>
      </w:r>
      <w:r>
        <w:rPr/>
        <w:t>standard</w:t>
      </w:r>
      <w:r>
        <w:rPr>
          <w:spacing w:val="40"/>
        </w:rPr>
        <w:t> </w:t>
      </w:r>
      <w:r>
        <w:rPr/>
        <w:t>powder</w:t>
      </w:r>
      <w:r>
        <w:rPr>
          <w:spacing w:val="40"/>
        </w:rPr>
        <w:t> </w:t>
      </w:r>
      <w:r>
        <w:rPr/>
        <w:t>are; distilled water, 0.1N HCl, Methanol, Chloroform, glacial Acetic acid and Acetone.</w:t>
      </w:r>
    </w:p>
    <w:p>
      <w:pPr>
        <w:pStyle w:val="ListParagraph"/>
        <w:numPr>
          <w:ilvl w:val="3"/>
          <w:numId w:val="19"/>
        </w:numPr>
        <w:tabs>
          <w:tab w:pos="1099" w:val="left" w:leader="none"/>
        </w:tabs>
        <w:spacing w:line="480" w:lineRule="auto" w:before="0" w:after="0"/>
        <w:ind w:left="380" w:right="6296" w:firstLine="0"/>
        <w:jc w:val="left"/>
        <w:rPr>
          <w:i/>
          <w:sz w:val="24"/>
        </w:rPr>
      </w:pPr>
      <w:r>
        <w:rPr>
          <w:i/>
          <w:sz w:val="24"/>
        </w:rPr>
        <w:t>Preparation</w:t>
      </w:r>
      <w:r>
        <w:rPr>
          <w:i/>
          <w:spacing w:val="-12"/>
          <w:sz w:val="24"/>
        </w:rPr>
        <w:t> </w:t>
      </w:r>
      <w:r>
        <w:rPr>
          <w:i/>
          <w:sz w:val="24"/>
        </w:rPr>
        <w:t>of</w:t>
      </w:r>
      <w:r>
        <w:rPr>
          <w:i/>
          <w:spacing w:val="-12"/>
          <w:sz w:val="24"/>
        </w:rPr>
        <w:t> </w:t>
      </w:r>
      <w:r>
        <w:rPr>
          <w:i/>
          <w:sz w:val="24"/>
        </w:rPr>
        <w:t>buffer</w:t>
      </w:r>
      <w:r>
        <w:rPr>
          <w:i/>
          <w:spacing w:val="-12"/>
          <w:sz w:val="24"/>
        </w:rPr>
        <w:t> </w:t>
      </w:r>
      <w:r>
        <w:rPr>
          <w:i/>
          <w:sz w:val="24"/>
        </w:rPr>
        <w:t>solutions Stock solution of tinidazole</w:t>
      </w:r>
    </w:p>
    <w:p>
      <w:pPr>
        <w:pStyle w:val="BodyText"/>
        <w:spacing w:line="480" w:lineRule="auto"/>
        <w:ind w:left="380" w:right="1334"/>
        <w:jc w:val="both"/>
      </w:pPr>
      <w:r>
        <w:rPr/>
        <w:t>A quantity</w:t>
      </w:r>
      <w:r>
        <w:rPr>
          <w:spacing w:val="-4"/>
        </w:rPr>
        <w:t> </w:t>
      </w:r>
      <w:r>
        <w:rPr/>
        <w:t>of pure tinidazole powder (0.01 g) was weighed and transferred into a 100 mL beaker</w:t>
      </w:r>
      <w:r>
        <w:rPr>
          <w:spacing w:val="-2"/>
        </w:rPr>
        <w:t> </w:t>
      </w:r>
      <w:r>
        <w:rPr/>
        <w:t>containing</w:t>
      </w:r>
      <w:r>
        <w:rPr>
          <w:spacing w:val="-6"/>
        </w:rPr>
        <w:t> </w:t>
      </w:r>
      <w:r>
        <w:rPr/>
        <w:t>100</w:t>
      </w:r>
      <w:r>
        <w:rPr>
          <w:spacing w:val="-3"/>
        </w:rPr>
        <w:t> </w:t>
      </w:r>
      <w:r>
        <w:rPr/>
        <w:t>mL</w:t>
      </w:r>
      <w:r>
        <w:rPr>
          <w:spacing w:val="-6"/>
        </w:rPr>
        <w:t> </w:t>
      </w:r>
      <w:r>
        <w:rPr/>
        <w:t>of</w:t>
      </w:r>
      <w:r>
        <w:rPr>
          <w:spacing w:val="-3"/>
        </w:rPr>
        <w:t> </w:t>
      </w:r>
      <w:r>
        <w:rPr/>
        <w:t>0.1N</w:t>
      </w:r>
      <w:r>
        <w:rPr>
          <w:spacing w:val="-3"/>
        </w:rPr>
        <w:t> </w:t>
      </w:r>
      <w:r>
        <w:rPr/>
        <w:t>HCl</w:t>
      </w:r>
      <w:r>
        <w:rPr>
          <w:spacing w:val="-1"/>
        </w:rPr>
        <w:t> </w:t>
      </w:r>
      <w:r>
        <w:rPr/>
        <w:t>solution</w:t>
      </w:r>
      <w:r>
        <w:rPr>
          <w:spacing w:val="-3"/>
        </w:rPr>
        <w:t> </w:t>
      </w:r>
      <w:r>
        <w:rPr/>
        <w:t>to</w:t>
      </w:r>
      <w:r>
        <w:rPr>
          <w:spacing w:val="-3"/>
        </w:rPr>
        <w:t> </w:t>
      </w:r>
      <w:r>
        <w:rPr/>
        <w:t>prepare</w:t>
      </w:r>
      <w:r>
        <w:rPr>
          <w:spacing w:val="-4"/>
        </w:rPr>
        <w:t> </w:t>
      </w:r>
      <w:r>
        <w:rPr/>
        <w:t>a</w:t>
      </w:r>
      <w:r>
        <w:rPr>
          <w:spacing w:val="-4"/>
        </w:rPr>
        <w:t> </w:t>
      </w:r>
      <w:r>
        <w:rPr/>
        <w:t>stock</w:t>
      </w:r>
      <w:r>
        <w:rPr>
          <w:spacing w:val="-3"/>
        </w:rPr>
        <w:t> </w:t>
      </w:r>
      <w:r>
        <w:rPr/>
        <w:t>solution</w:t>
      </w:r>
      <w:r>
        <w:rPr>
          <w:spacing w:val="-2"/>
        </w:rPr>
        <w:t> </w:t>
      </w:r>
      <w:r>
        <w:rPr/>
        <w:t>of</w:t>
      </w:r>
      <w:r>
        <w:rPr>
          <w:spacing w:val="-4"/>
        </w:rPr>
        <w:t> </w:t>
      </w:r>
      <w:r>
        <w:rPr/>
        <w:t>100</w:t>
      </w:r>
      <w:r>
        <w:rPr>
          <w:spacing w:val="-3"/>
        </w:rPr>
        <w:t> </w:t>
      </w:r>
      <w:r>
        <w:rPr/>
        <w:t>µg/mL. This was also performed using the phosphate buffer solutions prepared.</w:t>
      </w:r>
    </w:p>
    <w:p>
      <w:pPr>
        <w:spacing w:before="1"/>
        <w:ind w:left="380" w:right="0" w:firstLine="0"/>
        <w:jc w:val="both"/>
        <w:rPr>
          <w:sz w:val="24"/>
        </w:rPr>
      </w:pPr>
      <w:r>
        <w:rPr>
          <w:i/>
          <w:sz w:val="24"/>
        </w:rPr>
        <w:t>Simulated</w:t>
      </w:r>
      <w:r>
        <w:rPr>
          <w:i/>
          <w:spacing w:val="-1"/>
          <w:sz w:val="24"/>
        </w:rPr>
        <w:t> </w:t>
      </w:r>
      <w:r>
        <w:rPr>
          <w:i/>
          <w:sz w:val="24"/>
        </w:rPr>
        <w:t>gastric PH</w:t>
      </w:r>
      <w:r>
        <w:rPr>
          <w:i/>
          <w:spacing w:val="-1"/>
          <w:sz w:val="24"/>
        </w:rPr>
        <w:t> </w:t>
      </w:r>
      <w:r>
        <w:rPr>
          <w:spacing w:val="-2"/>
          <w:sz w:val="24"/>
        </w:rPr>
        <w:t>(2/3).</w:t>
      </w:r>
    </w:p>
    <w:p>
      <w:pPr>
        <w:pStyle w:val="BodyText"/>
        <w:spacing w:line="480" w:lineRule="auto" w:before="276"/>
        <w:ind w:left="380" w:right="1265"/>
        <w:jc w:val="both"/>
      </w:pPr>
      <w:r>
        <w:rPr/>
        <w:t>50 mL of 2M HCl was measured using a 50 mL volumetric flask,</w:t>
      </w:r>
      <w:r>
        <w:rPr>
          <w:spacing w:val="40"/>
        </w:rPr>
        <w:t> </w:t>
      </w:r>
      <w:r>
        <w:rPr/>
        <w:t>transferred into 1</w:t>
      </w:r>
      <w:r>
        <w:rPr>
          <w:spacing w:val="-2"/>
        </w:rPr>
        <w:t> </w:t>
      </w:r>
      <w:r>
        <w:rPr/>
        <w:t>litre volumetric flask</w:t>
      </w:r>
      <w:r>
        <w:rPr>
          <w:spacing w:val="40"/>
        </w:rPr>
        <w:t> </w:t>
      </w:r>
      <w:r>
        <w:rPr/>
        <w:t>containing sufficient distilled water and then made up to 1litre with distilled water.</w:t>
      </w:r>
    </w:p>
    <w:p>
      <w:pPr>
        <w:spacing w:after="0" w:line="480" w:lineRule="auto"/>
        <w:jc w:val="both"/>
        <w:sectPr>
          <w:pgSz w:w="12240" w:h="15840"/>
          <w:pgMar w:header="0" w:footer="1068" w:top="1540" w:bottom="1260" w:left="1420" w:right="440"/>
        </w:sectPr>
      </w:pPr>
    </w:p>
    <w:p>
      <w:pPr>
        <w:spacing w:before="72"/>
        <w:ind w:left="380" w:right="0" w:firstLine="0"/>
        <w:jc w:val="both"/>
        <w:rPr>
          <w:i/>
          <w:sz w:val="24"/>
        </w:rPr>
      </w:pPr>
      <w:r>
        <w:rPr>
          <w:i/>
          <w:sz w:val="24"/>
        </w:rPr>
        <w:t>Simulated</w:t>
      </w:r>
      <w:r>
        <w:rPr>
          <w:i/>
          <w:spacing w:val="-1"/>
          <w:sz w:val="24"/>
        </w:rPr>
        <w:t> </w:t>
      </w:r>
      <w:r>
        <w:rPr>
          <w:i/>
          <w:sz w:val="24"/>
        </w:rPr>
        <w:t>Intestinal</w:t>
      </w:r>
      <w:r>
        <w:rPr>
          <w:i/>
          <w:spacing w:val="-1"/>
          <w:sz w:val="24"/>
        </w:rPr>
        <w:t> </w:t>
      </w:r>
      <w:r>
        <w:rPr>
          <w:i/>
          <w:sz w:val="24"/>
        </w:rPr>
        <w:t>PH</w:t>
      </w:r>
      <w:r>
        <w:rPr>
          <w:i/>
          <w:spacing w:val="-1"/>
          <w:sz w:val="24"/>
        </w:rPr>
        <w:t> </w:t>
      </w:r>
      <w:r>
        <w:rPr>
          <w:i/>
          <w:spacing w:val="-2"/>
          <w:sz w:val="24"/>
        </w:rPr>
        <w:t>(6.8)</w:t>
      </w:r>
    </w:p>
    <w:p>
      <w:pPr>
        <w:pStyle w:val="BodyText"/>
        <w:rPr>
          <w:i/>
        </w:rPr>
      </w:pPr>
    </w:p>
    <w:p>
      <w:pPr>
        <w:pStyle w:val="BodyText"/>
        <w:spacing w:line="480" w:lineRule="auto"/>
        <w:ind w:left="380" w:right="1269" w:firstLine="60"/>
        <w:jc w:val="both"/>
      </w:pPr>
      <w:r>
        <w:rPr/>
        <w:t>28.80 g of disodium hydrogen orthophosphate and 11.45 g of potassium dihydrogen orthophosphate were weighed and dissolved in sufficient distilled water and then transferred into a 1litre volumetric flask and make up to 1litre.</w:t>
      </w:r>
    </w:p>
    <w:p>
      <w:pPr>
        <w:spacing w:before="0"/>
        <w:ind w:left="380" w:right="0" w:firstLine="0"/>
        <w:jc w:val="both"/>
        <w:rPr>
          <w:i/>
          <w:sz w:val="24"/>
        </w:rPr>
      </w:pPr>
      <w:r>
        <w:rPr>
          <w:i/>
          <w:sz w:val="24"/>
        </w:rPr>
        <w:t>Simulated</w:t>
      </w:r>
      <w:r>
        <w:rPr>
          <w:i/>
          <w:spacing w:val="-3"/>
          <w:sz w:val="24"/>
        </w:rPr>
        <w:t> </w:t>
      </w:r>
      <w:r>
        <w:rPr>
          <w:i/>
          <w:sz w:val="24"/>
        </w:rPr>
        <w:t>Blood PH </w:t>
      </w:r>
      <w:r>
        <w:rPr>
          <w:i/>
          <w:spacing w:val="-4"/>
          <w:sz w:val="24"/>
        </w:rPr>
        <w:t>(7.4)</w:t>
      </w:r>
    </w:p>
    <w:p>
      <w:pPr>
        <w:pStyle w:val="BodyText"/>
        <w:rPr>
          <w:i/>
        </w:rPr>
      </w:pPr>
    </w:p>
    <w:p>
      <w:pPr>
        <w:pStyle w:val="BodyText"/>
        <w:spacing w:line="480" w:lineRule="auto"/>
        <w:ind w:left="380" w:right="1266"/>
        <w:jc w:val="both"/>
      </w:pPr>
      <w:r>
        <w:rPr/>
        <w:t>13.8</w:t>
      </w:r>
      <w:r>
        <w:rPr>
          <w:spacing w:val="-4"/>
        </w:rPr>
        <w:t> </w:t>
      </w:r>
      <w:r>
        <w:rPr/>
        <w:t>g of disodium hydrogen orthoposphate, 1.9 g of potassium dihyrogen orthophosphate and 80 g of sodium chloride were weighed on a scale and transferred into 1000 mL of distilled water and made to dissolve with stirring to ensure content uniformity</w:t>
      </w:r>
    </w:p>
    <w:p>
      <w:pPr>
        <w:pStyle w:val="Heading2"/>
        <w:numPr>
          <w:ilvl w:val="1"/>
          <w:numId w:val="19"/>
        </w:numPr>
        <w:tabs>
          <w:tab w:pos="4480" w:val="left" w:leader="none"/>
        </w:tabs>
        <w:spacing w:line="240" w:lineRule="auto" w:before="6" w:after="0"/>
        <w:ind w:left="4480" w:right="0" w:hanging="360"/>
        <w:jc w:val="both"/>
      </w:pPr>
      <w:bookmarkStart w:name="_TOC_250038" w:id="46"/>
      <w:bookmarkEnd w:id="46"/>
      <w:r>
        <w:rPr>
          <w:spacing w:val="-2"/>
        </w:rPr>
        <w:t>Methods</w:t>
      </w:r>
    </w:p>
    <w:p>
      <w:pPr>
        <w:pStyle w:val="BodyText"/>
        <w:rPr>
          <w:b/>
        </w:rPr>
      </w:pPr>
    </w:p>
    <w:p>
      <w:pPr>
        <w:pStyle w:val="Heading2"/>
        <w:numPr>
          <w:ilvl w:val="2"/>
          <w:numId w:val="19"/>
        </w:numPr>
        <w:tabs>
          <w:tab w:pos="1099" w:val="left" w:leader="none"/>
        </w:tabs>
        <w:spacing w:line="240" w:lineRule="auto" w:before="0" w:after="0"/>
        <w:ind w:left="1099" w:right="0" w:hanging="719"/>
        <w:jc w:val="both"/>
      </w:pPr>
      <w:bookmarkStart w:name="_TOC_250037" w:id="47"/>
      <w:r>
        <w:rPr/>
        <w:t>Quality</w:t>
      </w:r>
      <w:r>
        <w:rPr>
          <w:spacing w:val="-4"/>
        </w:rPr>
        <w:t> </w:t>
      </w:r>
      <w:r>
        <w:rPr/>
        <w:t>control</w:t>
      </w:r>
      <w:r>
        <w:rPr>
          <w:spacing w:val="-1"/>
        </w:rPr>
        <w:t> </w:t>
      </w:r>
      <w:r>
        <w:rPr/>
        <w:t>studies</w:t>
      </w:r>
      <w:r>
        <w:rPr>
          <w:spacing w:val="-4"/>
        </w:rPr>
        <w:t> </w:t>
      </w:r>
      <w:r>
        <w:rPr/>
        <w:t>of tinidazole</w:t>
      </w:r>
      <w:r>
        <w:rPr>
          <w:spacing w:val="-2"/>
        </w:rPr>
        <w:t> </w:t>
      </w:r>
      <w:r>
        <w:rPr/>
        <w:t>tablets</w:t>
      </w:r>
      <w:r>
        <w:rPr>
          <w:spacing w:val="-1"/>
        </w:rPr>
        <w:t> </w:t>
      </w:r>
      <w:r>
        <w:rPr/>
        <w:t>and</w:t>
      </w:r>
      <w:r>
        <w:rPr>
          <w:spacing w:val="-1"/>
        </w:rPr>
        <w:t> </w:t>
      </w:r>
      <w:r>
        <w:rPr/>
        <w:t>standard</w:t>
      </w:r>
      <w:r>
        <w:rPr>
          <w:spacing w:val="-1"/>
        </w:rPr>
        <w:t> </w:t>
      </w:r>
      <w:bookmarkEnd w:id="47"/>
      <w:r>
        <w:rPr>
          <w:spacing w:val="-2"/>
        </w:rPr>
        <w:t>powder</w:t>
      </w:r>
    </w:p>
    <w:p>
      <w:pPr>
        <w:pStyle w:val="ListParagraph"/>
        <w:numPr>
          <w:ilvl w:val="3"/>
          <w:numId w:val="19"/>
        </w:numPr>
        <w:tabs>
          <w:tab w:pos="1099" w:val="left" w:leader="none"/>
        </w:tabs>
        <w:spacing w:line="240" w:lineRule="auto" w:before="271" w:after="0"/>
        <w:ind w:left="1099" w:right="0" w:hanging="719"/>
        <w:jc w:val="both"/>
        <w:rPr>
          <w:i/>
          <w:sz w:val="24"/>
        </w:rPr>
      </w:pPr>
      <w:r>
        <w:rPr>
          <w:i/>
          <w:sz w:val="24"/>
        </w:rPr>
        <w:t>Acquisition</w:t>
      </w:r>
      <w:r>
        <w:rPr>
          <w:i/>
          <w:spacing w:val="-1"/>
          <w:sz w:val="24"/>
        </w:rPr>
        <w:t> </w:t>
      </w:r>
      <w:r>
        <w:rPr>
          <w:i/>
          <w:sz w:val="24"/>
        </w:rPr>
        <w:t>of</w:t>
      </w:r>
      <w:r>
        <w:rPr>
          <w:i/>
          <w:spacing w:val="-1"/>
          <w:sz w:val="24"/>
        </w:rPr>
        <w:t> </w:t>
      </w:r>
      <w:r>
        <w:rPr>
          <w:i/>
          <w:sz w:val="24"/>
        </w:rPr>
        <w:t>tinidazole tablets</w:t>
      </w:r>
      <w:r>
        <w:rPr>
          <w:i/>
          <w:spacing w:val="-1"/>
          <w:sz w:val="24"/>
        </w:rPr>
        <w:t> </w:t>
      </w:r>
      <w:r>
        <w:rPr>
          <w:i/>
          <w:sz w:val="24"/>
        </w:rPr>
        <w:t>and</w:t>
      </w:r>
      <w:r>
        <w:rPr>
          <w:i/>
          <w:spacing w:val="-1"/>
          <w:sz w:val="24"/>
        </w:rPr>
        <w:t> </w:t>
      </w:r>
      <w:r>
        <w:rPr>
          <w:i/>
          <w:sz w:val="24"/>
        </w:rPr>
        <w:t>standard </w:t>
      </w:r>
      <w:r>
        <w:rPr>
          <w:i/>
          <w:spacing w:val="-2"/>
          <w:sz w:val="24"/>
        </w:rPr>
        <w:t>powder</w:t>
      </w:r>
    </w:p>
    <w:p>
      <w:pPr>
        <w:pStyle w:val="BodyText"/>
        <w:rPr>
          <w:i/>
        </w:rPr>
      </w:pPr>
    </w:p>
    <w:p>
      <w:pPr>
        <w:pStyle w:val="BodyText"/>
        <w:spacing w:line="480" w:lineRule="auto"/>
        <w:ind w:left="380" w:right="1266"/>
        <w:jc w:val="both"/>
      </w:pPr>
      <w:r>
        <w:rPr/>
        <w:t>Four</w:t>
      </w:r>
      <w:r>
        <w:rPr>
          <w:spacing w:val="-3"/>
        </w:rPr>
        <w:t> </w:t>
      </w:r>
      <w:r>
        <w:rPr/>
        <w:t>samples</w:t>
      </w:r>
      <w:r>
        <w:rPr>
          <w:spacing w:val="-3"/>
        </w:rPr>
        <w:t> </w:t>
      </w:r>
      <w:r>
        <w:rPr/>
        <w:t>of</w:t>
      </w:r>
      <w:r>
        <w:rPr>
          <w:spacing w:val="-2"/>
        </w:rPr>
        <w:t> </w:t>
      </w:r>
      <w:r>
        <w:rPr/>
        <w:t>tinidazole</w:t>
      </w:r>
      <w:r>
        <w:rPr>
          <w:spacing w:val="-3"/>
        </w:rPr>
        <w:t> </w:t>
      </w:r>
      <w:r>
        <w:rPr/>
        <w:t>tablets</w:t>
      </w:r>
      <w:r>
        <w:rPr>
          <w:spacing w:val="-1"/>
        </w:rPr>
        <w:t> </w:t>
      </w:r>
      <w:r>
        <w:rPr/>
        <w:t>were</w:t>
      </w:r>
      <w:r>
        <w:rPr>
          <w:spacing w:val="-4"/>
        </w:rPr>
        <w:t> </w:t>
      </w:r>
      <w:r>
        <w:rPr/>
        <w:t>purchased from</w:t>
      </w:r>
      <w:r>
        <w:rPr>
          <w:spacing w:val="-3"/>
        </w:rPr>
        <w:t> </w:t>
      </w:r>
      <w:r>
        <w:rPr/>
        <w:t>the</w:t>
      </w:r>
      <w:r>
        <w:rPr>
          <w:spacing w:val="-4"/>
        </w:rPr>
        <w:t> </w:t>
      </w:r>
      <w:r>
        <w:rPr/>
        <w:t>major</w:t>
      </w:r>
      <w:r>
        <w:rPr>
          <w:spacing w:val="-3"/>
        </w:rPr>
        <w:t> </w:t>
      </w:r>
      <w:r>
        <w:rPr/>
        <w:t>pharmaceutical</w:t>
      </w:r>
      <w:r>
        <w:rPr>
          <w:spacing w:val="-3"/>
        </w:rPr>
        <w:t> </w:t>
      </w:r>
      <w:r>
        <w:rPr/>
        <w:t>Shops</w:t>
      </w:r>
      <w:r>
        <w:rPr>
          <w:spacing w:val="-3"/>
        </w:rPr>
        <w:t> </w:t>
      </w:r>
      <w:r>
        <w:rPr/>
        <w:t>in Kaduna metropolis and were then coded as A, B, C and D. Samples C is the reference listed or</w:t>
      </w:r>
      <w:r>
        <w:rPr>
          <w:spacing w:val="40"/>
        </w:rPr>
        <w:t> </w:t>
      </w:r>
      <w:r>
        <w:rPr/>
        <w:t>innovator product, addresses of manufacturers, batch numbers, manufacturing dates and expiry dates were recorded for all the samples and only products within the expiry date were used. Similarly the standard tinidazole powder was obtained from Pharmaceutical Chemistry Department, University of Lagos, Nigeria.</w:t>
      </w:r>
    </w:p>
    <w:p>
      <w:pPr>
        <w:pStyle w:val="ListParagraph"/>
        <w:numPr>
          <w:ilvl w:val="3"/>
          <w:numId w:val="19"/>
        </w:numPr>
        <w:tabs>
          <w:tab w:pos="1099" w:val="left" w:leader="none"/>
        </w:tabs>
        <w:spacing w:line="240" w:lineRule="auto" w:before="1" w:after="0"/>
        <w:ind w:left="1099" w:right="0" w:hanging="719"/>
        <w:jc w:val="both"/>
        <w:rPr>
          <w:i/>
          <w:sz w:val="24"/>
        </w:rPr>
      </w:pPr>
      <w:r>
        <w:rPr>
          <w:i/>
          <w:sz w:val="24"/>
        </w:rPr>
        <w:t>Identification</w:t>
      </w:r>
      <w:r>
        <w:rPr>
          <w:i/>
          <w:spacing w:val="-2"/>
          <w:sz w:val="24"/>
        </w:rPr>
        <w:t> </w:t>
      </w:r>
      <w:r>
        <w:rPr>
          <w:i/>
          <w:spacing w:val="-4"/>
          <w:sz w:val="24"/>
        </w:rPr>
        <w:t>test</w:t>
      </w:r>
    </w:p>
    <w:p>
      <w:pPr>
        <w:pStyle w:val="BodyText"/>
        <w:rPr>
          <w:i/>
        </w:rPr>
      </w:pPr>
    </w:p>
    <w:p>
      <w:pPr>
        <w:pStyle w:val="BodyText"/>
        <w:spacing w:line="480" w:lineRule="auto"/>
        <w:ind w:left="380" w:right="1262"/>
        <w:jc w:val="both"/>
      </w:pPr>
      <w:r>
        <w:rPr/>
        <w:t>Tinidazole was identified in the standard powder in according to BP 2009 as follows; a quantity (0.2</w:t>
      </w:r>
      <w:r>
        <w:rPr>
          <w:spacing w:val="-1"/>
        </w:rPr>
        <w:t> </w:t>
      </w:r>
      <w:r>
        <w:rPr/>
        <w:t>g) of the tinidazole powder was weighed and divided into two separate portions. One of the portions was used for Melting point determination while the other for FTIR</w:t>
      </w:r>
      <w:r>
        <w:rPr>
          <w:spacing w:val="-1"/>
        </w:rPr>
        <w:t> </w:t>
      </w:r>
      <w:r>
        <w:rPr/>
        <w:t>spectral</w:t>
      </w:r>
      <w:r>
        <w:rPr>
          <w:spacing w:val="-1"/>
        </w:rPr>
        <w:t> </w:t>
      </w:r>
      <w:r>
        <w:rPr/>
        <w:t>analysis.</w:t>
      </w:r>
      <w:r>
        <w:rPr>
          <w:spacing w:val="-1"/>
        </w:rPr>
        <w:t> </w:t>
      </w:r>
      <w:r>
        <w:rPr/>
        <w:t>Thereafter,</w:t>
      </w:r>
      <w:r>
        <w:rPr>
          <w:spacing w:val="-1"/>
        </w:rPr>
        <w:t> </w:t>
      </w:r>
      <w:r>
        <w:rPr/>
        <w:t>another</w:t>
      </w:r>
      <w:r>
        <w:rPr>
          <w:spacing w:val="-2"/>
        </w:rPr>
        <w:t> </w:t>
      </w:r>
      <w:r>
        <w:rPr/>
        <w:t>10</w:t>
      </w:r>
      <w:r>
        <w:rPr>
          <w:spacing w:val="-1"/>
        </w:rPr>
        <w:t> </w:t>
      </w:r>
      <w:r>
        <w:rPr/>
        <w:t>mg</w:t>
      </w:r>
      <w:r>
        <w:rPr>
          <w:spacing w:val="-3"/>
        </w:rPr>
        <w:t> </w:t>
      </w:r>
      <w:r>
        <w:rPr/>
        <w:t>was weighed</w:t>
      </w:r>
      <w:r>
        <w:rPr>
          <w:spacing w:val="-1"/>
        </w:rPr>
        <w:t> </w:t>
      </w:r>
      <w:r>
        <w:rPr/>
        <w:t>and</w:t>
      </w:r>
      <w:r>
        <w:rPr>
          <w:spacing w:val="-1"/>
        </w:rPr>
        <w:t> </w:t>
      </w:r>
      <w:r>
        <w:rPr/>
        <w:t>dissolved</w:t>
      </w:r>
      <w:r>
        <w:rPr>
          <w:spacing w:val="-1"/>
        </w:rPr>
        <w:t> </w:t>
      </w:r>
      <w:r>
        <w:rPr/>
        <w:t>into</w:t>
      </w:r>
      <w:r>
        <w:rPr>
          <w:spacing w:val="-1"/>
        </w:rPr>
        <w:t> </w:t>
      </w:r>
      <w:r>
        <w:rPr/>
        <w:t>100</w:t>
      </w:r>
      <w:r>
        <w:rPr>
          <w:spacing w:val="-1"/>
        </w:rPr>
        <w:t> </w:t>
      </w:r>
      <w:r>
        <w:rPr/>
        <w:t>mL of</w:t>
      </w:r>
      <w:r>
        <w:rPr>
          <w:spacing w:val="14"/>
        </w:rPr>
        <w:t> </w:t>
      </w:r>
      <w:r>
        <w:rPr/>
        <w:t>methanol,</w:t>
      </w:r>
      <w:r>
        <w:rPr>
          <w:spacing w:val="16"/>
        </w:rPr>
        <w:t> </w:t>
      </w:r>
      <w:r>
        <w:rPr/>
        <w:t>(1</w:t>
      </w:r>
      <w:r>
        <w:rPr>
          <w:spacing w:val="14"/>
        </w:rPr>
        <w:t> </w:t>
      </w:r>
      <w:r>
        <w:rPr/>
        <w:t>mL)</w:t>
      </w:r>
      <w:r>
        <w:rPr>
          <w:spacing w:val="15"/>
        </w:rPr>
        <w:t> </w:t>
      </w:r>
      <w:r>
        <w:rPr/>
        <w:t>of</w:t>
      </w:r>
      <w:r>
        <w:rPr>
          <w:spacing w:val="14"/>
        </w:rPr>
        <w:t> </w:t>
      </w:r>
      <w:r>
        <w:rPr/>
        <w:t>the</w:t>
      </w:r>
      <w:r>
        <w:rPr>
          <w:spacing w:val="15"/>
        </w:rPr>
        <w:t> </w:t>
      </w:r>
      <w:r>
        <w:rPr/>
        <w:t>resulting</w:t>
      </w:r>
      <w:r>
        <w:rPr>
          <w:spacing w:val="13"/>
        </w:rPr>
        <w:t> </w:t>
      </w:r>
      <w:r>
        <w:rPr/>
        <w:t>solution</w:t>
      </w:r>
      <w:r>
        <w:rPr>
          <w:spacing w:val="20"/>
        </w:rPr>
        <w:t> </w:t>
      </w:r>
      <w:r>
        <w:rPr/>
        <w:t>was</w:t>
      </w:r>
      <w:r>
        <w:rPr>
          <w:spacing w:val="17"/>
        </w:rPr>
        <w:t> </w:t>
      </w:r>
      <w:r>
        <w:rPr/>
        <w:t>pipetted</w:t>
      </w:r>
      <w:r>
        <w:rPr>
          <w:spacing w:val="15"/>
        </w:rPr>
        <w:t> </w:t>
      </w:r>
      <w:r>
        <w:rPr/>
        <w:t>and</w:t>
      </w:r>
      <w:r>
        <w:rPr>
          <w:spacing w:val="16"/>
        </w:rPr>
        <w:t> </w:t>
      </w:r>
      <w:r>
        <w:rPr/>
        <w:t>diluted</w:t>
      </w:r>
      <w:r>
        <w:rPr>
          <w:spacing w:val="15"/>
        </w:rPr>
        <w:t> </w:t>
      </w:r>
      <w:r>
        <w:rPr/>
        <w:t>to</w:t>
      </w:r>
      <w:r>
        <w:rPr>
          <w:spacing w:val="14"/>
        </w:rPr>
        <w:t> </w:t>
      </w:r>
      <w:r>
        <w:rPr/>
        <w:t>10</w:t>
      </w:r>
      <w:r>
        <w:rPr>
          <w:spacing w:val="15"/>
        </w:rPr>
        <w:t> </w:t>
      </w:r>
      <w:r>
        <w:rPr/>
        <w:t>mL</w:t>
      </w:r>
      <w:r>
        <w:rPr>
          <w:spacing w:val="14"/>
        </w:rPr>
        <w:t> </w:t>
      </w:r>
      <w:r>
        <w:rPr/>
        <w:t>with</w:t>
      </w:r>
      <w:r>
        <w:rPr>
          <w:spacing w:val="17"/>
        </w:rPr>
        <w:t> </w:t>
      </w:r>
      <w:r>
        <w:rPr>
          <w:spacing w:val="-5"/>
        </w:rPr>
        <w:t>the</w:t>
      </w:r>
    </w:p>
    <w:p>
      <w:pPr>
        <w:spacing w:after="0" w:line="480" w:lineRule="auto"/>
        <w:jc w:val="both"/>
        <w:sectPr>
          <w:pgSz w:w="12240" w:h="15840"/>
          <w:pgMar w:header="0" w:footer="1068" w:top="1540" w:bottom="1260" w:left="1420" w:right="440"/>
        </w:sectPr>
      </w:pPr>
    </w:p>
    <w:p>
      <w:pPr>
        <w:pStyle w:val="BodyText"/>
        <w:spacing w:line="480" w:lineRule="auto" w:before="72"/>
        <w:ind w:left="380" w:right="1264"/>
        <w:jc w:val="both"/>
      </w:pPr>
      <w:r>
        <w:rPr/>
        <w:t>same solvent. Absorbance of the solution was taken between the UV ranges of 220 to 350 nm; the wavelength of maximum absorption was recorded.</w:t>
      </w:r>
    </w:p>
    <w:p>
      <w:pPr>
        <w:pStyle w:val="BodyText"/>
        <w:spacing w:line="480" w:lineRule="auto"/>
        <w:ind w:left="380" w:right="1262"/>
        <w:jc w:val="both"/>
      </w:pPr>
      <w:r>
        <w:rPr/>
        <w:t>Tinidazole was then identified in the entire tinidazole tablet samples procured in accordance to BP 2009 specification as follows; three tablets were randomly picked from each tablet brand and powdered using a porcelain pestle and mortar. A quantity of the powder equivalent to 0.5 g of the tinidazole was weighed and extracted with 20 mL acetone; the extract was then heated on a water bath and allowed to dry. Two separate portions were taken for Melting point determination and FTIR spectral analysis.</w:t>
      </w:r>
      <w:r>
        <w:rPr>
          <w:spacing w:val="40"/>
        </w:rPr>
        <w:t> </w:t>
      </w:r>
      <w:r>
        <w:rPr/>
        <w:t>Thereafter 10 mg equivalent was separately measured and dissolved into 100 mL of methanol, (1 mL) of the resulting solution was pipetted and diluted to 10 mL with the</w:t>
      </w:r>
      <w:r>
        <w:rPr>
          <w:spacing w:val="40"/>
        </w:rPr>
        <w:t> </w:t>
      </w:r>
      <w:r>
        <w:rPr/>
        <w:t>same solvent. Absorbance of the solution was taken between the UV ranges of 220 to 350 nm; the wavelength of maximum absorption was recorded.</w:t>
      </w:r>
    </w:p>
    <w:p>
      <w:pPr>
        <w:pStyle w:val="ListParagraph"/>
        <w:numPr>
          <w:ilvl w:val="3"/>
          <w:numId w:val="19"/>
        </w:numPr>
        <w:tabs>
          <w:tab w:pos="1099" w:val="left" w:leader="none"/>
        </w:tabs>
        <w:spacing w:line="240" w:lineRule="auto" w:before="2" w:after="0"/>
        <w:ind w:left="1099" w:right="0" w:hanging="719"/>
        <w:jc w:val="both"/>
        <w:rPr>
          <w:i/>
          <w:sz w:val="24"/>
        </w:rPr>
      </w:pPr>
      <w:r>
        <w:rPr>
          <w:i/>
          <w:sz w:val="24"/>
        </w:rPr>
        <w:t>Assay</w:t>
      </w:r>
      <w:r>
        <w:rPr>
          <w:i/>
          <w:spacing w:val="-2"/>
          <w:sz w:val="24"/>
        </w:rPr>
        <w:t> </w:t>
      </w:r>
      <w:r>
        <w:rPr>
          <w:i/>
          <w:sz w:val="24"/>
        </w:rPr>
        <w:t>of tinidazole</w:t>
      </w:r>
      <w:r>
        <w:rPr>
          <w:i/>
          <w:spacing w:val="-1"/>
          <w:sz w:val="24"/>
        </w:rPr>
        <w:t> </w:t>
      </w:r>
      <w:r>
        <w:rPr>
          <w:i/>
          <w:sz w:val="24"/>
        </w:rPr>
        <w:t>in</w:t>
      </w:r>
      <w:r>
        <w:rPr>
          <w:i/>
          <w:spacing w:val="-1"/>
          <w:sz w:val="24"/>
        </w:rPr>
        <w:t> </w:t>
      </w:r>
      <w:r>
        <w:rPr>
          <w:i/>
          <w:sz w:val="24"/>
        </w:rPr>
        <w:t>tablet and</w:t>
      </w:r>
      <w:r>
        <w:rPr>
          <w:i/>
          <w:spacing w:val="1"/>
          <w:sz w:val="24"/>
        </w:rPr>
        <w:t> </w:t>
      </w:r>
      <w:r>
        <w:rPr>
          <w:i/>
          <w:sz w:val="24"/>
        </w:rPr>
        <w:t>standard </w:t>
      </w:r>
      <w:r>
        <w:rPr>
          <w:i/>
          <w:spacing w:val="-2"/>
          <w:sz w:val="24"/>
        </w:rPr>
        <w:t>powder</w:t>
      </w:r>
    </w:p>
    <w:p>
      <w:pPr>
        <w:pStyle w:val="BodyText"/>
        <w:spacing w:line="480" w:lineRule="auto" w:before="276"/>
        <w:ind w:left="380" w:right="1266"/>
        <w:jc w:val="both"/>
      </w:pPr>
      <w:r>
        <w:rPr/>
        <w:t>BP 2009 method of tinidazole assay was adopted as follows: for the standard tinidazole powder, 0.150 g of the standard powder was weighed and dissolved in 25 mL of</w:t>
      </w:r>
      <w:r>
        <w:rPr>
          <w:spacing w:val="40"/>
        </w:rPr>
        <w:t> </w:t>
      </w:r>
      <w:r>
        <w:rPr/>
        <w:t>anhydrous</w:t>
      </w:r>
      <w:r>
        <w:rPr>
          <w:spacing w:val="-3"/>
        </w:rPr>
        <w:t> </w:t>
      </w:r>
      <w:r>
        <w:rPr/>
        <w:t>acetic</w:t>
      </w:r>
      <w:r>
        <w:rPr>
          <w:spacing w:val="-2"/>
        </w:rPr>
        <w:t> </w:t>
      </w:r>
      <w:r>
        <w:rPr/>
        <w:t>acid</w:t>
      </w:r>
      <w:r>
        <w:rPr>
          <w:spacing w:val="-3"/>
        </w:rPr>
        <w:t> </w:t>
      </w:r>
      <w:r>
        <w:rPr/>
        <w:t>R and</w:t>
      </w:r>
      <w:r>
        <w:rPr>
          <w:spacing w:val="-3"/>
        </w:rPr>
        <w:t> </w:t>
      </w:r>
      <w:r>
        <w:rPr/>
        <w:t>two</w:t>
      </w:r>
      <w:r>
        <w:rPr>
          <w:spacing w:val="-3"/>
        </w:rPr>
        <w:t> </w:t>
      </w:r>
      <w:r>
        <w:rPr/>
        <w:t>drops</w:t>
      </w:r>
      <w:r>
        <w:rPr>
          <w:spacing w:val="-1"/>
        </w:rPr>
        <w:t> </w:t>
      </w:r>
      <w:r>
        <w:rPr/>
        <w:t>of</w:t>
      </w:r>
      <w:r>
        <w:rPr>
          <w:spacing w:val="-2"/>
        </w:rPr>
        <w:t> </w:t>
      </w:r>
      <w:r>
        <w:rPr/>
        <w:t>crystal</w:t>
      </w:r>
      <w:r>
        <w:rPr>
          <w:spacing w:val="-1"/>
        </w:rPr>
        <w:t> </w:t>
      </w:r>
      <w:r>
        <w:rPr/>
        <w:t>violet</w:t>
      </w:r>
      <w:r>
        <w:rPr>
          <w:spacing w:val="-3"/>
        </w:rPr>
        <w:t> </w:t>
      </w:r>
      <w:r>
        <w:rPr/>
        <w:t>indicator</w:t>
      </w:r>
      <w:r>
        <w:rPr>
          <w:spacing w:val="-3"/>
        </w:rPr>
        <w:t> </w:t>
      </w:r>
      <w:r>
        <w:rPr/>
        <w:t>was</w:t>
      </w:r>
      <w:r>
        <w:rPr>
          <w:spacing w:val="-3"/>
        </w:rPr>
        <w:t> </w:t>
      </w:r>
      <w:r>
        <w:rPr/>
        <w:t>added.</w:t>
      </w:r>
      <w:r>
        <w:rPr>
          <w:spacing w:val="-3"/>
        </w:rPr>
        <w:t> </w:t>
      </w:r>
      <w:r>
        <w:rPr/>
        <w:t>This was</w:t>
      </w:r>
      <w:r>
        <w:rPr>
          <w:spacing w:val="-3"/>
        </w:rPr>
        <w:t> </w:t>
      </w:r>
      <w:r>
        <w:rPr/>
        <w:t>then titrated with 0.1 M perchloric acid.</w:t>
      </w:r>
    </w:p>
    <w:p>
      <w:pPr>
        <w:pStyle w:val="BodyText"/>
        <w:spacing w:line="480" w:lineRule="auto"/>
        <w:ind w:left="380" w:right="1263"/>
        <w:jc w:val="both"/>
      </w:pPr>
      <w:r>
        <w:rPr/>
        <w:t>For assay of the tablets, a quantity equivalent to 0.150 g of tinidazole was weighed and dissolved in 25 mL of anhydrous acetic acid R and two drops of crystal violet indicator was added then titrated with 0.1 M perchloric acid. End-point was determined by yellowish</w:t>
      </w:r>
      <w:r>
        <w:rPr>
          <w:spacing w:val="3"/>
        </w:rPr>
        <w:t> </w:t>
      </w:r>
      <w:r>
        <w:rPr/>
        <w:t>green</w:t>
      </w:r>
      <w:r>
        <w:rPr>
          <w:spacing w:val="3"/>
        </w:rPr>
        <w:t> </w:t>
      </w:r>
      <w:r>
        <w:rPr/>
        <w:t>coloration.</w:t>
      </w:r>
      <w:r>
        <w:rPr>
          <w:spacing w:val="6"/>
        </w:rPr>
        <w:t> </w:t>
      </w:r>
      <w:r>
        <w:rPr/>
        <w:t>Each</w:t>
      </w:r>
      <w:r>
        <w:rPr>
          <w:spacing w:val="3"/>
        </w:rPr>
        <w:t> </w:t>
      </w:r>
      <w:r>
        <w:rPr/>
        <w:t>1</w:t>
      </w:r>
      <w:r>
        <w:rPr>
          <w:spacing w:val="-2"/>
        </w:rPr>
        <w:t> </w:t>
      </w:r>
      <w:r>
        <w:rPr/>
        <w:t>mL</w:t>
      </w:r>
      <w:r>
        <w:rPr>
          <w:spacing w:val="-2"/>
        </w:rPr>
        <w:t> </w:t>
      </w:r>
      <w:r>
        <w:rPr/>
        <w:t>of</w:t>
      </w:r>
      <w:r>
        <w:rPr>
          <w:spacing w:val="2"/>
        </w:rPr>
        <w:t> </w:t>
      </w:r>
      <w:r>
        <w:rPr/>
        <w:t>0.1</w:t>
      </w:r>
      <w:r>
        <w:rPr>
          <w:spacing w:val="3"/>
        </w:rPr>
        <w:t> </w:t>
      </w:r>
      <w:r>
        <w:rPr/>
        <w:t>M</w:t>
      </w:r>
      <w:r>
        <w:rPr>
          <w:spacing w:val="3"/>
        </w:rPr>
        <w:t> </w:t>
      </w:r>
      <w:r>
        <w:rPr/>
        <w:t>perchloric</w:t>
      </w:r>
      <w:r>
        <w:rPr>
          <w:spacing w:val="1"/>
        </w:rPr>
        <w:t> </w:t>
      </w:r>
      <w:r>
        <w:rPr/>
        <w:t>acid</w:t>
      </w:r>
      <w:r>
        <w:rPr>
          <w:spacing w:val="6"/>
        </w:rPr>
        <w:t> </w:t>
      </w:r>
      <w:r>
        <w:rPr/>
        <w:t>consumed</w:t>
      </w:r>
      <w:r>
        <w:rPr>
          <w:spacing w:val="4"/>
        </w:rPr>
        <w:t> </w:t>
      </w:r>
      <w:r>
        <w:rPr/>
        <w:t>is</w:t>
      </w:r>
      <w:r>
        <w:rPr>
          <w:spacing w:val="4"/>
        </w:rPr>
        <w:t> </w:t>
      </w:r>
      <w:r>
        <w:rPr/>
        <w:t>equivalent</w:t>
      </w:r>
      <w:r>
        <w:rPr>
          <w:spacing w:val="4"/>
        </w:rPr>
        <w:t> </w:t>
      </w:r>
      <w:r>
        <w:rPr>
          <w:spacing w:val="-5"/>
        </w:rPr>
        <w:t>to</w:t>
      </w:r>
    </w:p>
    <w:p>
      <w:pPr>
        <w:pStyle w:val="BodyText"/>
        <w:spacing w:before="1"/>
        <w:ind w:left="380"/>
        <w:jc w:val="both"/>
      </w:pPr>
      <w:r>
        <w:rPr/>
        <w:t>24.73</w:t>
      </w:r>
      <w:r>
        <w:rPr>
          <w:spacing w:val="-1"/>
        </w:rPr>
        <w:t> </w:t>
      </w:r>
      <w:r>
        <w:rPr/>
        <w:t>mg</w:t>
      </w:r>
      <w:r>
        <w:rPr>
          <w:spacing w:val="-1"/>
        </w:rPr>
        <w:t> </w:t>
      </w:r>
      <w:r>
        <w:rPr/>
        <w:t>of</w:t>
      </w:r>
      <w:r>
        <w:rPr>
          <w:spacing w:val="1"/>
        </w:rPr>
        <w:t> </w:t>
      </w:r>
      <w:r>
        <w:rPr/>
        <w:t>C</w:t>
      </w:r>
      <w:r>
        <w:rPr>
          <w:vertAlign w:val="subscript"/>
        </w:rPr>
        <w:t>8</w:t>
      </w:r>
      <w:r>
        <w:rPr>
          <w:vertAlign w:val="baseline"/>
        </w:rPr>
        <w:t>H</w:t>
      </w:r>
      <w:r>
        <w:rPr>
          <w:vertAlign w:val="subscript"/>
        </w:rPr>
        <w:t>13</w:t>
      </w:r>
      <w:r>
        <w:rPr>
          <w:spacing w:val="2"/>
          <w:vertAlign w:val="baseline"/>
        </w:rPr>
        <w:t> </w:t>
      </w:r>
      <w:r>
        <w:rPr>
          <w:spacing w:val="-2"/>
          <w:vertAlign w:val="baseline"/>
        </w:rPr>
        <w:t>N</w:t>
      </w:r>
      <w:r>
        <w:rPr>
          <w:spacing w:val="-2"/>
          <w:vertAlign w:val="subscript"/>
        </w:rPr>
        <w:t>3</w:t>
      </w:r>
      <w:r>
        <w:rPr>
          <w:spacing w:val="-2"/>
          <w:vertAlign w:val="baseline"/>
        </w:rPr>
        <w:t>O</w:t>
      </w:r>
      <w:r>
        <w:rPr>
          <w:spacing w:val="-2"/>
          <w:vertAlign w:val="subscript"/>
        </w:rPr>
        <w:t>4</w:t>
      </w:r>
      <w:r>
        <w:rPr>
          <w:spacing w:val="-2"/>
          <w:vertAlign w:val="baseline"/>
        </w:rPr>
        <w:t>S.</w:t>
      </w:r>
    </w:p>
    <w:p>
      <w:pPr>
        <w:spacing w:after="0"/>
        <w:jc w:val="both"/>
        <w:sectPr>
          <w:pgSz w:w="12240" w:h="15840"/>
          <w:pgMar w:header="0" w:footer="1068" w:top="1540" w:bottom="1260" w:left="1420" w:right="440"/>
        </w:sectPr>
      </w:pPr>
    </w:p>
    <w:p>
      <w:pPr>
        <w:pStyle w:val="ListParagraph"/>
        <w:numPr>
          <w:ilvl w:val="3"/>
          <w:numId w:val="19"/>
        </w:numPr>
        <w:tabs>
          <w:tab w:pos="1099" w:val="left" w:leader="none"/>
        </w:tabs>
        <w:spacing w:line="240" w:lineRule="auto" w:before="72" w:after="0"/>
        <w:ind w:left="1099" w:right="0" w:hanging="719"/>
        <w:jc w:val="both"/>
        <w:rPr>
          <w:i/>
          <w:sz w:val="24"/>
        </w:rPr>
      </w:pPr>
      <w:r>
        <w:rPr>
          <w:i/>
          <w:sz w:val="24"/>
        </w:rPr>
        <w:t>Uniformity of </w:t>
      </w:r>
      <w:r>
        <w:rPr>
          <w:i/>
          <w:spacing w:val="-2"/>
          <w:sz w:val="24"/>
        </w:rPr>
        <w:t>weight</w:t>
      </w:r>
    </w:p>
    <w:p>
      <w:pPr>
        <w:pStyle w:val="BodyText"/>
        <w:rPr>
          <w:i/>
        </w:rPr>
      </w:pPr>
    </w:p>
    <w:p>
      <w:pPr>
        <w:pStyle w:val="BodyText"/>
        <w:spacing w:line="480" w:lineRule="auto"/>
        <w:ind w:left="380" w:right="1267"/>
        <w:jc w:val="both"/>
      </w:pPr>
      <w:r>
        <w:rPr/>
        <w:t>Twelve (12)</w:t>
      </w:r>
      <w:r>
        <w:rPr>
          <w:spacing w:val="-1"/>
        </w:rPr>
        <w:t> </w:t>
      </w:r>
      <w:r>
        <w:rPr/>
        <w:t>tablets from each sample were</w:t>
      </w:r>
      <w:r>
        <w:rPr>
          <w:spacing w:val="-1"/>
        </w:rPr>
        <w:t> </w:t>
      </w:r>
      <w:r>
        <w:rPr/>
        <w:t>individually</w:t>
      </w:r>
      <w:r>
        <w:rPr>
          <w:spacing w:val="-5"/>
        </w:rPr>
        <w:t> </w:t>
      </w:r>
      <w:r>
        <w:rPr/>
        <w:t>weighed on an analytical balance. The mean weights were calculated followed by percentage deviation from the mean </w:t>
      </w:r>
      <w:r>
        <w:rPr>
          <w:spacing w:val="-2"/>
        </w:rPr>
        <w:t>weight.</w:t>
      </w:r>
    </w:p>
    <w:p>
      <w:pPr>
        <w:pStyle w:val="ListParagraph"/>
        <w:numPr>
          <w:ilvl w:val="3"/>
          <w:numId w:val="19"/>
        </w:numPr>
        <w:tabs>
          <w:tab w:pos="1099" w:val="left" w:leader="none"/>
        </w:tabs>
        <w:spacing w:line="240" w:lineRule="auto" w:before="0" w:after="0"/>
        <w:ind w:left="1099" w:right="0" w:hanging="719"/>
        <w:jc w:val="both"/>
        <w:rPr>
          <w:i/>
          <w:sz w:val="24"/>
        </w:rPr>
      </w:pPr>
      <w:r>
        <w:rPr>
          <w:i/>
          <w:sz w:val="24"/>
        </w:rPr>
        <w:t>Disintegration </w:t>
      </w:r>
      <w:r>
        <w:rPr>
          <w:i/>
          <w:spacing w:val="-4"/>
          <w:sz w:val="24"/>
        </w:rPr>
        <w:t>test</w:t>
      </w:r>
    </w:p>
    <w:p>
      <w:pPr>
        <w:pStyle w:val="BodyText"/>
        <w:rPr>
          <w:i/>
        </w:rPr>
      </w:pPr>
    </w:p>
    <w:p>
      <w:pPr>
        <w:pStyle w:val="BodyText"/>
        <w:spacing w:line="480" w:lineRule="auto"/>
        <w:ind w:left="471" w:right="1264" w:hanging="8"/>
        <w:jc w:val="both"/>
      </w:pPr>
      <w:r>
        <w:rPr/>
        <w:t>Six tablets were randomly selected from each sample and respectively placed in the six basket units of Erweka disintegration machine, containing 0.1 N HCl solution,</w:t>
      </w:r>
      <w:r>
        <w:rPr>
          <w:spacing w:val="40"/>
        </w:rPr>
        <w:t> </w:t>
      </w:r>
      <w:r>
        <w:rPr/>
        <w:t>maintained at a temperature of 37 ± 0.5 </w:t>
      </w:r>
      <w:r>
        <w:rPr>
          <w:vertAlign w:val="superscript"/>
        </w:rPr>
        <w:t>0</w:t>
      </w:r>
      <w:r>
        <w:rPr>
          <w:vertAlign w:val="baseline"/>
        </w:rPr>
        <w:t>C. The time taken for all the tablet particles in each unit to pass through the mesh was recorded. The mean time for the six tablets was taken as the disintegration time.</w:t>
      </w:r>
    </w:p>
    <w:p>
      <w:pPr>
        <w:pStyle w:val="ListParagraph"/>
        <w:numPr>
          <w:ilvl w:val="3"/>
          <w:numId w:val="19"/>
        </w:numPr>
        <w:tabs>
          <w:tab w:pos="1159" w:val="left" w:leader="none"/>
        </w:tabs>
        <w:spacing w:line="240" w:lineRule="auto" w:before="1" w:after="0"/>
        <w:ind w:left="1159" w:right="0" w:hanging="719"/>
        <w:jc w:val="both"/>
        <w:rPr>
          <w:i/>
          <w:sz w:val="24"/>
        </w:rPr>
      </w:pPr>
      <w:r>
        <w:rPr>
          <w:i/>
          <w:sz w:val="24"/>
        </w:rPr>
        <w:t>Friability</w:t>
      </w:r>
      <w:r>
        <w:rPr>
          <w:i/>
          <w:spacing w:val="-2"/>
          <w:sz w:val="24"/>
        </w:rPr>
        <w:t> </w:t>
      </w:r>
      <w:r>
        <w:rPr>
          <w:i/>
          <w:spacing w:val="-4"/>
          <w:sz w:val="24"/>
        </w:rPr>
        <w:t>test</w:t>
      </w:r>
    </w:p>
    <w:p>
      <w:pPr>
        <w:pStyle w:val="BodyText"/>
        <w:rPr>
          <w:i/>
        </w:rPr>
      </w:pPr>
    </w:p>
    <w:p>
      <w:pPr>
        <w:pStyle w:val="BodyText"/>
        <w:spacing w:line="480" w:lineRule="auto"/>
        <w:ind w:left="380" w:right="1266"/>
        <w:jc w:val="both"/>
      </w:pPr>
      <w:r>
        <w:rPr/>
        <w:t>Roche friabilator was used to carry out the friability test, Ten tablets from each sample were taken and weighed and then placed on the friabilator, which was then operated for four (4) min at 25 rpm (100 revolutions). The tablets were de-dusted, reweighed and the difference in tablet weight was determined and percentage friability was calculated as </w:t>
      </w:r>
      <w:r>
        <w:rPr>
          <w:spacing w:val="-2"/>
        </w:rPr>
        <w:t>follows:</w:t>
      </w:r>
    </w:p>
    <w:p>
      <w:pPr>
        <w:pStyle w:val="BodyText"/>
        <w:spacing w:before="1"/>
        <w:ind w:left="380"/>
        <w:jc w:val="both"/>
      </w:pPr>
      <w:r>
        <w:rPr/>
        <w:t>Friability</w:t>
      </w:r>
      <w:r>
        <w:rPr>
          <w:spacing w:val="-3"/>
        </w:rPr>
        <w:t> </w:t>
      </w:r>
      <w:r>
        <w:rPr/>
        <w:t>(%)</w:t>
      </w:r>
      <w:r>
        <w:rPr>
          <w:spacing w:val="2"/>
        </w:rPr>
        <w:t> </w:t>
      </w:r>
      <w:r>
        <w:rPr/>
        <w:t>= (W</w:t>
      </w:r>
      <w:r>
        <w:rPr>
          <w:vertAlign w:val="subscript"/>
        </w:rPr>
        <w:t>1</w:t>
      </w:r>
      <w:r>
        <w:rPr>
          <w:vertAlign w:val="baseline"/>
        </w:rPr>
        <w:t>- W</w:t>
      </w:r>
      <w:r>
        <w:rPr>
          <w:vertAlign w:val="subscript"/>
        </w:rPr>
        <w:t>2</w:t>
      </w:r>
      <w:r>
        <w:rPr>
          <w:spacing w:val="-23"/>
          <w:vertAlign w:val="baseline"/>
        </w:rPr>
        <w:t> </w:t>
      </w:r>
      <w:r>
        <w:rPr>
          <w:vertAlign w:val="baseline"/>
        </w:rPr>
        <w:t>/</w:t>
      </w:r>
      <w:r>
        <w:rPr>
          <w:spacing w:val="1"/>
          <w:vertAlign w:val="baseline"/>
        </w:rPr>
        <w:t> </w:t>
      </w:r>
      <w:r>
        <w:rPr>
          <w:vertAlign w:val="baseline"/>
        </w:rPr>
        <w:t>W</w:t>
      </w:r>
      <w:r>
        <w:rPr>
          <w:vertAlign w:val="subscript"/>
        </w:rPr>
        <w:t>1</w:t>
      </w:r>
      <w:r>
        <w:rPr>
          <w:vertAlign w:val="baseline"/>
        </w:rPr>
        <w:t>)</w:t>
      </w:r>
      <w:r>
        <w:rPr>
          <w:spacing w:val="1"/>
          <w:vertAlign w:val="baseline"/>
        </w:rPr>
        <w:t> </w:t>
      </w:r>
      <w:r>
        <w:rPr>
          <w:spacing w:val="-5"/>
          <w:vertAlign w:val="baseline"/>
        </w:rPr>
        <w:t>100</w:t>
      </w:r>
    </w:p>
    <w:p>
      <w:pPr>
        <w:pStyle w:val="BodyText"/>
      </w:pPr>
    </w:p>
    <w:p>
      <w:pPr>
        <w:pStyle w:val="BodyText"/>
        <w:ind w:left="380"/>
        <w:jc w:val="both"/>
      </w:pPr>
      <w:r>
        <w:rPr/>
        <w:t>Where,</w:t>
      </w:r>
      <w:r>
        <w:rPr>
          <w:spacing w:val="-1"/>
        </w:rPr>
        <w:t> </w:t>
      </w:r>
      <w:r>
        <w:rPr/>
        <w:t>W1</w:t>
      </w:r>
      <w:r>
        <w:rPr>
          <w:spacing w:val="-1"/>
        </w:rPr>
        <w:t> </w:t>
      </w:r>
      <w:r>
        <w:rPr/>
        <w:t>=</w:t>
      </w:r>
      <w:r>
        <w:rPr>
          <w:spacing w:val="-1"/>
        </w:rPr>
        <w:t> </w:t>
      </w:r>
      <w:r>
        <w:rPr/>
        <w:t>original</w:t>
      </w:r>
      <w:r>
        <w:rPr>
          <w:spacing w:val="-1"/>
        </w:rPr>
        <w:t> </w:t>
      </w:r>
      <w:r>
        <w:rPr/>
        <w:t>weight and,</w:t>
      </w:r>
      <w:r>
        <w:rPr>
          <w:spacing w:val="-1"/>
        </w:rPr>
        <w:t> </w:t>
      </w:r>
      <w:r>
        <w:rPr/>
        <w:t>W2 =</w:t>
      </w:r>
      <w:r>
        <w:rPr>
          <w:spacing w:val="-2"/>
        </w:rPr>
        <w:t> </w:t>
      </w:r>
      <w:r>
        <w:rPr/>
        <w:t>final </w:t>
      </w:r>
      <w:r>
        <w:rPr>
          <w:spacing w:val="-2"/>
        </w:rPr>
        <w:t>weight</w:t>
      </w:r>
    </w:p>
    <w:p>
      <w:pPr>
        <w:pStyle w:val="BodyText"/>
      </w:pPr>
    </w:p>
    <w:p>
      <w:pPr>
        <w:pStyle w:val="ListParagraph"/>
        <w:numPr>
          <w:ilvl w:val="3"/>
          <w:numId w:val="19"/>
        </w:numPr>
        <w:tabs>
          <w:tab w:pos="1099" w:val="left" w:leader="none"/>
        </w:tabs>
        <w:spacing w:line="240" w:lineRule="auto" w:before="0" w:after="0"/>
        <w:ind w:left="1099" w:right="0" w:hanging="719"/>
        <w:jc w:val="left"/>
        <w:rPr>
          <w:i/>
          <w:sz w:val="24"/>
        </w:rPr>
      </w:pPr>
      <w:r>
        <w:rPr>
          <w:i/>
          <w:sz w:val="24"/>
        </w:rPr>
        <w:t>In</w:t>
      </w:r>
      <w:r>
        <w:rPr>
          <w:i/>
          <w:spacing w:val="-1"/>
          <w:sz w:val="24"/>
        </w:rPr>
        <w:t> </w:t>
      </w:r>
      <w:r>
        <w:rPr>
          <w:i/>
          <w:sz w:val="24"/>
        </w:rPr>
        <w:t>vitro</w:t>
      </w:r>
      <w:r>
        <w:rPr>
          <w:i/>
          <w:spacing w:val="-1"/>
          <w:sz w:val="24"/>
        </w:rPr>
        <w:t> </w:t>
      </w:r>
      <w:r>
        <w:rPr>
          <w:i/>
          <w:sz w:val="24"/>
        </w:rPr>
        <w:t>bioavailability </w:t>
      </w:r>
      <w:r>
        <w:rPr>
          <w:i/>
          <w:spacing w:val="-2"/>
          <w:sz w:val="24"/>
        </w:rPr>
        <w:t>studies</w:t>
      </w:r>
    </w:p>
    <w:p>
      <w:pPr>
        <w:pStyle w:val="BodyText"/>
        <w:rPr>
          <w:i/>
        </w:rPr>
      </w:pPr>
    </w:p>
    <w:p>
      <w:pPr>
        <w:pStyle w:val="BodyText"/>
        <w:spacing w:line="480" w:lineRule="auto" w:before="1"/>
        <w:ind w:left="380" w:right="1265"/>
        <w:jc w:val="both"/>
      </w:pPr>
      <w:r>
        <w:rPr/>
        <w:t>The </w:t>
      </w:r>
      <w:r>
        <w:rPr>
          <w:i/>
        </w:rPr>
        <w:t>in vitro </w:t>
      </w:r>
      <w:r>
        <w:rPr/>
        <w:t>bioavailability of each sample of tinidazole tablets was studied by</w:t>
      </w:r>
      <w:r>
        <w:rPr>
          <w:spacing w:val="40"/>
        </w:rPr>
        <w:t> </w:t>
      </w:r>
      <w:r>
        <w:rPr/>
        <w:t>determining its dissolution rate at 37 </w:t>
      </w:r>
      <w:r>
        <w:rPr>
          <w:vertAlign w:val="superscript"/>
        </w:rPr>
        <w:t>0</w:t>
      </w:r>
      <w:r>
        <w:rPr>
          <w:vertAlign w:val="baseline"/>
        </w:rPr>
        <w:t>C in simulated gastric pH (0.1 N HCl ), simulated intestinal pH (phosphate buffer pH 6.8) and simulated blood pH (phosphate buffer 7.4). The</w:t>
      </w:r>
      <w:r>
        <w:rPr>
          <w:spacing w:val="50"/>
          <w:vertAlign w:val="baseline"/>
        </w:rPr>
        <w:t> </w:t>
      </w:r>
      <w:r>
        <w:rPr>
          <w:vertAlign w:val="baseline"/>
        </w:rPr>
        <w:t>Erweka</w:t>
      </w:r>
      <w:r>
        <w:rPr>
          <w:spacing w:val="53"/>
          <w:vertAlign w:val="baseline"/>
        </w:rPr>
        <w:t> </w:t>
      </w:r>
      <w:r>
        <w:rPr>
          <w:vertAlign w:val="baseline"/>
        </w:rPr>
        <w:t>dissolution</w:t>
      </w:r>
      <w:r>
        <w:rPr>
          <w:spacing w:val="55"/>
          <w:vertAlign w:val="baseline"/>
        </w:rPr>
        <w:t> </w:t>
      </w:r>
      <w:r>
        <w:rPr>
          <w:vertAlign w:val="baseline"/>
        </w:rPr>
        <w:t>apparatus</w:t>
      </w:r>
      <w:r>
        <w:rPr>
          <w:spacing w:val="53"/>
          <w:vertAlign w:val="baseline"/>
        </w:rPr>
        <w:t> </w:t>
      </w:r>
      <w:r>
        <w:rPr>
          <w:vertAlign w:val="baseline"/>
        </w:rPr>
        <w:t>used</w:t>
      </w:r>
      <w:r>
        <w:rPr>
          <w:spacing w:val="54"/>
          <w:vertAlign w:val="baseline"/>
        </w:rPr>
        <w:t> </w:t>
      </w:r>
      <w:r>
        <w:rPr>
          <w:vertAlign w:val="baseline"/>
        </w:rPr>
        <w:t>is</w:t>
      </w:r>
      <w:r>
        <w:rPr>
          <w:spacing w:val="54"/>
          <w:vertAlign w:val="baseline"/>
        </w:rPr>
        <w:t> </w:t>
      </w:r>
      <w:r>
        <w:rPr>
          <w:vertAlign w:val="baseline"/>
        </w:rPr>
        <w:t>maintained</w:t>
      </w:r>
      <w:r>
        <w:rPr>
          <w:spacing w:val="52"/>
          <w:vertAlign w:val="baseline"/>
        </w:rPr>
        <w:t> </w:t>
      </w:r>
      <w:r>
        <w:rPr>
          <w:vertAlign w:val="baseline"/>
        </w:rPr>
        <w:t>at</w:t>
      </w:r>
      <w:r>
        <w:rPr>
          <w:spacing w:val="53"/>
          <w:vertAlign w:val="baseline"/>
        </w:rPr>
        <w:t> </w:t>
      </w:r>
      <w:r>
        <w:rPr>
          <w:vertAlign w:val="baseline"/>
        </w:rPr>
        <w:t>37±</w:t>
      </w:r>
      <w:r>
        <w:rPr>
          <w:spacing w:val="54"/>
          <w:vertAlign w:val="baseline"/>
        </w:rPr>
        <w:t> </w:t>
      </w:r>
      <w:r>
        <w:rPr>
          <w:vertAlign w:val="baseline"/>
        </w:rPr>
        <w:t>0.5</w:t>
      </w:r>
      <w:r>
        <w:rPr>
          <w:spacing w:val="54"/>
          <w:vertAlign w:val="baseline"/>
        </w:rPr>
        <w:t> </w:t>
      </w:r>
      <w:r>
        <w:rPr>
          <w:vertAlign w:val="superscript"/>
        </w:rPr>
        <w:t>0</w:t>
      </w:r>
      <w:r>
        <w:rPr>
          <w:vertAlign w:val="baseline"/>
        </w:rPr>
        <w:t>C.</w:t>
      </w:r>
      <w:r>
        <w:rPr>
          <w:spacing w:val="52"/>
          <w:vertAlign w:val="baseline"/>
        </w:rPr>
        <w:t> </w:t>
      </w:r>
      <w:r>
        <w:rPr>
          <w:vertAlign w:val="baseline"/>
        </w:rPr>
        <w:t>The</w:t>
      </w:r>
      <w:r>
        <w:rPr>
          <w:spacing w:val="51"/>
          <w:vertAlign w:val="baseline"/>
        </w:rPr>
        <w:t> </w:t>
      </w:r>
      <w:r>
        <w:rPr>
          <w:vertAlign w:val="baseline"/>
        </w:rPr>
        <w:t>basket</w:t>
      </w:r>
      <w:r>
        <w:rPr>
          <w:spacing w:val="53"/>
          <w:vertAlign w:val="baseline"/>
        </w:rPr>
        <w:t> </w:t>
      </w:r>
      <w:r>
        <w:rPr>
          <w:spacing w:val="-5"/>
          <w:vertAlign w:val="baseline"/>
        </w:rPr>
        <w:t>was</w:t>
      </w:r>
    </w:p>
    <w:p>
      <w:pPr>
        <w:spacing w:after="0" w:line="480" w:lineRule="auto"/>
        <w:jc w:val="both"/>
        <w:sectPr>
          <w:pgSz w:w="12240" w:h="15840"/>
          <w:pgMar w:header="0" w:footer="1068" w:top="1540" w:bottom="1260" w:left="1420" w:right="440"/>
        </w:sectPr>
      </w:pPr>
    </w:p>
    <w:p>
      <w:pPr>
        <w:pStyle w:val="BodyText"/>
        <w:spacing w:line="480" w:lineRule="auto" w:before="72"/>
        <w:ind w:left="380" w:right="1265"/>
        <w:jc w:val="both"/>
      </w:pPr>
      <w:r>
        <w:rPr/>
        <w:t>rotated at a rotational speed of 100 rpm.5 mL samples were withdrawn at every 10</w:t>
      </w:r>
      <w:r>
        <w:rPr>
          <w:spacing w:val="40"/>
        </w:rPr>
        <w:t> </w:t>
      </w:r>
      <w:r>
        <w:rPr/>
        <w:t>minutes interval and replaced by 5 mL of same solvent. The tinidazole samples collected were</w:t>
      </w:r>
      <w:r>
        <w:rPr>
          <w:spacing w:val="-3"/>
        </w:rPr>
        <w:t> </w:t>
      </w:r>
      <w:r>
        <w:rPr/>
        <w:t>tested</w:t>
      </w:r>
      <w:r>
        <w:rPr>
          <w:spacing w:val="-3"/>
        </w:rPr>
        <w:t> </w:t>
      </w:r>
      <w:r>
        <w:rPr/>
        <w:t>spectrophotometrically</w:t>
      </w:r>
      <w:r>
        <w:rPr>
          <w:spacing w:val="-7"/>
        </w:rPr>
        <w:t> </w:t>
      </w:r>
      <w:r>
        <w:rPr/>
        <w:t>to</w:t>
      </w:r>
      <w:r>
        <w:rPr>
          <w:spacing w:val="-1"/>
        </w:rPr>
        <w:t> </w:t>
      </w:r>
      <w:r>
        <w:rPr/>
        <w:t>obtain</w:t>
      </w:r>
      <w:r>
        <w:rPr>
          <w:spacing w:val="-3"/>
        </w:rPr>
        <w:t> </w:t>
      </w:r>
      <w:r>
        <w:rPr/>
        <w:t>the</w:t>
      </w:r>
      <w:r>
        <w:rPr>
          <w:spacing w:val="-2"/>
        </w:rPr>
        <w:t> </w:t>
      </w:r>
      <w:r>
        <w:rPr/>
        <w:t>absorbencies</w:t>
      </w:r>
      <w:r>
        <w:rPr>
          <w:spacing w:val="-2"/>
        </w:rPr>
        <w:t> </w:t>
      </w:r>
      <w:r>
        <w:rPr/>
        <w:t>which</w:t>
      </w:r>
      <w:r>
        <w:rPr>
          <w:spacing w:val="-3"/>
        </w:rPr>
        <w:t> </w:t>
      </w:r>
      <w:r>
        <w:rPr/>
        <w:t>will</w:t>
      </w:r>
      <w:r>
        <w:rPr>
          <w:spacing w:val="-3"/>
        </w:rPr>
        <w:t> </w:t>
      </w:r>
      <w:r>
        <w:rPr/>
        <w:t>be</w:t>
      </w:r>
      <w:r>
        <w:rPr>
          <w:spacing w:val="-4"/>
        </w:rPr>
        <w:t> </w:t>
      </w:r>
      <w:r>
        <w:rPr/>
        <w:t>converted</w:t>
      </w:r>
      <w:r>
        <w:rPr>
          <w:spacing w:val="-3"/>
        </w:rPr>
        <w:t> </w:t>
      </w:r>
      <w:r>
        <w:rPr/>
        <w:t>into concentration terms using the developed and validated methods.</w:t>
      </w:r>
      <w:r>
        <w:rPr>
          <w:spacing w:val="40"/>
        </w:rPr>
        <w:t> </w:t>
      </w:r>
      <w:r>
        <w:rPr/>
        <w:t>The concentrations obtained will be used to determine the area under concentration-time curves (AUC) for each of the simulated pHs.</w:t>
      </w:r>
    </w:p>
    <w:p>
      <w:pPr>
        <w:pStyle w:val="BodyText"/>
        <w:spacing w:before="1"/>
        <w:ind w:left="380"/>
        <w:jc w:val="both"/>
      </w:pPr>
      <w:r>
        <w:rPr/>
        <w:t>All</w:t>
      </w:r>
      <w:r>
        <w:rPr>
          <w:spacing w:val="-1"/>
        </w:rPr>
        <w:t> </w:t>
      </w:r>
      <w:r>
        <w:rPr/>
        <w:t>measurements</w:t>
      </w:r>
      <w:r>
        <w:rPr>
          <w:spacing w:val="-1"/>
        </w:rPr>
        <w:t> </w:t>
      </w:r>
      <w:r>
        <w:rPr/>
        <w:t>were</w:t>
      </w:r>
      <w:r>
        <w:rPr>
          <w:spacing w:val="-1"/>
        </w:rPr>
        <w:t> </w:t>
      </w:r>
      <w:r>
        <w:rPr/>
        <w:t>conducted</w:t>
      </w:r>
      <w:r>
        <w:rPr>
          <w:spacing w:val="-1"/>
        </w:rPr>
        <w:t> </w:t>
      </w:r>
      <w:r>
        <w:rPr/>
        <w:t>in </w:t>
      </w:r>
      <w:r>
        <w:rPr>
          <w:spacing w:val="-2"/>
        </w:rPr>
        <w:t>triplicates.</w:t>
      </w:r>
    </w:p>
    <w:p>
      <w:pPr>
        <w:pStyle w:val="BodyText"/>
        <w:spacing w:before="5"/>
      </w:pPr>
    </w:p>
    <w:p>
      <w:pPr>
        <w:pStyle w:val="Heading2"/>
        <w:numPr>
          <w:ilvl w:val="2"/>
          <w:numId w:val="19"/>
        </w:numPr>
        <w:tabs>
          <w:tab w:pos="919" w:val="left" w:leader="none"/>
        </w:tabs>
        <w:spacing w:line="240" w:lineRule="auto" w:before="0" w:after="0"/>
        <w:ind w:left="919" w:right="0" w:hanging="539"/>
        <w:jc w:val="both"/>
      </w:pPr>
      <w:bookmarkStart w:name="_TOC_250036" w:id="48"/>
      <w:r>
        <w:rPr/>
        <w:t>UV</w:t>
      </w:r>
      <w:r>
        <w:rPr>
          <w:spacing w:val="-3"/>
        </w:rPr>
        <w:t> </w:t>
      </w:r>
      <w:r>
        <w:rPr/>
        <w:t>Spectrophotometric</w:t>
      </w:r>
      <w:r>
        <w:rPr>
          <w:spacing w:val="-1"/>
        </w:rPr>
        <w:t> </w:t>
      </w:r>
      <w:r>
        <w:rPr/>
        <w:t>methods</w:t>
      </w:r>
      <w:r>
        <w:rPr>
          <w:spacing w:val="-1"/>
        </w:rPr>
        <w:t> </w:t>
      </w:r>
      <w:bookmarkEnd w:id="48"/>
      <w:r>
        <w:rPr>
          <w:spacing w:val="-2"/>
        </w:rPr>
        <w:t>development</w:t>
      </w:r>
    </w:p>
    <w:p>
      <w:pPr>
        <w:pStyle w:val="ListParagraph"/>
        <w:numPr>
          <w:ilvl w:val="3"/>
          <w:numId w:val="19"/>
        </w:numPr>
        <w:tabs>
          <w:tab w:pos="1099" w:val="left" w:leader="none"/>
        </w:tabs>
        <w:spacing w:line="480" w:lineRule="auto" w:before="271" w:after="0"/>
        <w:ind w:left="380" w:right="4138" w:firstLine="0"/>
        <w:jc w:val="both"/>
        <w:rPr>
          <w:i/>
          <w:sz w:val="24"/>
        </w:rPr>
      </w:pPr>
      <w:r>
        <w:rPr>
          <w:i/>
          <w:sz w:val="24"/>
        </w:rPr>
        <w:t>Determination</w:t>
      </w:r>
      <w:r>
        <w:rPr>
          <w:i/>
          <w:spacing w:val="-8"/>
          <w:sz w:val="24"/>
        </w:rPr>
        <w:t> </w:t>
      </w:r>
      <w:r>
        <w:rPr>
          <w:i/>
          <w:sz w:val="24"/>
        </w:rPr>
        <w:t>of</w:t>
      </w:r>
      <w:r>
        <w:rPr>
          <w:i/>
          <w:spacing w:val="-8"/>
          <w:sz w:val="24"/>
        </w:rPr>
        <w:t> </w:t>
      </w:r>
      <w:r>
        <w:rPr>
          <w:i/>
          <w:sz w:val="24"/>
        </w:rPr>
        <w:t>wavelength</w:t>
      </w:r>
      <w:r>
        <w:rPr>
          <w:i/>
          <w:spacing w:val="-8"/>
          <w:sz w:val="24"/>
        </w:rPr>
        <w:t> </w:t>
      </w:r>
      <w:r>
        <w:rPr>
          <w:i/>
          <w:sz w:val="24"/>
        </w:rPr>
        <w:t>of</w:t>
      </w:r>
      <w:r>
        <w:rPr>
          <w:i/>
          <w:spacing w:val="-8"/>
          <w:sz w:val="24"/>
        </w:rPr>
        <w:t> </w:t>
      </w:r>
      <w:r>
        <w:rPr>
          <w:i/>
          <w:sz w:val="24"/>
        </w:rPr>
        <w:t>maximum</w:t>
      </w:r>
      <w:r>
        <w:rPr>
          <w:i/>
          <w:spacing w:val="-7"/>
          <w:sz w:val="24"/>
        </w:rPr>
        <w:t> </w:t>
      </w:r>
      <w:r>
        <w:rPr>
          <w:i/>
          <w:sz w:val="24"/>
        </w:rPr>
        <w:t>absorption Method 1: Tinidazole in 0.1N HCl</w:t>
      </w:r>
    </w:p>
    <w:p>
      <w:pPr>
        <w:pStyle w:val="BodyText"/>
        <w:spacing w:line="480" w:lineRule="auto"/>
        <w:ind w:left="380" w:right="1264"/>
        <w:jc w:val="both"/>
      </w:pPr>
      <w:r>
        <w:rPr/>
        <w:t>A solution (10</w:t>
      </w:r>
      <w:r>
        <w:rPr>
          <w:spacing w:val="-3"/>
        </w:rPr>
        <w:t> </w:t>
      </w:r>
      <w:r>
        <w:rPr/>
        <w:t>µg/mL) of pure tinidazole was prepared in 0.1N HCl and scanned through the workable wavelength of (200-400 nm) so as to obtain the wavelength of maximum absorption. A calibration curve of tinidazole in 0.1 N HCl was prepared by preparing</w:t>
      </w:r>
      <w:r>
        <w:rPr>
          <w:spacing w:val="40"/>
        </w:rPr>
        <w:t> </w:t>
      </w:r>
      <w:r>
        <w:rPr/>
        <w:t>serial dilutions of 60, 50, 40, 30, 20 and 10 </w:t>
      </w:r>
      <w:r>
        <w:rPr>
          <w:rFonts w:ascii="Calibri" w:hAnsi="Calibri"/>
        </w:rPr>
        <w:t>µ</w:t>
      </w:r>
      <w:r>
        <w:rPr/>
        <w:t>g/mL from the stock solution of tinidazole. The absorbances of the solutions were determined at the wavelength of maximum absorption recorded. The absorbance obtained were plotted against their corresponding concentrations with the aid of Microsoft excel 2007.</w:t>
      </w:r>
    </w:p>
    <w:p>
      <w:pPr>
        <w:spacing w:before="0"/>
        <w:ind w:left="380" w:right="0" w:firstLine="0"/>
        <w:jc w:val="both"/>
        <w:rPr>
          <w:i/>
          <w:sz w:val="24"/>
        </w:rPr>
      </w:pPr>
      <w:r>
        <w:rPr>
          <w:i/>
          <w:sz w:val="24"/>
        </w:rPr>
        <w:t>Method</w:t>
      </w:r>
      <w:r>
        <w:rPr>
          <w:i/>
          <w:spacing w:val="-3"/>
          <w:sz w:val="24"/>
        </w:rPr>
        <w:t> </w:t>
      </w:r>
      <w:r>
        <w:rPr>
          <w:i/>
          <w:sz w:val="24"/>
        </w:rPr>
        <w:t>2:</w:t>
      </w:r>
      <w:r>
        <w:rPr>
          <w:i/>
          <w:spacing w:val="-1"/>
          <w:sz w:val="24"/>
        </w:rPr>
        <w:t> </w:t>
      </w:r>
      <w:r>
        <w:rPr>
          <w:i/>
          <w:sz w:val="24"/>
        </w:rPr>
        <w:t>Tinidazole in</w:t>
      </w:r>
      <w:r>
        <w:rPr>
          <w:i/>
          <w:spacing w:val="-1"/>
          <w:sz w:val="24"/>
        </w:rPr>
        <w:t> </w:t>
      </w:r>
      <w:r>
        <w:rPr>
          <w:i/>
          <w:sz w:val="24"/>
        </w:rPr>
        <w:t>phosphate buffer pH</w:t>
      </w:r>
      <w:r>
        <w:rPr>
          <w:i/>
          <w:spacing w:val="-1"/>
          <w:sz w:val="24"/>
        </w:rPr>
        <w:t> </w:t>
      </w:r>
      <w:r>
        <w:rPr>
          <w:i/>
          <w:spacing w:val="-5"/>
          <w:sz w:val="24"/>
        </w:rPr>
        <w:t>6.8</w:t>
      </w:r>
    </w:p>
    <w:p>
      <w:pPr>
        <w:pStyle w:val="BodyText"/>
        <w:spacing w:before="1"/>
        <w:rPr>
          <w:i/>
        </w:rPr>
      </w:pPr>
    </w:p>
    <w:p>
      <w:pPr>
        <w:pStyle w:val="BodyText"/>
        <w:spacing w:line="480" w:lineRule="auto"/>
        <w:ind w:left="380" w:right="1262" w:firstLine="60"/>
        <w:jc w:val="both"/>
      </w:pPr>
      <w:r>
        <w:rPr/>
        <w:t>A solution (10 µg/mL) of pure tinidazole was prepared in the phosphate buffer pH 6.8 prepared and scanned through the workable wavelength of (200-400 nm) so as to obtain the wavelength of maximum absorption. A calibration curve of tinidazole in phosphate buffer pH 6.8 was prepared by preparing serial dilutions of 40, 20, 10, 5 and 2.5 </w:t>
      </w:r>
      <w:r>
        <w:rPr>
          <w:rFonts w:ascii="Calibri" w:hAnsi="Calibri"/>
        </w:rPr>
        <w:t>µ</w:t>
      </w:r>
      <w:r>
        <w:rPr/>
        <w:t>g/mL from</w:t>
      </w:r>
      <w:r>
        <w:rPr>
          <w:spacing w:val="5"/>
        </w:rPr>
        <w:t> </w:t>
      </w:r>
      <w:r>
        <w:rPr/>
        <w:t>the</w:t>
      </w:r>
      <w:r>
        <w:rPr>
          <w:spacing w:val="4"/>
        </w:rPr>
        <w:t> </w:t>
      </w:r>
      <w:r>
        <w:rPr/>
        <w:t>stock</w:t>
      </w:r>
      <w:r>
        <w:rPr>
          <w:spacing w:val="5"/>
        </w:rPr>
        <w:t> </w:t>
      </w:r>
      <w:r>
        <w:rPr/>
        <w:t>solution</w:t>
      </w:r>
      <w:r>
        <w:rPr>
          <w:spacing w:val="3"/>
        </w:rPr>
        <w:t> </w:t>
      </w:r>
      <w:r>
        <w:rPr/>
        <w:t>of</w:t>
      </w:r>
      <w:r>
        <w:rPr>
          <w:spacing w:val="5"/>
        </w:rPr>
        <w:t> </w:t>
      </w:r>
      <w:r>
        <w:rPr/>
        <w:t>tinidazole.</w:t>
      </w:r>
      <w:r>
        <w:rPr>
          <w:spacing w:val="4"/>
        </w:rPr>
        <w:t> </w:t>
      </w:r>
      <w:r>
        <w:rPr/>
        <w:t>The</w:t>
      </w:r>
      <w:r>
        <w:rPr>
          <w:spacing w:val="8"/>
        </w:rPr>
        <w:t> </w:t>
      </w:r>
      <w:r>
        <w:rPr/>
        <w:t>absorbences</w:t>
      </w:r>
      <w:r>
        <w:rPr>
          <w:spacing w:val="5"/>
        </w:rPr>
        <w:t> </w:t>
      </w:r>
      <w:r>
        <w:rPr/>
        <w:t>of</w:t>
      </w:r>
      <w:r>
        <w:rPr>
          <w:spacing w:val="5"/>
        </w:rPr>
        <w:t> </w:t>
      </w:r>
      <w:r>
        <w:rPr/>
        <w:t>the</w:t>
      </w:r>
      <w:r>
        <w:rPr>
          <w:spacing w:val="4"/>
        </w:rPr>
        <w:t> </w:t>
      </w:r>
      <w:r>
        <w:rPr/>
        <w:t>solutions</w:t>
      </w:r>
      <w:r>
        <w:rPr>
          <w:spacing w:val="6"/>
        </w:rPr>
        <w:t> </w:t>
      </w:r>
      <w:r>
        <w:rPr/>
        <w:t>were</w:t>
      </w:r>
      <w:r>
        <w:rPr>
          <w:spacing w:val="4"/>
        </w:rPr>
        <w:t> </w:t>
      </w:r>
      <w:r>
        <w:rPr/>
        <w:t>determined</w:t>
      </w:r>
      <w:r>
        <w:rPr>
          <w:spacing w:val="5"/>
        </w:rPr>
        <w:t> </w:t>
      </w:r>
      <w:r>
        <w:rPr>
          <w:spacing w:val="-5"/>
        </w:rPr>
        <w:t>at</w:t>
      </w:r>
    </w:p>
    <w:p>
      <w:pPr>
        <w:spacing w:after="0" w:line="480" w:lineRule="auto"/>
        <w:jc w:val="both"/>
        <w:sectPr>
          <w:pgSz w:w="12240" w:h="15840"/>
          <w:pgMar w:header="0" w:footer="1068" w:top="1540" w:bottom="1260" w:left="1420" w:right="440"/>
        </w:sectPr>
      </w:pPr>
    </w:p>
    <w:p>
      <w:pPr>
        <w:pStyle w:val="BodyText"/>
        <w:spacing w:line="480" w:lineRule="auto" w:before="72"/>
        <w:ind w:left="380" w:right="1266"/>
        <w:jc w:val="both"/>
      </w:pPr>
      <w:r>
        <w:rPr/>
        <w:t>the wavelength of maximum absorption recorded. The absorbences obtained were plotted against their corresponding concentrations with the aid of Microsoft excel 2007.</w:t>
      </w:r>
    </w:p>
    <w:p>
      <w:pPr>
        <w:spacing w:before="0"/>
        <w:ind w:left="380" w:right="0" w:firstLine="0"/>
        <w:jc w:val="both"/>
        <w:rPr>
          <w:i/>
          <w:sz w:val="24"/>
        </w:rPr>
      </w:pPr>
      <w:r>
        <w:rPr>
          <w:i/>
          <w:sz w:val="24"/>
        </w:rPr>
        <w:t>Method</w:t>
      </w:r>
      <w:r>
        <w:rPr>
          <w:i/>
          <w:spacing w:val="-1"/>
          <w:sz w:val="24"/>
        </w:rPr>
        <w:t> </w:t>
      </w:r>
      <w:r>
        <w:rPr>
          <w:i/>
          <w:sz w:val="24"/>
        </w:rPr>
        <w:t>3:</w:t>
      </w:r>
      <w:r>
        <w:rPr>
          <w:i/>
          <w:spacing w:val="-1"/>
          <w:sz w:val="24"/>
        </w:rPr>
        <w:t> </w:t>
      </w:r>
      <w:r>
        <w:rPr>
          <w:i/>
          <w:sz w:val="24"/>
        </w:rPr>
        <w:t>Tinidazole</w:t>
      </w:r>
      <w:r>
        <w:rPr>
          <w:i/>
          <w:spacing w:val="-1"/>
          <w:sz w:val="24"/>
        </w:rPr>
        <w:t> </w:t>
      </w:r>
      <w:r>
        <w:rPr>
          <w:i/>
          <w:sz w:val="24"/>
        </w:rPr>
        <w:t>in</w:t>
      </w:r>
      <w:r>
        <w:rPr>
          <w:i/>
          <w:spacing w:val="-1"/>
          <w:sz w:val="24"/>
        </w:rPr>
        <w:t> </w:t>
      </w:r>
      <w:r>
        <w:rPr>
          <w:i/>
          <w:sz w:val="24"/>
        </w:rPr>
        <w:t>phosphate buffer pH</w:t>
      </w:r>
      <w:r>
        <w:rPr>
          <w:i/>
          <w:spacing w:val="-1"/>
          <w:sz w:val="24"/>
        </w:rPr>
        <w:t> </w:t>
      </w:r>
      <w:r>
        <w:rPr>
          <w:i/>
          <w:spacing w:val="-5"/>
          <w:sz w:val="24"/>
        </w:rPr>
        <w:t>7.4</w:t>
      </w:r>
    </w:p>
    <w:p>
      <w:pPr>
        <w:pStyle w:val="BodyText"/>
        <w:rPr>
          <w:i/>
        </w:rPr>
      </w:pPr>
    </w:p>
    <w:p>
      <w:pPr>
        <w:pStyle w:val="BodyText"/>
        <w:spacing w:line="480" w:lineRule="auto"/>
        <w:ind w:left="380" w:right="1262"/>
        <w:jc w:val="both"/>
      </w:pPr>
      <w:r>
        <w:rPr/>
        <w:t>A solution (10 µg/mL) of pure tinidazole was prepared in the phosphate buffer pH 7.4 prepared and scanned through the workable wavelength of (200-400 nm) so as to obtain the wavelength of maximum absorption. A calibration curve of tinidazole in phosphate buffer pH 7.4 was prepared by preparing serial dilutions of 50,40,30,20, 10 and 5 </w:t>
      </w:r>
      <w:r>
        <w:rPr>
          <w:rFonts w:ascii="Calibri" w:hAnsi="Calibri"/>
        </w:rPr>
        <w:t>µ</w:t>
      </w:r>
      <w:r>
        <w:rPr/>
        <w:t>g/mL from the stock solution of tinidazole. The absorbances of the solutions were determined at the wavelength of maximum absorption recorded. The absorbances obtained were plotted against their corresponding concerntrations with the aid of Microsoft excel 2007.</w:t>
      </w:r>
    </w:p>
    <w:p>
      <w:pPr>
        <w:pStyle w:val="Heading2"/>
        <w:numPr>
          <w:ilvl w:val="2"/>
          <w:numId w:val="19"/>
        </w:numPr>
        <w:tabs>
          <w:tab w:pos="919" w:val="left" w:leader="none"/>
        </w:tabs>
        <w:spacing w:line="240" w:lineRule="auto" w:before="6" w:after="0"/>
        <w:ind w:left="919" w:right="0" w:hanging="539"/>
        <w:jc w:val="left"/>
      </w:pPr>
      <w:bookmarkStart w:name="_TOC_250035" w:id="49"/>
      <w:r>
        <w:rPr/>
        <w:t>Validation</w:t>
      </w:r>
      <w:r>
        <w:rPr>
          <w:spacing w:val="-1"/>
        </w:rPr>
        <w:t> </w:t>
      </w:r>
      <w:r>
        <w:rPr/>
        <w:t>of</w:t>
      </w:r>
      <w:r>
        <w:rPr>
          <w:spacing w:val="-1"/>
        </w:rPr>
        <w:t> </w:t>
      </w:r>
      <w:r>
        <w:rPr/>
        <w:t>the</w:t>
      </w:r>
      <w:r>
        <w:rPr>
          <w:spacing w:val="-3"/>
        </w:rPr>
        <w:t> </w:t>
      </w:r>
      <w:r>
        <w:rPr/>
        <w:t>developed</w:t>
      </w:r>
      <w:r>
        <w:rPr>
          <w:spacing w:val="-2"/>
        </w:rPr>
        <w:t> </w:t>
      </w:r>
      <w:r>
        <w:rPr/>
        <w:t>analytical</w:t>
      </w:r>
      <w:r>
        <w:rPr>
          <w:spacing w:val="-1"/>
        </w:rPr>
        <w:t> </w:t>
      </w:r>
      <w:bookmarkEnd w:id="49"/>
      <w:r>
        <w:rPr>
          <w:spacing w:val="-2"/>
        </w:rPr>
        <w:t>methods</w:t>
      </w:r>
    </w:p>
    <w:p>
      <w:pPr>
        <w:pStyle w:val="BodyText"/>
        <w:spacing w:line="480" w:lineRule="auto" w:before="271"/>
        <w:ind w:left="380" w:right="1175"/>
      </w:pPr>
      <w:r>
        <w:rPr/>
        <w:t>The developed method was validated for its linearity, precision, accuracy and percentage recovery according to ICH guideline.</w:t>
      </w:r>
    </w:p>
    <w:p>
      <w:pPr>
        <w:pStyle w:val="ListParagraph"/>
        <w:numPr>
          <w:ilvl w:val="3"/>
          <w:numId w:val="19"/>
        </w:numPr>
        <w:tabs>
          <w:tab w:pos="1099" w:val="left" w:leader="none"/>
        </w:tabs>
        <w:spacing w:line="240" w:lineRule="auto" w:before="0" w:after="0"/>
        <w:ind w:left="1099" w:right="0" w:hanging="719"/>
        <w:jc w:val="left"/>
        <w:rPr>
          <w:i/>
          <w:sz w:val="24"/>
        </w:rPr>
      </w:pPr>
      <w:r>
        <w:rPr>
          <w:i/>
          <w:spacing w:val="-2"/>
          <w:sz w:val="24"/>
        </w:rPr>
        <w:t>Linearity</w:t>
      </w:r>
    </w:p>
    <w:p>
      <w:pPr>
        <w:pStyle w:val="BodyText"/>
        <w:spacing w:before="2"/>
        <w:rPr>
          <w:i/>
        </w:rPr>
      </w:pPr>
    </w:p>
    <w:p>
      <w:pPr>
        <w:pStyle w:val="BodyText"/>
        <w:spacing w:before="1"/>
        <w:ind w:left="380"/>
      </w:pPr>
      <w:r>
        <w:rPr/>
        <w:t>This</w:t>
      </w:r>
      <w:r>
        <w:rPr>
          <w:spacing w:val="-3"/>
        </w:rPr>
        <w:t> </w:t>
      </w:r>
      <w:r>
        <w:rPr/>
        <w:t>was established</w:t>
      </w:r>
      <w:r>
        <w:rPr>
          <w:spacing w:val="-1"/>
        </w:rPr>
        <w:t> </w:t>
      </w:r>
      <w:r>
        <w:rPr/>
        <w:t>by</w:t>
      </w:r>
      <w:r>
        <w:rPr>
          <w:spacing w:val="-6"/>
        </w:rPr>
        <w:t> </w:t>
      </w:r>
      <w:r>
        <w:rPr/>
        <w:t>least square</w:t>
      </w:r>
      <w:r>
        <w:rPr>
          <w:spacing w:val="-2"/>
        </w:rPr>
        <w:t> </w:t>
      </w:r>
      <w:r>
        <w:rPr/>
        <w:t>method</w:t>
      </w:r>
      <w:r>
        <w:rPr>
          <w:spacing w:val="-1"/>
        </w:rPr>
        <w:t> </w:t>
      </w:r>
      <w:r>
        <w:rPr/>
        <w:t>using Microsoft excel</w:t>
      </w:r>
      <w:r>
        <w:rPr>
          <w:spacing w:val="3"/>
        </w:rPr>
        <w:t> </w:t>
      </w:r>
      <w:r>
        <w:rPr>
          <w:spacing w:val="-2"/>
        </w:rPr>
        <w:t>2010.</w:t>
      </w:r>
    </w:p>
    <w:p>
      <w:pPr>
        <w:pStyle w:val="ListParagraph"/>
        <w:numPr>
          <w:ilvl w:val="3"/>
          <w:numId w:val="19"/>
        </w:numPr>
        <w:tabs>
          <w:tab w:pos="1099" w:val="left" w:leader="none"/>
        </w:tabs>
        <w:spacing w:line="240" w:lineRule="auto" w:before="134" w:after="0"/>
        <w:ind w:left="1099" w:right="0" w:hanging="719"/>
        <w:jc w:val="left"/>
        <w:rPr>
          <w:i/>
          <w:sz w:val="24"/>
        </w:rPr>
      </w:pPr>
      <w:r>
        <w:rPr>
          <w:i/>
          <w:spacing w:val="-2"/>
          <w:sz w:val="24"/>
        </w:rPr>
        <w:t>Precision</w:t>
      </w:r>
    </w:p>
    <w:p>
      <w:pPr>
        <w:pStyle w:val="BodyText"/>
        <w:spacing w:before="2"/>
        <w:rPr>
          <w:i/>
        </w:rPr>
      </w:pPr>
    </w:p>
    <w:p>
      <w:pPr>
        <w:pStyle w:val="BodyText"/>
        <w:spacing w:line="360" w:lineRule="auto" w:before="1"/>
        <w:ind w:left="380" w:right="1266"/>
        <w:jc w:val="both"/>
      </w:pPr>
      <w:r>
        <w:rPr/>
        <w:t>This was done by actual determination of 6 replicates of a fixed concentration of the drug (10</w:t>
      </w:r>
      <w:r>
        <w:rPr>
          <w:spacing w:val="-2"/>
        </w:rPr>
        <w:t> </w:t>
      </w:r>
      <w:r>
        <w:rPr/>
        <w:t>μg/mL) within the Beer’s range and finding out the absorbance by the proposed methods. It consists of;</w:t>
      </w:r>
    </w:p>
    <w:p>
      <w:pPr>
        <w:spacing w:line="275" w:lineRule="exact" w:before="0"/>
        <w:ind w:left="380" w:right="0" w:firstLine="0"/>
        <w:jc w:val="both"/>
        <w:rPr>
          <w:sz w:val="24"/>
        </w:rPr>
      </w:pPr>
      <w:r>
        <w:rPr>
          <w:i/>
          <w:sz w:val="24"/>
        </w:rPr>
        <w:t>Intra-day</w:t>
      </w:r>
      <w:r>
        <w:rPr>
          <w:i/>
          <w:spacing w:val="-3"/>
          <w:sz w:val="24"/>
        </w:rPr>
        <w:t> </w:t>
      </w:r>
      <w:r>
        <w:rPr>
          <w:i/>
          <w:sz w:val="24"/>
        </w:rPr>
        <w:t>precision</w:t>
      </w:r>
      <w:r>
        <w:rPr>
          <w:i/>
          <w:spacing w:val="-1"/>
          <w:sz w:val="24"/>
        </w:rPr>
        <w:t> </w:t>
      </w:r>
      <w:r>
        <w:rPr>
          <w:i/>
          <w:sz w:val="24"/>
        </w:rPr>
        <w:t>(within</w:t>
      </w:r>
      <w:r>
        <w:rPr>
          <w:i/>
          <w:spacing w:val="-1"/>
          <w:sz w:val="24"/>
        </w:rPr>
        <w:t> </w:t>
      </w:r>
      <w:r>
        <w:rPr>
          <w:i/>
          <w:sz w:val="24"/>
        </w:rPr>
        <w:t>day</w:t>
      </w:r>
      <w:r>
        <w:rPr>
          <w:i/>
          <w:spacing w:val="-2"/>
          <w:sz w:val="24"/>
        </w:rPr>
        <w:t> precision)</w:t>
      </w:r>
      <w:r>
        <w:rPr>
          <w:spacing w:val="-2"/>
          <w:sz w:val="24"/>
        </w:rPr>
        <w:t>:</w:t>
      </w:r>
    </w:p>
    <w:p>
      <w:pPr>
        <w:pStyle w:val="BodyText"/>
        <w:spacing w:line="480" w:lineRule="auto" w:before="276"/>
        <w:ind w:left="380" w:right="1175"/>
      </w:pPr>
      <w:r>
        <w:rPr/>
        <w:t>This essentially</w:t>
      </w:r>
      <w:r>
        <w:rPr>
          <w:spacing w:val="-5"/>
        </w:rPr>
        <w:t> </w:t>
      </w:r>
      <w:r>
        <w:rPr/>
        <w:t>consists of</w:t>
      </w:r>
      <w:r>
        <w:rPr>
          <w:spacing w:val="-1"/>
        </w:rPr>
        <w:t> </w:t>
      </w:r>
      <w:r>
        <w:rPr/>
        <w:t>determining</w:t>
      </w:r>
      <w:r>
        <w:rPr>
          <w:spacing w:val="-3"/>
        </w:rPr>
        <w:t> </w:t>
      </w:r>
      <w:r>
        <w:rPr/>
        <w:t>the</w:t>
      </w:r>
      <w:r>
        <w:rPr>
          <w:spacing w:val="-1"/>
        </w:rPr>
        <w:t> </w:t>
      </w:r>
      <w:r>
        <w:rPr/>
        <w:t>absorbance</w:t>
      </w:r>
      <w:r>
        <w:rPr>
          <w:spacing w:val="-1"/>
        </w:rPr>
        <w:t> </w:t>
      </w:r>
      <w:r>
        <w:rPr/>
        <w:t>of</w:t>
      </w:r>
      <w:r>
        <w:rPr>
          <w:spacing w:val="-1"/>
        </w:rPr>
        <w:t> </w:t>
      </w:r>
      <w:r>
        <w:rPr/>
        <w:t>10 μg/mL</w:t>
      </w:r>
      <w:r>
        <w:rPr>
          <w:spacing w:val="-2"/>
        </w:rPr>
        <w:t> </w:t>
      </w:r>
      <w:r>
        <w:rPr/>
        <w:t>buffered solutions for six times at the interval of one hour.</w:t>
      </w:r>
    </w:p>
    <w:p>
      <w:pPr>
        <w:spacing w:after="0" w:line="480" w:lineRule="auto"/>
        <w:sectPr>
          <w:pgSz w:w="12240" w:h="15840"/>
          <w:pgMar w:header="0" w:footer="1068" w:top="1540" w:bottom="1260" w:left="1420" w:right="440"/>
        </w:sectPr>
      </w:pPr>
    </w:p>
    <w:p>
      <w:pPr>
        <w:spacing w:before="74"/>
        <w:ind w:left="380" w:right="0" w:firstLine="0"/>
        <w:jc w:val="left"/>
        <w:rPr>
          <w:i/>
          <w:sz w:val="24"/>
        </w:rPr>
      </w:pPr>
      <w:r>
        <w:rPr>
          <w:i/>
          <w:sz w:val="24"/>
        </w:rPr>
        <w:t>Inter-day</w:t>
      </w:r>
      <w:r>
        <w:rPr>
          <w:i/>
          <w:spacing w:val="-4"/>
          <w:sz w:val="24"/>
        </w:rPr>
        <w:t> </w:t>
      </w:r>
      <w:r>
        <w:rPr>
          <w:i/>
          <w:sz w:val="24"/>
        </w:rPr>
        <w:t>precision</w:t>
      </w:r>
      <w:r>
        <w:rPr>
          <w:i/>
          <w:spacing w:val="-1"/>
          <w:sz w:val="24"/>
        </w:rPr>
        <w:t> </w:t>
      </w:r>
      <w:r>
        <w:rPr>
          <w:i/>
          <w:sz w:val="24"/>
        </w:rPr>
        <w:t>(between</w:t>
      </w:r>
      <w:r>
        <w:rPr>
          <w:i/>
          <w:spacing w:val="-2"/>
          <w:sz w:val="24"/>
        </w:rPr>
        <w:t> </w:t>
      </w:r>
      <w:r>
        <w:rPr>
          <w:i/>
          <w:sz w:val="24"/>
        </w:rPr>
        <w:t>day</w:t>
      </w:r>
      <w:r>
        <w:rPr>
          <w:i/>
          <w:spacing w:val="-3"/>
          <w:sz w:val="24"/>
        </w:rPr>
        <w:t> </w:t>
      </w:r>
      <w:r>
        <w:rPr>
          <w:i/>
          <w:spacing w:val="-2"/>
          <w:sz w:val="24"/>
        </w:rPr>
        <w:t>precision):</w:t>
      </w:r>
    </w:p>
    <w:p>
      <w:pPr>
        <w:pStyle w:val="BodyText"/>
        <w:spacing w:line="480" w:lineRule="auto" w:before="135"/>
        <w:ind w:left="380" w:right="1175"/>
      </w:pPr>
      <w:r>
        <w:rPr/>
        <w:t>This</w:t>
      </w:r>
      <w:r>
        <w:rPr>
          <w:spacing w:val="30"/>
        </w:rPr>
        <w:t> </w:t>
      </w:r>
      <w:r>
        <w:rPr/>
        <w:t>essentially</w:t>
      </w:r>
      <w:r>
        <w:rPr>
          <w:spacing w:val="26"/>
        </w:rPr>
        <w:t> </w:t>
      </w:r>
      <w:r>
        <w:rPr/>
        <w:t>consists</w:t>
      </w:r>
      <w:r>
        <w:rPr>
          <w:spacing w:val="33"/>
        </w:rPr>
        <w:t> </w:t>
      </w:r>
      <w:r>
        <w:rPr/>
        <w:t>of</w:t>
      </w:r>
      <w:r>
        <w:rPr>
          <w:spacing w:val="29"/>
        </w:rPr>
        <w:t> </w:t>
      </w:r>
      <w:r>
        <w:rPr/>
        <w:t>determining</w:t>
      </w:r>
      <w:r>
        <w:rPr>
          <w:spacing w:val="28"/>
        </w:rPr>
        <w:t> </w:t>
      </w:r>
      <w:r>
        <w:rPr/>
        <w:t>the</w:t>
      </w:r>
      <w:r>
        <w:rPr>
          <w:spacing w:val="29"/>
        </w:rPr>
        <w:t> </w:t>
      </w:r>
      <w:r>
        <w:rPr/>
        <w:t>absorbance</w:t>
      </w:r>
      <w:r>
        <w:rPr>
          <w:spacing w:val="29"/>
        </w:rPr>
        <w:t> </w:t>
      </w:r>
      <w:r>
        <w:rPr/>
        <w:t>of</w:t>
      </w:r>
      <w:r>
        <w:rPr>
          <w:spacing w:val="29"/>
        </w:rPr>
        <w:t> </w:t>
      </w:r>
      <w:r>
        <w:rPr/>
        <w:t>10</w:t>
      </w:r>
      <w:r>
        <w:rPr>
          <w:spacing w:val="33"/>
        </w:rPr>
        <w:t> </w:t>
      </w:r>
      <w:r>
        <w:rPr/>
        <w:t>μg/mL</w:t>
      </w:r>
      <w:r>
        <w:rPr>
          <w:spacing w:val="28"/>
        </w:rPr>
        <w:t> </w:t>
      </w:r>
      <w:r>
        <w:rPr/>
        <w:t>buffered</w:t>
      </w:r>
      <w:r>
        <w:rPr>
          <w:spacing w:val="30"/>
        </w:rPr>
        <w:t> </w:t>
      </w:r>
      <w:r>
        <w:rPr/>
        <w:t>solutions three times for three different days.</w:t>
      </w:r>
    </w:p>
    <w:p>
      <w:pPr>
        <w:pStyle w:val="ListParagraph"/>
        <w:numPr>
          <w:ilvl w:val="3"/>
          <w:numId w:val="19"/>
        </w:numPr>
        <w:tabs>
          <w:tab w:pos="1099" w:val="left" w:leader="none"/>
        </w:tabs>
        <w:spacing w:line="240" w:lineRule="auto" w:before="0" w:after="0"/>
        <w:ind w:left="1099" w:right="0" w:hanging="719"/>
        <w:jc w:val="left"/>
        <w:rPr>
          <w:i/>
          <w:sz w:val="24"/>
        </w:rPr>
      </w:pPr>
      <w:r>
        <w:rPr>
          <w:i/>
          <w:spacing w:val="-2"/>
          <w:sz w:val="24"/>
        </w:rPr>
        <w:t>Accuracy</w:t>
      </w:r>
    </w:p>
    <w:p>
      <w:pPr>
        <w:pStyle w:val="BodyText"/>
        <w:rPr>
          <w:i/>
        </w:rPr>
      </w:pPr>
    </w:p>
    <w:p>
      <w:pPr>
        <w:pStyle w:val="BodyText"/>
        <w:spacing w:line="480" w:lineRule="auto"/>
        <w:ind w:left="380" w:right="1265"/>
        <w:jc w:val="both"/>
      </w:pPr>
      <w:r>
        <w:rPr/>
        <w:t>The accuracies of the proposed methods were tested by standard addition method and recovery studies method. In the standard addition method utilised, 10 µg/mL stock concentration of pure tinidazole powder was prepared and analysed repeatedly for five different times while in recovery studies method, 80, 100, and 120 % of the stock was prepared by</w:t>
      </w:r>
      <w:r>
        <w:rPr>
          <w:spacing w:val="-5"/>
        </w:rPr>
        <w:t> </w:t>
      </w:r>
      <w:r>
        <w:rPr/>
        <w:t>adding</w:t>
      </w:r>
      <w:r>
        <w:rPr>
          <w:spacing w:val="-3"/>
        </w:rPr>
        <w:t> </w:t>
      </w:r>
      <w:r>
        <w:rPr/>
        <w:t>4.4, 2.5 and 1.2 mL</w:t>
      </w:r>
      <w:r>
        <w:rPr>
          <w:spacing w:val="-5"/>
        </w:rPr>
        <w:t> </w:t>
      </w:r>
      <w:r>
        <w:rPr/>
        <w:t>to make up 5 mL of</w:t>
      </w:r>
      <w:r>
        <w:rPr>
          <w:spacing w:val="-1"/>
        </w:rPr>
        <w:t> </w:t>
      </w:r>
      <w:r>
        <w:rPr/>
        <w:t>15µg/ml solution contained in three 10</w:t>
      </w:r>
      <w:r>
        <w:rPr>
          <w:spacing w:val="5"/>
        </w:rPr>
        <w:t> </w:t>
      </w:r>
      <w:r>
        <w:rPr/>
        <w:t>mL</w:t>
      </w:r>
      <w:r>
        <w:rPr>
          <w:spacing w:val="-1"/>
        </w:rPr>
        <w:t> </w:t>
      </w:r>
      <w:r>
        <w:rPr/>
        <w:t>test</w:t>
      </w:r>
      <w:r>
        <w:rPr>
          <w:spacing w:val="4"/>
        </w:rPr>
        <w:t> </w:t>
      </w:r>
      <w:r>
        <w:rPr/>
        <w:t>tubes</w:t>
      </w:r>
      <w:r>
        <w:rPr>
          <w:spacing w:val="4"/>
        </w:rPr>
        <w:t> </w:t>
      </w:r>
      <w:r>
        <w:rPr/>
        <w:t>thereby</w:t>
      </w:r>
      <w:r>
        <w:rPr>
          <w:spacing w:val="4"/>
        </w:rPr>
        <w:t> </w:t>
      </w:r>
      <w:r>
        <w:rPr/>
        <w:t>yielding</w:t>
      </w:r>
      <w:r>
        <w:rPr>
          <w:spacing w:val="1"/>
        </w:rPr>
        <w:t> </w:t>
      </w:r>
      <w:r>
        <w:rPr/>
        <w:t>8,</w:t>
      </w:r>
      <w:r>
        <w:rPr>
          <w:spacing w:val="4"/>
        </w:rPr>
        <w:t> </w:t>
      </w:r>
      <w:r>
        <w:rPr/>
        <w:t>10</w:t>
      </w:r>
      <w:r>
        <w:rPr>
          <w:spacing w:val="4"/>
        </w:rPr>
        <w:t> </w:t>
      </w:r>
      <w:r>
        <w:rPr/>
        <w:t>and</w:t>
      </w:r>
      <w:r>
        <w:rPr>
          <w:spacing w:val="5"/>
        </w:rPr>
        <w:t> </w:t>
      </w:r>
      <w:r>
        <w:rPr/>
        <w:t>12</w:t>
      </w:r>
      <w:r>
        <w:rPr>
          <w:spacing w:val="4"/>
        </w:rPr>
        <w:t> </w:t>
      </w:r>
      <w:r>
        <w:rPr/>
        <w:t>µg/mL</w:t>
      </w:r>
      <w:r>
        <w:rPr>
          <w:spacing w:val="-1"/>
        </w:rPr>
        <w:t> </w:t>
      </w:r>
      <w:r>
        <w:rPr/>
        <w:t>solutions.</w:t>
      </w:r>
      <w:r>
        <w:rPr>
          <w:spacing w:val="7"/>
        </w:rPr>
        <w:t> </w:t>
      </w:r>
      <w:r>
        <w:rPr/>
        <w:t>It</w:t>
      </w:r>
      <w:r>
        <w:rPr>
          <w:spacing w:val="5"/>
        </w:rPr>
        <w:t> </w:t>
      </w:r>
      <w:r>
        <w:rPr/>
        <w:t>then</w:t>
      </w:r>
      <w:r>
        <w:rPr>
          <w:spacing w:val="4"/>
        </w:rPr>
        <w:t> </w:t>
      </w:r>
      <w:r>
        <w:rPr/>
        <w:t>expressed</w:t>
      </w:r>
      <w:r>
        <w:rPr>
          <w:spacing w:val="4"/>
        </w:rPr>
        <w:t> </w:t>
      </w:r>
      <w:r>
        <w:rPr>
          <w:spacing w:val="-5"/>
        </w:rPr>
        <w:t>as</w:t>
      </w:r>
    </w:p>
    <w:p>
      <w:pPr>
        <w:pStyle w:val="BodyText"/>
        <w:spacing w:before="1"/>
        <w:ind w:left="380"/>
        <w:jc w:val="both"/>
      </w:pPr>
      <w:r>
        <w:rPr/>
        <w:t>%</w:t>
      </w:r>
      <w:r>
        <w:rPr>
          <w:spacing w:val="-2"/>
        </w:rPr>
        <w:t> </w:t>
      </w:r>
      <w:r>
        <w:rPr/>
        <w:t>relative error</w:t>
      </w:r>
      <w:r>
        <w:rPr>
          <w:spacing w:val="-2"/>
        </w:rPr>
        <w:t> </w:t>
      </w:r>
      <w:r>
        <w:rPr/>
        <w:t>using</w:t>
      </w:r>
      <w:r>
        <w:rPr>
          <w:b/>
        </w:rPr>
        <w:t>:</w:t>
      </w:r>
      <w:r>
        <w:rPr>
          <w:b/>
          <w:spacing w:val="1"/>
        </w:rPr>
        <w:t> </w:t>
      </w:r>
      <w:r>
        <w:rPr/>
        <w:t>(%</w:t>
      </w:r>
      <w:r>
        <w:rPr>
          <w:spacing w:val="-1"/>
        </w:rPr>
        <w:t> </w:t>
      </w:r>
      <w:r>
        <w:rPr/>
        <w:t>Er)</w:t>
      </w:r>
      <w:r>
        <w:rPr>
          <w:spacing w:val="-1"/>
        </w:rPr>
        <w:t> </w:t>
      </w:r>
      <w:r>
        <w:rPr/>
        <w:t>=</w:t>
      </w:r>
      <w:r>
        <w:rPr>
          <w:spacing w:val="-1"/>
        </w:rPr>
        <w:t> </w:t>
      </w:r>
      <w:r>
        <w:rPr/>
        <w:t>X-µ</w:t>
      </w:r>
      <w:r>
        <w:rPr>
          <w:spacing w:val="-1"/>
        </w:rPr>
        <w:t> </w:t>
      </w:r>
      <w:r>
        <w:rPr/>
        <w:t>/µ</w:t>
      </w:r>
      <w:r>
        <w:rPr>
          <w:spacing w:val="1"/>
        </w:rPr>
        <w:t> </w:t>
      </w:r>
      <w:r>
        <w:rPr>
          <w:spacing w:val="-4"/>
        </w:rPr>
        <w:t>x100</w:t>
      </w:r>
    </w:p>
    <w:p>
      <w:pPr>
        <w:pStyle w:val="BodyText"/>
        <w:spacing w:before="5"/>
      </w:pPr>
    </w:p>
    <w:p>
      <w:pPr>
        <w:pStyle w:val="Heading2"/>
        <w:numPr>
          <w:ilvl w:val="2"/>
          <w:numId w:val="19"/>
        </w:numPr>
        <w:tabs>
          <w:tab w:pos="919" w:val="left" w:leader="none"/>
        </w:tabs>
        <w:spacing w:line="240" w:lineRule="auto" w:before="0" w:after="0"/>
        <w:ind w:left="919" w:right="0" w:hanging="539"/>
        <w:jc w:val="both"/>
      </w:pPr>
      <w:bookmarkStart w:name="_TOC_250034" w:id="50"/>
      <w:r>
        <w:rPr/>
        <w:t>Bioequivalence</w:t>
      </w:r>
      <w:r>
        <w:rPr>
          <w:spacing w:val="-3"/>
        </w:rPr>
        <w:t> </w:t>
      </w:r>
      <w:r>
        <w:rPr/>
        <w:t>and</w:t>
      </w:r>
      <w:r>
        <w:rPr>
          <w:spacing w:val="-1"/>
        </w:rPr>
        <w:t> </w:t>
      </w:r>
      <w:r>
        <w:rPr/>
        <w:t>bioavailability</w:t>
      </w:r>
      <w:r>
        <w:rPr>
          <w:spacing w:val="-2"/>
        </w:rPr>
        <w:t> </w:t>
      </w:r>
      <w:r>
        <w:rPr/>
        <w:t>of</w:t>
      </w:r>
      <w:r>
        <w:rPr>
          <w:spacing w:val="-1"/>
        </w:rPr>
        <w:t> </w:t>
      </w:r>
      <w:r>
        <w:rPr/>
        <w:t>the</w:t>
      </w:r>
      <w:r>
        <w:rPr>
          <w:spacing w:val="-3"/>
        </w:rPr>
        <w:t> </w:t>
      </w:r>
      <w:r>
        <w:rPr/>
        <w:t>samples</w:t>
      </w:r>
      <w:r>
        <w:rPr>
          <w:spacing w:val="-2"/>
        </w:rPr>
        <w:t> </w:t>
      </w:r>
      <w:r>
        <w:rPr/>
        <w:t>of</w:t>
      </w:r>
      <w:r>
        <w:rPr>
          <w:spacing w:val="-1"/>
        </w:rPr>
        <w:t> </w:t>
      </w:r>
      <w:r>
        <w:rPr/>
        <w:t>tinidazole</w:t>
      </w:r>
      <w:bookmarkEnd w:id="50"/>
      <w:r>
        <w:rPr>
          <w:spacing w:val="-2"/>
        </w:rPr>
        <w:t> tablets</w:t>
      </w:r>
    </w:p>
    <w:p>
      <w:pPr>
        <w:pStyle w:val="BodyText"/>
        <w:spacing w:line="480" w:lineRule="auto" w:before="271"/>
        <w:ind w:left="380" w:right="1264"/>
        <w:jc w:val="both"/>
      </w:pPr>
      <w:r>
        <w:rPr/>
        <w:t>The bioequivalence of each tablet sample was compared in relation to the innovator product (sample C) by determining the similarity factor (</w:t>
      </w:r>
      <w:r>
        <w:rPr>
          <w:i/>
        </w:rPr>
        <w:t>f</w:t>
      </w:r>
      <w:r>
        <w:rPr>
          <w:vertAlign w:val="subscript"/>
        </w:rPr>
        <w:t>2</w:t>
      </w:r>
      <w:r>
        <w:rPr>
          <w:vertAlign w:val="baseline"/>
        </w:rPr>
        <w:t>) of their dissolution profiles which is achieved by the following formular.</w:t>
      </w:r>
    </w:p>
    <w:p>
      <w:pPr>
        <w:pStyle w:val="BodyText"/>
        <w:rPr>
          <w:sz w:val="14"/>
        </w:rPr>
      </w:pPr>
      <w:r>
        <w:rPr/>
        <w:drawing>
          <wp:anchor distT="0" distB="0" distL="0" distR="0" allowOverlap="1" layoutInCell="1" locked="0" behindDoc="1" simplePos="0" relativeHeight="487596032">
            <wp:simplePos x="0" y="0"/>
            <wp:positionH relativeFrom="page">
              <wp:posOffset>1810815</wp:posOffset>
            </wp:positionH>
            <wp:positionV relativeFrom="paragraph">
              <wp:posOffset>117657</wp:posOffset>
            </wp:positionV>
            <wp:extent cx="2881345" cy="60217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2881345" cy="602170"/>
                    </a:xfrm>
                    <a:prstGeom prst="rect">
                      <a:avLst/>
                    </a:prstGeom>
                  </pic:spPr>
                </pic:pic>
              </a:graphicData>
            </a:graphic>
          </wp:anchor>
        </w:drawing>
      </w:r>
    </w:p>
    <w:p>
      <w:pPr>
        <w:pStyle w:val="BodyText"/>
        <w:spacing w:before="115"/>
      </w:pPr>
    </w:p>
    <w:p>
      <w:pPr>
        <w:pStyle w:val="BodyText"/>
        <w:ind w:left="380"/>
      </w:pPr>
      <w:r>
        <w:rPr>
          <w:spacing w:val="-2"/>
        </w:rPr>
        <w:t>Where:</w:t>
      </w:r>
    </w:p>
    <w:p>
      <w:pPr>
        <w:pStyle w:val="BodyText"/>
      </w:pPr>
    </w:p>
    <w:p>
      <w:pPr>
        <w:pStyle w:val="BodyText"/>
        <w:spacing w:before="1"/>
        <w:ind w:left="440"/>
      </w:pPr>
      <w:r>
        <w:rPr>
          <w:i/>
        </w:rPr>
        <w:t>f</w:t>
      </w:r>
      <w:r>
        <w:rPr>
          <w:i/>
          <w:spacing w:val="-1"/>
        </w:rPr>
        <w:t> </w:t>
      </w:r>
      <w:r>
        <w:rPr>
          <w:vertAlign w:val="subscript"/>
        </w:rPr>
        <w:t>2</w:t>
      </w:r>
      <w:r>
        <w:rPr>
          <w:vertAlign w:val="baseline"/>
        </w:rPr>
        <w:t> is the</w:t>
      </w:r>
      <w:r>
        <w:rPr>
          <w:spacing w:val="-2"/>
          <w:vertAlign w:val="baseline"/>
        </w:rPr>
        <w:t> </w:t>
      </w:r>
      <w:r>
        <w:rPr>
          <w:vertAlign w:val="baseline"/>
        </w:rPr>
        <w:t>similarity</w:t>
      </w:r>
      <w:r>
        <w:rPr>
          <w:spacing w:val="-6"/>
          <w:vertAlign w:val="baseline"/>
        </w:rPr>
        <w:t> </w:t>
      </w:r>
      <w:r>
        <w:rPr>
          <w:vertAlign w:val="baseline"/>
        </w:rPr>
        <w:t>factor for</w:t>
      </w:r>
      <w:r>
        <w:rPr>
          <w:spacing w:val="-2"/>
          <w:vertAlign w:val="baseline"/>
        </w:rPr>
        <w:t> </w:t>
      </w:r>
      <w:r>
        <w:rPr>
          <w:vertAlign w:val="baseline"/>
        </w:rPr>
        <w:t>test against</w:t>
      </w:r>
      <w:r>
        <w:rPr>
          <w:spacing w:val="-1"/>
          <w:vertAlign w:val="baseline"/>
        </w:rPr>
        <w:t> </w:t>
      </w:r>
      <w:r>
        <w:rPr>
          <w:vertAlign w:val="baseline"/>
        </w:rPr>
        <w:t>the reference</w:t>
      </w:r>
      <w:r>
        <w:rPr>
          <w:spacing w:val="2"/>
          <w:vertAlign w:val="baseline"/>
        </w:rPr>
        <w:t> </w:t>
      </w:r>
      <w:r>
        <w:rPr>
          <w:vertAlign w:val="baseline"/>
        </w:rPr>
        <w:t>dissolutions</w:t>
      </w:r>
      <w:r>
        <w:rPr>
          <w:spacing w:val="-1"/>
          <w:vertAlign w:val="baseline"/>
        </w:rPr>
        <w:t> </w:t>
      </w:r>
      <w:r>
        <w:rPr>
          <w:spacing w:val="-2"/>
          <w:vertAlign w:val="baseline"/>
        </w:rPr>
        <w:t>profiles</w:t>
      </w:r>
    </w:p>
    <w:p>
      <w:pPr>
        <w:pStyle w:val="BodyText"/>
        <w:spacing w:line="480" w:lineRule="auto" w:before="276"/>
        <w:ind w:left="380" w:right="1175" w:firstLine="60"/>
      </w:pPr>
      <w:r>
        <w:rPr>
          <w:i/>
        </w:rPr>
        <w:t>Rt </w:t>
      </w:r>
      <w:r>
        <w:rPr/>
        <w:t>is the cumulative percentage dissolved at different time points </w:t>
      </w:r>
      <w:r>
        <w:rPr>
          <w:i/>
        </w:rPr>
        <w:t>t </w:t>
      </w:r>
      <w:r>
        <w:rPr/>
        <w:t>for reference sample</w:t>
      </w:r>
      <w:r>
        <w:rPr>
          <w:spacing w:val="80"/>
        </w:rPr>
        <w:t> </w:t>
      </w:r>
      <w:r>
        <w:rPr/>
        <w:t>(sample C)</w:t>
      </w:r>
    </w:p>
    <w:p>
      <w:pPr>
        <w:pStyle w:val="BodyText"/>
        <w:spacing w:line="480" w:lineRule="auto"/>
        <w:ind w:left="380" w:right="1175" w:firstLine="60"/>
      </w:pPr>
      <w:r>
        <w:rPr>
          <w:i/>
        </w:rPr>
        <w:t>Tt</w:t>
      </w:r>
      <w:r>
        <w:rPr>
          <w:i/>
          <w:spacing w:val="40"/>
        </w:rPr>
        <w:t> </w:t>
      </w:r>
      <w:r>
        <w:rPr/>
        <w:t>is</w:t>
      </w:r>
      <w:r>
        <w:rPr>
          <w:spacing w:val="40"/>
        </w:rPr>
        <w:t> </w:t>
      </w:r>
      <w:r>
        <w:rPr/>
        <w:t>the</w:t>
      </w:r>
      <w:r>
        <w:rPr>
          <w:spacing w:val="40"/>
        </w:rPr>
        <w:t> </w:t>
      </w:r>
      <w:r>
        <w:rPr/>
        <w:t>cumulative</w:t>
      </w:r>
      <w:r>
        <w:rPr>
          <w:spacing w:val="40"/>
        </w:rPr>
        <w:t> </w:t>
      </w:r>
      <w:r>
        <w:rPr/>
        <w:t>percentage</w:t>
      </w:r>
      <w:r>
        <w:rPr>
          <w:spacing w:val="40"/>
        </w:rPr>
        <w:t> </w:t>
      </w:r>
      <w:r>
        <w:rPr/>
        <w:t>dissolved</w:t>
      </w:r>
      <w:r>
        <w:rPr>
          <w:spacing w:val="40"/>
        </w:rPr>
        <w:t> </w:t>
      </w:r>
      <w:r>
        <w:rPr/>
        <w:t>at</w:t>
      </w:r>
      <w:r>
        <w:rPr>
          <w:spacing w:val="40"/>
        </w:rPr>
        <w:t> </w:t>
      </w:r>
      <w:r>
        <w:rPr/>
        <w:t>different</w:t>
      </w:r>
      <w:r>
        <w:rPr>
          <w:spacing w:val="40"/>
        </w:rPr>
        <w:t> </w:t>
      </w:r>
      <w:r>
        <w:rPr/>
        <w:t>time</w:t>
      </w:r>
      <w:r>
        <w:rPr>
          <w:spacing w:val="40"/>
        </w:rPr>
        <w:t> </w:t>
      </w:r>
      <w:r>
        <w:rPr/>
        <w:t>points</w:t>
      </w:r>
      <w:r>
        <w:rPr>
          <w:spacing w:val="40"/>
        </w:rPr>
        <w:t> </w:t>
      </w:r>
      <w:r>
        <w:rPr>
          <w:i/>
        </w:rPr>
        <w:t>t</w:t>
      </w:r>
      <w:r>
        <w:rPr>
          <w:i/>
          <w:spacing w:val="40"/>
        </w:rPr>
        <w:t> </w:t>
      </w:r>
      <w:r>
        <w:rPr/>
        <w:t>for</w:t>
      </w:r>
      <w:r>
        <w:rPr>
          <w:spacing w:val="40"/>
        </w:rPr>
        <w:t> </w:t>
      </w:r>
      <w:r>
        <w:rPr/>
        <w:t>test</w:t>
      </w:r>
      <w:r>
        <w:rPr>
          <w:spacing w:val="40"/>
        </w:rPr>
        <w:t> </w:t>
      </w:r>
      <w:r>
        <w:rPr/>
        <w:t>products, samples A, B and D respectively, and </w:t>
      </w:r>
      <w:r>
        <w:rPr>
          <w:i/>
        </w:rPr>
        <w:t>n </w:t>
      </w:r>
      <w:r>
        <w:rPr/>
        <w:t>is the number of pool points.</w:t>
      </w:r>
    </w:p>
    <w:p>
      <w:pPr>
        <w:spacing w:after="0" w:line="480" w:lineRule="auto"/>
        <w:sectPr>
          <w:pgSz w:w="12240" w:h="15840"/>
          <w:pgMar w:header="0" w:footer="1068" w:top="1540" w:bottom="1260" w:left="1420" w:right="440"/>
        </w:sectPr>
      </w:pPr>
    </w:p>
    <w:p>
      <w:pPr>
        <w:pStyle w:val="BodyText"/>
        <w:spacing w:line="480" w:lineRule="auto" w:before="72"/>
        <w:ind w:left="380" w:right="1269"/>
        <w:jc w:val="both"/>
      </w:pPr>
      <w:r>
        <w:rPr/>
        <w:t>Note: According to the BCS guidance, the test and reference dissolution profiles are considered similar if both products have at least 80</w:t>
      </w:r>
      <w:r>
        <w:rPr>
          <w:spacing w:val="-1"/>
        </w:rPr>
        <w:t> </w:t>
      </w:r>
      <w:r>
        <w:rPr/>
        <w:t>% dissolution in 15 min or if comparison of profiles by the </w:t>
      </w:r>
      <w:r>
        <w:rPr>
          <w:i/>
        </w:rPr>
        <w:t>f</w:t>
      </w:r>
      <w:r>
        <w:rPr>
          <w:vertAlign w:val="subscript"/>
        </w:rPr>
        <w:t>2</w:t>
      </w:r>
      <w:r>
        <w:rPr>
          <w:vertAlign w:val="baseline"/>
        </w:rPr>
        <w:t> test results in an </w:t>
      </w:r>
      <w:r>
        <w:rPr>
          <w:i/>
          <w:vertAlign w:val="baseline"/>
        </w:rPr>
        <w:t>f</w:t>
      </w:r>
      <w:r>
        <w:rPr>
          <w:vertAlign w:val="subscript"/>
        </w:rPr>
        <w:t>2</w:t>
      </w:r>
      <w:r>
        <w:rPr>
          <w:vertAlign w:val="baseline"/>
        </w:rPr>
        <w:t> value of at least 50.</w:t>
      </w:r>
    </w:p>
    <w:p>
      <w:pPr>
        <w:pStyle w:val="BodyText"/>
        <w:spacing w:line="480" w:lineRule="auto"/>
        <w:ind w:left="380" w:right="1272"/>
        <w:jc w:val="both"/>
      </w:pPr>
      <w:r>
        <w:rPr/>
        <w:t>The oral availability is determined by comparing the dissolution in the simulated gastric and</w:t>
      </w:r>
      <w:r>
        <w:rPr>
          <w:spacing w:val="-4"/>
        </w:rPr>
        <w:t> </w:t>
      </w:r>
      <w:r>
        <w:rPr/>
        <w:t>simulated</w:t>
      </w:r>
      <w:r>
        <w:rPr>
          <w:spacing w:val="-3"/>
        </w:rPr>
        <w:t> </w:t>
      </w:r>
      <w:r>
        <w:rPr/>
        <w:t>intestinal</w:t>
      </w:r>
      <w:r>
        <w:rPr>
          <w:spacing w:val="-3"/>
        </w:rPr>
        <w:t> </w:t>
      </w:r>
      <w:r>
        <w:rPr/>
        <w:t>pHs</w:t>
      </w:r>
      <w:r>
        <w:rPr>
          <w:spacing w:val="-3"/>
        </w:rPr>
        <w:t> </w:t>
      </w:r>
      <w:r>
        <w:rPr/>
        <w:t>to</w:t>
      </w:r>
      <w:r>
        <w:rPr>
          <w:spacing w:val="-3"/>
        </w:rPr>
        <w:t> </w:t>
      </w:r>
      <w:r>
        <w:rPr/>
        <w:t>that</w:t>
      </w:r>
      <w:r>
        <w:rPr>
          <w:spacing w:val="-3"/>
        </w:rPr>
        <w:t> </w:t>
      </w:r>
      <w:r>
        <w:rPr/>
        <w:t>of</w:t>
      </w:r>
      <w:r>
        <w:rPr>
          <w:spacing w:val="-4"/>
        </w:rPr>
        <w:t> </w:t>
      </w:r>
      <w:r>
        <w:rPr/>
        <w:t>simulated</w:t>
      </w:r>
      <w:r>
        <w:rPr>
          <w:spacing w:val="-1"/>
        </w:rPr>
        <w:t> </w:t>
      </w:r>
      <w:r>
        <w:rPr/>
        <w:t>blood</w:t>
      </w:r>
      <w:r>
        <w:rPr>
          <w:spacing w:val="-3"/>
        </w:rPr>
        <w:t> </w:t>
      </w:r>
      <w:r>
        <w:rPr/>
        <w:t>pH</w:t>
      </w:r>
      <w:r>
        <w:rPr>
          <w:spacing w:val="-3"/>
        </w:rPr>
        <w:t> </w:t>
      </w:r>
      <w:r>
        <w:rPr/>
        <w:t>which</w:t>
      </w:r>
      <w:r>
        <w:rPr>
          <w:spacing w:val="-3"/>
        </w:rPr>
        <w:t> </w:t>
      </w:r>
      <w:r>
        <w:rPr/>
        <w:t>represent</w:t>
      </w:r>
      <w:r>
        <w:rPr>
          <w:spacing w:val="-3"/>
        </w:rPr>
        <w:t> </w:t>
      </w:r>
      <w:r>
        <w:rPr/>
        <w:t>the</w:t>
      </w:r>
      <w:r>
        <w:rPr>
          <w:spacing w:val="-4"/>
        </w:rPr>
        <w:t> </w:t>
      </w:r>
      <w:r>
        <w:rPr/>
        <w:t>intravenous dosing.</w:t>
      </w:r>
      <w:r>
        <w:rPr>
          <w:spacing w:val="51"/>
        </w:rPr>
        <w:t> </w:t>
      </w:r>
      <w:r>
        <w:rPr/>
        <w:t>i.e.</w:t>
      </w:r>
      <w:r>
        <w:rPr>
          <w:spacing w:val="51"/>
        </w:rPr>
        <w:t> </w:t>
      </w:r>
      <w:r>
        <w:rPr/>
        <w:t>the</w:t>
      </w:r>
      <w:r>
        <w:rPr>
          <w:spacing w:val="51"/>
        </w:rPr>
        <w:t> </w:t>
      </w:r>
      <w:r>
        <w:rPr/>
        <w:t>fraction</w:t>
      </w:r>
      <w:r>
        <w:rPr>
          <w:spacing w:val="54"/>
        </w:rPr>
        <w:t> </w:t>
      </w:r>
      <w:r>
        <w:rPr/>
        <w:t>(F)</w:t>
      </w:r>
      <w:r>
        <w:rPr>
          <w:spacing w:val="50"/>
        </w:rPr>
        <w:t> </w:t>
      </w:r>
      <w:r>
        <w:rPr/>
        <w:t>of</w:t>
      </w:r>
      <w:r>
        <w:rPr>
          <w:spacing w:val="50"/>
        </w:rPr>
        <w:t> </w:t>
      </w:r>
      <w:r>
        <w:rPr/>
        <w:t>drug</w:t>
      </w:r>
      <w:r>
        <w:rPr>
          <w:spacing w:val="50"/>
        </w:rPr>
        <w:t> </w:t>
      </w:r>
      <w:r>
        <w:rPr/>
        <w:t>that</w:t>
      </w:r>
      <w:r>
        <w:rPr>
          <w:spacing w:val="51"/>
        </w:rPr>
        <w:t> </w:t>
      </w:r>
      <w:r>
        <w:rPr/>
        <w:t>gets</w:t>
      </w:r>
      <w:r>
        <w:rPr>
          <w:spacing w:val="52"/>
        </w:rPr>
        <w:t> </w:t>
      </w:r>
      <w:r>
        <w:rPr/>
        <w:t>into</w:t>
      </w:r>
      <w:r>
        <w:rPr>
          <w:spacing w:val="52"/>
        </w:rPr>
        <w:t> </w:t>
      </w:r>
      <w:r>
        <w:rPr/>
        <w:t>the</w:t>
      </w:r>
      <w:r>
        <w:rPr>
          <w:spacing w:val="51"/>
        </w:rPr>
        <w:t> </w:t>
      </w:r>
      <w:r>
        <w:rPr/>
        <w:t>body</w:t>
      </w:r>
      <w:r>
        <w:rPr>
          <w:spacing w:val="44"/>
        </w:rPr>
        <w:t> </w:t>
      </w:r>
      <w:r>
        <w:rPr/>
        <w:t>after</w:t>
      </w:r>
      <w:r>
        <w:rPr>
          <w:spacing w:val="51"/>
        </w:rPr>
        <w:t> </w:t>
      </w:r>
      <w:r>
        <w:rPr/>
        <w:t>oral</w:t>
      </w:r>
      <w:r>
        <w:rPr>
          <w:spacing w:val="52"/>
        </w:rPr>
        <w:t> </w:t>
      </w:r>
      <w:r>
        <w:rPr/>
        <w:t>(po)</w:t>
      </w:r>
      <w:r>
        <w:rPr>
          <w:spacing w:val="50"/>
        </w:rPr>
        <w:t> </w:t>
      </w:r>
      <w:r>
        <w:rPr/>
        <w:t>versus</w:t>
      </w:r>
      <w:r>
        <w:rPr>
          <w:spacing w:val="54"/>
        </w:rPr>
        <w:t> </w:t>
      </w:r>
      <w:r>
        <w:rPr>
          <w:spacing w:val="-5"/>
        </w:rPr>
        <w:t>IV</w:t>
      </w:r>
    </w:p>
    <w:p>
      <w:pPr>
        <w:spacing w:after="0" w:line="480" w:lineRule="auto"/>
        <w:jc w:val="both"/>
        <w:sectPr>
          <w:pgSz w:w="12240" w:h="15840"/>
          <w:pgMar w:header="0" w:footer="1068" w:top="1540" w:bottom="1260" w:left="1420" w:right="440"/>
        </w:sectPr>
      </w:pPr>
    </w:p>
    <w:p>
      <w:pPr>
        <w:pStyle w:val="BodyText"/>
        <w:spacing w:before="1"/>
        <w:ind w:left="380"/>
      </w:pPr>
      <w:r>
        <w:rPr>
          <w:spacing w:val="-2"/>
        </w:rPr>
        <w:t>administration:</w:t>
      </w:r>
    </w:p>
    <w:p>
      <w:pPr>
        <w:spacing w:line="240" w:lineRule="auto" w:before="256"/>
        <w:rPr>
          <w:sz w:val="28"/>
        </w:rPr>
      </w:pPr>
      <w:r>
        <w:rPr/>
        <w:br w:type="column"/>
      </w:r>
      <w:r>
        <w:rPr>
          <w:sz w:val="28"/>
        </w:rPr>
      </w:r>
    </w:p>
    <w:p>
      <w:pPr>
        <w:tabs>
          <w:tab w:pos="1083" w:val="left" w:leader="none"/>
        </w:tabs>
        <w:spacing w:line="168" w:lineRule="auto" w:before="0"/>
        <w:ind w:left="380" w:right="0" w:firstLine="0"/>
        <w:jc w:val="left"/>
        <w:rPr>
          <w:sz w:val="28"/>
        </w:rPr>
      </w:pPr>
      <w:r>
        <w:rPr>
          <w:position w:val="-10"/>
          <w:sz w:val="24"/>
        </w:rPr>
        <w:t>F</w:t>
      </w:r>
      <w:r>
        <w:rPr>
          <w:spacing w:val="-2"/>
          <w:position w:val="-10"/>
          <w:sz w:val="24"/>
        </w:rPr>
        <w:t> </w:t>
      </w:r>
      <w:r>
        <w:rPr>
          <w:spacing w:val="-12"/>
          <w:position w:val="-10"/>
          <w:sz w:val="24"/>
        </w:rPr>
        <w:t>=</w:t>
      </w:r>
      <w:r>
        <w:rPr>
          <w:position w:val="-10"/>
          <w:sz w:val="24"/>
        </w:rPr>
        <w:tab/>
      </w:r>
      <w:r>
        <w:rPr>
          <w:spacing w:val="-2"/>
          <w:sz w:val="28"/>
          <w:u w:val="single"/>
        </w:rPr>
        <w:t>AUC</w:t>
      </w:r>
      <w:r>
        <w:rPr>
          <w:spacing w:val="-2"/>
          <w:sz w:val="28"/>
          <w:u w:val="single"/>
          <w:vertAlign w:val="subscript"/>
        </w:rPr>
        <w:t>PO</w:t>
      </w:r>
    </w:p>
    <w:p>
      <w:pPr>
        <w:pStyle w:val="BodyText"/>
        <w:spacing w:line="229" w:lineRule="exact"/>
        <w:ind w:left="1124"/>
      </w:pPr>
      <w:r>
        <w:rPr>
          <w:spacing w:val="-2"/>
        </w:rPr>
        <w:t>AUC</w:t>
      </w:r>
      <w:r>
        <w:rPr>
          <w:spacing w:val="-2"/>
          <w:vertAlign w:val="subscript"/>
        </w:rPr>
        <w:t>IV</w:t>
      </w:r>
    </w:p>
    <w:p>
      <w:pPr>
        <w:spacing w:after="0" w:line="229" w:lineRule="exact"/>
        <w:sectPr>
          <w:type w:val="continuous"/>
          <w:pgSz w:w="12240" w:h="15840"/>
          <w:pgMar w:header="0" w:footer="1068" w:top="1360" w:bottom="1260" w:left="1420" w:right="440"/>
          <w:cols w:num="2" w:equalWidth="0">
            <w:col w:w="1874" w:space="1283"/>
            <w:col w:w="7223"/>
          </w:cols>
        </w:sectPr>
      </w:pPr>
    </w:p>
    <w:p>
      <w:pPr>
        <w:pStyle w:val="Heading1"/>
        <w:spacing w:before="77"/>
        <w:ind w:right="707"/>
      </w:pPr>
      <w:bookmarkStart w:name="_TOC_250033" w:id="51"/>
      <w:r>
        <w:rPr/>
        <w:t>CHAPTER</w:t>
      </w:r>
      <w:r>
        <w:rPr>
          <w:spacing w:val="-5"/>
        </w:rPr>
        <w:t> </w:t>
      </w:r>
      <w:bookmarkEnd w:id="51"/>
      <w:r>
        <w:rPr>
          <w:spacing w:val="-4"/>
        </w:rPr>
        <w:t>FOUR</w:t>
      </w:r>
    </w:p>
    <w:p>
      <w:pPr>
        <w:pStyle w:val="BodyText"/>
        <w:spacing w:before="120"/>
        <w:rPr>
          <w:b/>
        </w:rPr>
      </w:pPr>
    </w:p>
    <w:p>
      <w:pPr>
        <w:pStyle w:val="Heading1"/>
        <w:numPr>
          <w:ilvl w:val="1"/>
          <w:numId w:val="22"/>
        </w:numPr>
        <w:tabs>
          <w:tab w:pos="4468" w:val="left" w:leader="none"/>
        </w:tabs>
        <w:spacing w:line="240" w:lineRule="auto" w:before="0" w:after="0"/>
        <w:ind w:left="4468" w:right="0" w:hanging="360"/>
        <w:jc w:val="left"/>
      </w:pPr>
      <w:bookmarkStart w:name="_TOC_250032" w:id="52"/>
      <w:bookmarkEnd w:id="52"/>
      <w:r>
        <w:rPr>
          <w:spacing w:val="-2"/>
        </w:rPr>
        <w:t>RESULTS</w:t>
      </w:r>
    </w:p>
    <w:p>
      <w:pPr>
        <w:pStyle w:val="BodyText"/>
        <w:spacing w:before="120"/>
        <w:rPr>
          <w:b/>
        </w:rPr>
      </w:pPr>
    </w:p>
    <w:p>
      <w:pPr>
        <w:pStyle w:val="Heading2"/>
        <w:numPr>
          <w:ilvl w:val="1"/>
          <w:numId w:val="22"/>
        </w:numPr>
        <w:tabs>
          <w:tab w:pos="2749" w:val="left" w:leader="none"/>
        </w:tabs>
        <w:spacing w:line="240" w:lineRule="auto" w:before="0" w:after="0"/>
        <w:ind w:left="2749" w:right="0" w:hanging="360"/>
        <w:jc w:val="left"/>
      </w:pPr>
      <w:bookmarkStart w:name="_TOC_250031" w:id="53"/>
      <w:r>
        <w:rPr/>
        <w:t>Collection</w:t>
      </w:r>
      <w:r>
        <w:rPr>
          <w:spacing w:val="-2"/>
        </w:rPr>
        <w:t> </w:t>
      </w:r>
      <w:r>
        <w:rPr/>
        <w:t>and</w:t>
      </w:r>
      <w:r>
        <w:rPr>
          <w:spacing w:val="-1"/>
        </w:rPr>
        <w:t> </w:t>
      </w:r>
      <w:r>
        <w:rPr/>
        <w:t>Quality</w:t>
      </w:r>
      <w:r>
        <w:rPr>
          <w:spacing w:val="-1"/>
        </w:rPr>
        <w:t> </w:t>
      </w:r>
      <w:r>
        <w:rPr/>
        <w:t>Control</w:t>
      </w:r>
      <w:r>
        <w:rPr>
          <w:spacing w:val="-1"/>
        </w:rPr>
        <w:t> </w:t>
      </w:r>
      <w:r>
        <w:rPr/>
        <w:t>of </w:t>
      </w:r>
      <w:bookmarkEnd w:id="53"/>
      <w:r>
        <w:rPr>
          <w:spacing w:val="-2"/>
        </w:rPr>
        <w:t>Samples</w:t>
      </w:r>
    </w:p>
    <w:p>
      <w:pPr>
        <w:pStyle w:val="BodyText"/>
        <w:rPr>
          <w:b/>
        </w:rPr>
      </w:pPr>
    </w:p>
    <w:p>
      <w:pPr>
        <w:pStyle w:val="Heading2"/>
        <w:numPr>
          <w:ilvl w:val="2"/>
          <w:numId w:val="22"/>
        </w:numPr>
        <w:tabs>
          <w:tab w:pos="919" w:val="left" w:leader="none"/>
        </w:tabs>
        <w:spacing w:line="240" w:lineRule="auto" w:before="0" w:after="0"/>
        <w:ind w:left="919" w:right="0" w:hanging="539"/>
        <w:jc w:val="both"/>
      </w:pPr>
      <w:bookmarkStart w:name="_TOC_250030" w:id="54"/>
      <w:bookmarkEnd w:id="54"/>
      <w:r>
        <w:rPr>
          <w:spacing w:val="-2"/>
        </w:rPr>
        <w:t>Samples</w:t>
      </w:r>
    </w:p>
    <w:p>
      <w:pPr>
        <w:pStyle w:val="BodyText"/>
        <w:spacing w:line="480" w:lineRule="auto" w:before="271"/>
        <w:ind w:left="380" w:right="1265"/>
        <w:jc w:val="both"/>
        <w:rPr>
          <w:b/>
        </w:rPr>
      </w:pPr>
      <w:r>
        <w:rPr/>
        <w:t>The tablets purchased were checked to ensure that they are taken in good shape and properly labelled. The manufacturing and expiration dates the four samples of tinidazole studied as shown in Table 4.1</w:t>
      </w:r>
      <w:r>
        <w:rPr>
          <w:b/>
        </w:rPr>
        <w:t>:</w:t>
      </w:r>
    </w:p>
    <w:p>
      <w:pPr>
        <w:pStyle w:val="Heading2"/>
        <w:spacing w:before="6"/>
        <w:jc w:val="both"/>
      </w:pPr>
      <w:r>
        <w:rPr/>
        <w:t>Table</w:t>
      </w:r>
      <w:r>
        <w:rPr>
          <w:spacing w:val="-2"/>
        </w:rPr>
        <w:t> </w:t>
      </w:r>
      <w:r>
        <w:rPr/>
        <w:t>4.1:</w:t>
      </w:r>
      <w:r>
        <w:rPr>
          <w:spacing w:val="-2"/>
        </w:rPr>
        <w:t> </w:t>
      </w:r>
      <w:r>
        <w:rPr/>
        <w:t>Label</w:t>
      </w:r>
      <w:r>
        <w:rPr>
          <w:spacing w:val="-1"/>
        </w:rPr>
        <w:t> </w:t>
      </w:r>
      <w:r>
        <w:rPr/>
        <w:t>Information</w:t>
      </w:r>
      <w:r>
        <w:rPr>
          <w:spacing w:val="-2"/>
        </w:rPr>
        <w:t> </w:t>
      </w:r>
      <w:r>
        <w:rPr/>
        <w:t>of four</w:t>
      </w:r>
      <w:r>
        <w:rPr>
          <w:spacing w:val="-2"/>
        </w:rPr>
        <w:t> </w:t>
      </w:r>
      <w:r>
        <w:rPr/>
        <w:t>different</w:t>
      </w:r>
      <w:r>
        <w:rPr>
          <w:spacing w:val="1"/>
        </w:rPr>
        <w:t> </w:t>
      </w:r>
      <w:r>
        <w:rPr/>
        <w:t>samples</w:t>
      </w:r>
      <w:r>
        <w:rPr>
          <w:spacing w:val="-2"/>
        </w:rPr>
        <w:t> </w:t>
      </w:r>
      <w:r>
        <w:rPr/>
        <w:t>of tinidazole</w:t>
      </w:r>
      <w:r>
        <w:rPr>
          <w:spacing w:val="-1"/>
        </w:rPr>
        <w:t> </w:t>
      </w:r>
      <w:r>
        <w:rPr>
          <w:spacing w:val="-2"/>
        </w:rPr>
        <w:t>tablets</w:t>
      </w:r>
    </w:p>
    <w:p>
      <w:pPr>
        <w:pStyle w:val="BodyText"/>
        <w:spacing w:before="169"/>
        <w:rPr>
          <w:b/>
          <w:sz w:val="20"/>
        </w:rPr>
      </w:pPr>
    </w:p>
    <w:tbl>
      <w:tblPr>
        <w:tblW w:w="0" w:type="auto"/>
        <w:jc w:val="left"/>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2"/>
        <w:gridCol w:w="1991"/>
        <w:gridCol w:w="1845"/>
        <w:gridCol w:w="1794"/>
        <w:gridCol w:w="1821"/>
      </w:tblGrid>
      <w:tr>
        <w:trPr>
          <w:trHeight w:val="505" w:hRule="atLeast"/>
        </w:trPr>
        <w:tc>
          <w:tcPr>
            <w:tcW w:w="1602" w:type="dxa"/>
            <w:tcBorders>
              <w:top w:val="single" w:sz="8" w:space="0" w:color="000000"/>
              <w:bottom w:val="single" w:sz="8" w:space="0" w:color="000000"/>
            </w:tcBorders>
          </w:tcPr>
          <w:p>
            <w:pPr>
              <w:pStyle w:val="TableParagraph"/>
              <w:spacing w:line="251" w:lineRule="exact"/>
              <w:ind w:right="490"/>
              <w:jc w:val="right"/>
              <w:rPr>
                <w:b/>
                <w:sz w:val="22"/>
              </w:rPr>
            </w:pPr>
            <w:r>
              <w:rPr>
                <w:b/>
                <w:spacing w:val="-5"/>
                <w:sz w:val="22"/>
              </w:rPr>
              <w:t>S/№</w:t>
            </w:r>
          </w:p>
        </w:tc>
        <w:tc>
          <w:tcPr>
            <w:tcW w:w="1991" w:type="dxa"/>
            <w:tcBorders>
              <w:top w:val="single" w:sz="8" w:space="0" w:color="000000"/>
              <w:bottom w:val="single" w:sz="8" w:space="0" w:color="000000"/>
            </w:tcBorders>
          </w:tcPr>
          <w:p>
            <w:pPr>
              <w:pStyle w:val="TableParagraph"/>
              <w:spacing w:line="251" w:lineRule="exact"/>
              <w:ind w:left="237"/>
              <w:jc w:val="center"/>
              <w:rPr>
                <w:b/>
                <w:sz w:val="22"/>
              </w:rPr>
            </w:pPr>
            <w:r>
              <w:rPr>
                <w:b/>
                <w:sz w:val="22"/>
              </w:rPr>
              <w:t>Product</w:t>
            </w:r>
            <w:r>
              <w:rPr>
                <w:b/>
                <w:spacing w:val="-4"/>
                <w:sz w:val="22"/>
              </w:rPr>
              <w:t> code</w:t>
            </w:r>
          </w:p>
        </w:tc>
        <w:tc>
          <w:tcPr>
            <w:tcW w:w="1845" w:type="dxa"/>
            <w:tcBorders>
              <w:top w:val="single" w:sz="8" w:space="0" w:color="000000"/>
              <w:bottom w:val="single" w:sz="8" w:space="0" w:color="000000"/>
            </w:tcBorders>
          </w:tcPr>
          <w:p>
            <w:pPr>
              <w:pStyle w:val="TableParagraph"/>
              <w:spacing w:line="251" w:lineRule="exact"/>
              <w:ind w:left="521"/>
              <w:rPr>
                <w:b/>
                <w:sz w:val="22"/>
              </w:rPr>
            </w:pPr>
            <w:r>
              <w:rPr>
                <w:b/>
                <w:sz w:val="22"/>
              </w:rPr>
              <w:t>Batch</w:t>
            </w:r>
            <w:r>
              <w:rPr>
                <w:b/>
                <w:spacing w:val="-1"/>
                <w:sz w:val="22"/>
              </w:rPr>
              <w:t> </w:t>
            </w:r>
            <w:r>
              <w:rPr>
                <w:b/>
                <w:spacing w:val="-10"/>
                <w:sz w:val="22"/>
              </w:rPr>
              <w:t>№</w:t>
            </w:r>
          </w:p>
        </w:tc>
        <w:tc>
          <w:tcPr>
            <w:tcW w:w="1794" w:type="dxa"/>
            <w:tcBorders>
              <w:top w:val="single" w:sz="8" w:space="0" w:color="000000"/>
              <w:bottom w:val="single" w:sz="8" w:space="0" w:color="000000"/>
            </w:tcBorders>
          </w:tcPr>
          <w:p>
            <w:pPr>
              <w:pStyle w:val="TableParagraph"/>
              <w:spacing w:line="251" w:lineRule="exact"/>
              <w:ind w:left="6" w:right="1"/>
              <w:jc w:val="center"/>
              <w:rPr>
                <w:b/>
                <w:sz w:val="22"/>
              </w:rPr>
            </w:pPr>
            <w:r>
              <w:rPr>
                <w:b/>
                <w:sz w:val="22"/>
              </w:rPr>
              <w:t>Mfg.</w:t>
            </w:r>
            <w:r>
              <w:rPr>
                <w:b/>
                <w:spacing w:val="1"/>
                <w:sz w:val="22"/>
              </w:rPr>
              <w:t> </w:t>
            </w:r>
            <w:r>
              <w:rPr>
                <w:b/>
                <w:spacing w:val="-4"/>
                <w:sz w:val="22"/>
              </w:rPr>
              <w:t>Date</w:t>
            </w:r>
          </w:p>
        </w:tc>
        <w:tc>
          <w:tcPr>
            <w:tcW w:w="1821" w:type="dxa"/>
            <w:tcBorders>
              <w:top w:val="single" w:sz="8" w:space="0" w:color="000000"/>
              <w:bottom w:val="single" w:sz="8" w:space="0" w:color="000000"/>
            </w:tcBorders>
          </w:tcPr>
          <w:p>
            <w:pPr>
              <w:pStyle w:val="TableParagraph"/>
              <w:spacing w:line="251" w:lineRule="exact"/>
              <w:ind w:left="15"/>
              <w:jc w:val="center"/>
              <w:rPr>
                <w:b/>
                <w:sz w:val="22"/>
              </w:rPr>
            </w:pPr>
            <w:r>
              <w:rPr>
                <w:b/>
                <w:sz w:val="22"/>
              </w:rPr>
              <w:t>Exp.</w:t>
            </w:r>
            <w:r>
              <w:rPr>
                <w:b/>
                <w:spacing w:val="-4"/>
                <w:sz w:val="22"/>
              </w:rPr>
              <w:t> Date</w:t>
            </w:r>
          </w:p>
        </w:tc>
      </w:tr>
      <w:tr>
        <w:trPr>
          <w:trHeight w:val="707" w:hRule="atLeast"/>
        </w:trPr>
        <w:tc>
          <w:tcPr>
            <w:tcW w:w="1602" w:type="dxa"/>
            <w:tcBorders>
              <w:top w:val="single" w:sz="8" w:space="0" w:color="000000"/>
            </w:tcBorders>
          </w:tcPr>
          <w:p>
            <w:pPr>
              <w:pStyle w:val="TableParagraph"/>
              <w:spacing w:line="270" w:lineRule="exact"/>
              <w:ind w:right="635"/>
              <w:jc w:val="right"/>
              <w:rPr>
                <w:sz w:val="24"/>
              </w:rPr>
            </w:pPr>
            <w:r>
              <w:rPr>
                <w:spacing w:val="-10"/>
                <w:sz w:val="24"/>
              </w:rPr>
              <w:t>1</w:t>
            </w:r>
          </w:p>
        </w:tc>
        <w:tc>
          <w:tcPr>
            <w:tcW w:w="1991" w:type="dxa"/>
            <w:tcBorders>
              <w:top w:val="single" w:sz="8" w:space="0" w:color="000000"/>
            </w:tcBorders>
          </w:tcPr>
          <w:p>
            <w:pPr>
              <w:pStyle w:val="TableParagraph"/>
              <w:spacing w:line="270" w:lineRule="exact"/>
              <w:ind w:left="237" w:right="2"/>
              <w:jc w:val="center"/>
              <w:rPr>
                <w:sz w:val="24"/>
              </w:rPr>
            </w:pPr>
            <w:r>
              <w:rPr>
                <w:sz w:val="24"/>
              </w:rPr>
              <w:t>Sample</w:t>
            </w:r>
            <w:r>
              <w:rPr>
                <w:spacing w:val="-2"/>
                <w:sz w:val="24"/>
              </w:rPr>
              <w:t> </w:t>
            </w:r>
            <w:r>
              <w:rPr>
                <w:spacing w:val="-10"/>
                <w:sz w:val="24"/>
              </w:rPr>
              <w:t>A</w:t>
            </w:r>
          </w:p>
        </w:tc>
        <w:tc>
          <w:tcPr>
            <w:tcW w:w="1845" w:type="dxa"/>
            <w:tcBorders>
              <w:top w:val="single" w:sz="8" w:space="0" w:color="000000"/>
            </w:tcBorders>
          </w:tcPr>
          <w:p>
            <w:pPr>
              <w:pStyle w:val="TableParagraph"/>
              <w:spacing w:line="270" w:lineRule="exact"/>
              <w:ind w:right="426"/>
              <w:jc w:val="right"/>
              <w:rPr>
                <w:sz w:val="24"/>
              </w:rPr>
            </w:pPr>
            <w:r>
              <w:rPr>
                <w:spacing w:val="-2"/>
                <w:sz w:val="24"/>
              </w:rPr>
              <w:t>A063E1005</w:t>
            </w:r>
          </w:p>
        </w:tc>
        <w:tc>
          <w:tcPr>
            <w:tcW w:w="1794" w:type="dxa"/>
            <w:tcBorders>
              <w:top w:val="single" w:sz="8" w:space="0" w:color="000000"/>
            </w:tcBorders>
          </w:tcPr>
          <w:p>
            <w:pPr>
              <w:pStyle w:val="TableParagraph"/>
              <w:spacing w:line="270" w:lineRule="exact"/>
              <w:ind w:left="6" w:right="5"/>
              <w:jc w:val="center"/>
              <w:rPr>
                <w:sz w:val="24"/>
              </w:rPr>
            </w:pPr>
            <w:r>
              <w:rPr>
                <w:spacing w:val="-2"/>
                <w:sz w:val="24"/>
              </w:rPr>
              <w:t>Oct-</w:t>
            </w:r>
            <w:r>
              <w:rPr>
                <w:spacing w:val="-5"/>
                <w:sz w:val="24"/>
              </w:rPr>
              <w:t>11</w:t>
            </w:r>
          </w:p>
        </w:tc>
        <w:tc>
          <w:tcPr>
            <w:tcW w:w="1821" w:type="dxa"/>
            <w:tcBorders>
              <w:top w:val="single" w:sz="8" w:space="0" w:color="000000"/>
            </w:tcBorders>
          </w:tcPr>
          <w:p>
            <w:pPr>
              <w:pStyle w:val="TableParagraph"/>
              <w:spacing w:line="270" w:lineRule="exact"/>
              <w:ind w:left="15" w:right="4"/>
              <w:jc w:val="center"/>
              <w:rPr>
                <w:sz w:val="24"/>
              </w:rPr>
            </w:pPr>
            <w:r>
              <w:rPr>
                <w:sz w:val="24"/>
              </w:rPr>
              <w:t>Dec</w:t>
            </w:r>
            <w:r>
              <w:rPr>
                <w:spacing w:val="-3"/>
                <w:sz w:val="24"/>
              </w:rPr>
              <w:t> </w:t>
            </w:r>
            <w:r>
              <w:rPr>
                <w:spacing w:val="-4"/>
                <w:sz w:val="24"/>
              </w:rPr>
              <w:t>2015</w:t>
            </w:r>
          </w:p>
        </w:tc>
      </w:tr>
      <w:tr>
        <w:trPr>
          <w:trHeight w:val="1294" w:hRule="atLeast"/>
        </w:trPr>
        <w:tc>
          <w:tcPr>
            <w:tcW w:w="1602" w:type="dxa"/>
          </w:tcPr>
          <w:p>
            <w:pPr>
              <w:pStyle w:val="TableParagraph"/>
              <w:spacing w:line="240" w:lineRule="auto" w:before="150"/>
              <w:rPr>
                <w:b/>
                <w:sz w:val="24"/>
              </w:rPr>
            </w:pPr>
          </w:p>
          <w:p>
            <w:pPr>
              <w:pStyle w:val="TableParagraph"/>
              <w:spacing w:line="240" w:lineRule="auto" w:before="1"/>
              <w:ind w:right="635"/>
              <w:jc w:val="right"/>
              <w:rPr>
                <w:sz w:val="24"/>
              </w:rPr>
            </w:pPr>
            <w:r>
              <w:rPr>
                <w:spacing w:val="-10"/>
                <w:sz w:val="24"/>
              </w:rPr>
              <w:t>2</w:t>
            </w:r>
          </w:p>
        </w:tc>
        <w:tc>
          <w:tcPr>
            <w:tcW w:w="1991" w:type="dxa"/>
          </w:tcPr>
          <w:p>
            <w:pPr>
              <w:pStyle w:val="TableParagraph"/>
              <w:spacing w:line="240" w:lineRule="auto" w:before="254"/>
              <w:rPr>
                <w:b/>
                <w:sz w:val="24"/>
              </w:rPr>
            </w:pPr>
          </w:p>
          <w:p>
            <w:pPr>
              <w:pStyle w:val="TableParagraph"/>
              <w:spacing w:line="240" w:lineRule="auto"/>
              <w:ind w:left="237" w:right="5"/>
              <w:jc w:val="center"/>
              <w:rPr>
                <w:sz w:val="24"/>
              </w:rPr>
            </w:pPr>
            <w:r>
              <w:rPr>
                <w:sz w:val="24"/>
              </w:rPr>
              <w:t>Sample</w:t>
            </w:r>
            <w:r>
              <w:rPr>
                <w:spacing w:val="-2"/>
                <w:sz w:val="24"/>
              </w:rPr>
              <w:t> </w:t>
            </w:r>
            <w:r>
              <w:rPr>
                <w:spacing w:val="-10"/>
                <w:sz w:val="24"/>
              </w:rPr>
              <w:t>B</w:t>
            </w:r>
          </w:p>
        </w:tc>
        <w:tc>
          <w:tcPr>
            <w:tcW w:w="1845" w:type="dxa"/>
          </w:tcPr>
          <w:p>
            <w:pPr>
              <w:pStyle w:val="TableParagraph"/>
              <w:spacing w:line="240" w:lineRule="auto" w:before="254"/>
              <w:rPr>
                <w:b/>
                <w:sz w:val="24"/>
              </w:rPr>
            </w:pPr>
          </w:p>
          <w:p>
            <w:pPr>
              <w:pStyle w:val="TableParagraph"/>
              <w:spacing w:line="240" w:lineRule="auto"/>
              <w:ind w:right="423"/>
              <w:jc w:val="right"/>
              <w:rPr>
                <w:sz w:val="24"/>
              </w:rPr>
            </w:pPr>
            <w:r>
              <w:rPr>
                <w:spacing w:val="-2"/>
                <w:sz w:val="24"/>
              </w:rPr>
              <w:t>12TNX07</w:t>
            </w:r>
          </w:p>
        </w:tc>
        <w:tc>
          <w:tcPr>
            <w:tcW w:w="1794" w:type="dxa"/>
          </w:tcPr>
          <w:p>
            <w:pPr>
              <w:pStyle w:val="TableParagraph"/>
              <w:spacing w:line="240" w:lineRule="auto" w:before="254"/>
              <w:rPr>
                <w:b/>
                <w:sz w:val="24"/>
              </w:rPr>
            </w:pPr>
          </w:p>
          <w:p>
            <w:pPr>
              <w:pStyle w:val="TableParagraph"/>
              <w:spacing w:line="240" w:lineRule="auto"/>
              <w:ind w:left="6" w:right="5"/>
              <w:jc w:val="center"/>
              <w:rPr>
                <w:sz w:val="24"/>
              </w:rPr>
            </w:pPr>
            <w:r>
              <w:rPr>
                <w:spacing w:val="-2"/>
                <w:sz w:val="24"/>
              </w:rPr>
              <w:t>Aug-</w:t>
            </w:r>
            <w:r>
              <w:rPr>
                <w:spacing w:val="-5"/>
                <w:sz w:val="24"/>
              </w:rPr>
              <w:t>12</w:t>
            </w:r>
          </w:p>
        </w:tc>
        <w:tc>
          <w:tcPr>
            <w:tcW w:w="1821" w:type="dxa"/>
          </w:tcPr>
          <w:p>
            <w:pPr>
              <w:pStyle w:val="TableParagraph"/>
              <w:spacing w:line="240" w:lineRule="auto" w:before="254"/>
              <w:rPr>
                <w:b/>
                <w:sz w:val="24"/>
              </w:rPr>
            </w:pPr>
          </w:p>
          <w:p>
            <w:pPr>
              <w:pStyle w:val="TableParagraph"/>
              <w:spacing w:line="240" w:lineRule="auto"/>
              <w:ind w:left="15"/>
              <w:jc w:val="center"/>
              <w:rPr>
                <w:sz w:val="24"/>
              </w:rPr>
            </w:pPr>
            <w:r>
              <w:rPr>
                <w:sz w:val="24"/>
              </w:rPr>
              <w:t>Jul</w:t>
            </w:r>
            <w:r>
              <w:rPr>
                <w:spacing w:val="2"/>
                <w:sz w:val="24"/>
              </w:rPr>
              <w:t> </w:t>
            </w:r>
            <w:r>
              <w:rPr>
                <w:spacing w:val="-4"/>
                <w:sz w:val="24"/>
              </w:rPr>
              <w:t>2016</w:t>
            </w:r>
          </w:p>
        </w:tc>
      </w:tr>
      <w:tr>
        <w:trPr>
          <w:trHeight w:val="1241" w:hRule="atLeast"/>
        </w:trPr>
        <w:tc>
          <w:tcPr>
            <w:tcW w:w="1602" w:type="dxa"/>
          </w:tcPr>
          <w:p>
            <w:pPr>
              <w:pStyle w:val="TableParagraph"/>
              <w:spacing w:line="240" w:lineRule="auto" w:before="201"/>
              <w:rPr>
                <w:b/>
                <w:sz w:val="24"/>
              </w:rPr>
            </w:pPr>
          </w:p>
          <w:p>
            <w:pPr>
              <w:pStyle w:val="TableParagraph"/>
              <w:spacing w:line="240" w:lineRule="auto"/>
              <w:ind w:right="635"/>
              <w:jc w:val="right"/>
              <w:rPr>
                <w:sz w:val="24"/>
              </w:rPr>
            </w:pPr>
            <w:r>
              <w:rPr>
                <w:spacing w:val="-10"/>
                <w:sz w:val="24"/>
              </w:rPr>
              <w:t>3</w:t>
            </w:r>
          </w:p>
        </w:tc>
        <w:tc>
          <w:tcPr>
            <w:tcW w:w="1991" w:type="dxa"/>
          </w:tcPr>
          <w:p>
            <w:pPr>
              <w:pStyle w:val="TableParagraph"/>
              <w:spacing w:line="240" w:lineRule="auto" w:before="201"/>
              <w:rPr>
                <w:b/>
                <w:sz w:val="24"/>
              </w:rPr>
            </w:pPr>
          </w:p>
          <w:p>
            <w:pPr>
              <w:pStyle w:val="TableParagraph"/>
              <w:spacing w:line="240" w:lineRule="auto"/>
              <w:ind w:left="237" w:right="5"/>
              <w:jc w:val="center"/>
              <w:rPr>
                <w:sz w:val="24"/>
              </w:rPr>
            </w:pPr>
            <w:r>
              <w:rPr>
                <w:sz w:val="24"/>
              </w:rPr>
              <w:t>Sample</w:t>
            </w:r>
            <w:r>
              <w:rPr>
                <w:spacing w:val="-2"/>
                <w:sz w:val="24"/>
              </w:rPr>
              <w:t> </w:t>
            </w:r>
            <w:r>
              <w:rPr>
                <w:spacing w:val="-10"/>
                <w:sz w:val="24"/>
              </w:rPr>
              <w:t>C</w:t>
            </w:r>
          </w:p>
        </w:tc>
        <w:tc>
          <w:tcPr>
            <w:tcW w:w="1845" w:type="dxa"/>
          </w:tcPr>
          <w:p>
            <w:pPr>
              <w:pStyle w:val="TableParagraph"/>
              <w:spacing w:line="240" w:lineRule="auto" w:before="201"/>
              <w:rPr>
                <w:b/>
                <w:sz w:val="24"/>
              </w:rPr>
            </w:pPr>
          </w:p>
          <w:p>
            <w:pPr>
              <w:pStyle w:val="TableParagraph"/>
              <w:spacing w:line="240" w:lineRule="auto"/>
              <w:ind w:left="566"/>
              <w:rPr>
                <w:sz w:val="24"/>
              </w:rPr>
            </w:pPr>
            <w:r>
              <w:rPr>
                <w:spacing w:val="-2"/>
                <w:sz w:val="24"/>
              </w:rPr>
              <w:t>N-</w:t>
            </w:r>
            <w:r>
              <w:rPr>
                <w:spacing w:val="-4"/>
                <w:sz w:val="24"/>
              </w:rPr>
              <w:t>4001</w:t>
            </w:r>
          </w:p>
        </w:tc>
        <w:tc>
          <w:tcPr>
            <w:tcW w:w="1794" w:type="dxa"/>
          </w:tcPr>
          <w:p>
            <w:pPr>
              <w:pStyle w:val="TableParagraph"/>
              <w:spacing w:line="240" w:lineRule="auto" w:before="201"/>
              <w:rPr>
                <w:b/>
                <w:sz w:val="24"/>
              </w:rPr>
            </w:pPr>
          </w:p>
          <w:p>
            <w:pPr>
              <w:pStyle w:val="TableParagraph"/>
              <w:spacing w:line="240" w:lineRule="auto"/>
              <w:ind w:left="6"/>
              <w:jc w:val="center"/>
              <w:rPr>
                <w:sz w:val="24"/>
              </w:rPr>
            </w:pPr>
            <w:r>
              <w:rPr>
                <w:sz w:val="24"/>
              </w:rPr>
              <w:t>Jun-</w:t>
            </w:r>
            <w:r>
              <w:rPr>
                <w:spacing w:val="-5"/>
                <w:sz w:val="24"/>
              </w:rPr>
              <w:t>14</w:t>
            </w:r>
          </w:p>
        </w:tc>
        <w:tc>
          <w:tcPr>
            <w:tcW w:w="1821" w:type="dxa"/>
          </w:tcPr>
          <w:p>
            <w:pPr>
              <w:pStyle w:val="TableParagraph"/>
              <w:spacing w:line="240" w:lineRule="auto" w:before="201"/>
              <w:rPr>
                <w:b/>
                <w:sz w:val="24"/>
              </w:rPr>
            </w:pPr>
          </w:p>
          <w:p>
            <w:pPr>
              <w:pStyle w:val="TableParagraph"/>
              <w:spacing w:line="240" w:lineRule="auto"/>
              <w:ind w:left="15" w:right="4"/>
              <w:jc w:val="center"/>
              <w:rPr>
                <w:sz w:val="24"/>
              </w:rPr>
            </w:pPr>
            <w:r>
              <w:rPr>
                <w:sz w:val="24"/>
              </w:rPr>
              <w:t>Feb-</w:t>
            </w:r>
            <w:r>
              <w:rPr>
                <w:spacing w:val="-4"/>
                <w:sz w:val="24"/>
              </w:rPr>
              <w:t> 2016</w:t>
            </w:r>
          </w:p>
        </w:tc>
      </w:tr>
      <w:tr>
        <w:trPr>
          <w:trHeight w:val="754" w:hRule="atLeast"/>
        </w:trPr>
        <w:tc>
          <w:tcPr>
            <w:tcW w:w="1602" w:type="dxa"/>
          </w:tcPr>
          <w:p>
            <w:pPr>
              <w:pStyle w:val="TableParagraph"/>
              <w:spacing w:line="240" w:lineRule="auto" w:before="202"/>
              <w:rPr>
                <w:b/>
                <w:sz w:val="24"/>
              </w:rPr>
            </w:pPr>
          </w:p>
          <w:p>
            <w:pPr>
              <w:pStyle w:val="TableParagraph"/>
              <w:spacing w:line="256" w:lineRule="exact"/>
              <w:ind w:right="635"/>
              <w:jc w:val="right"/>
              <w:rPr>
                <w:sz w:val="24"/>
              </w:rPr>
            </w:pPr>
            <w:r>
              <w:rPr>
                <w:spacing w:val="-10"/>
                <w:sz w:val="24"/>
              </w:rPr>
              <w:t>4</w:t>
            </w:r>
          </w:p>
        </w:tc>
        <w:tc>
          <w:tcPr>
            <w:tcW w:w="1991" w:type="dxa"/>
          </w:tcPr>
          <w:p>
            <w:pPr>
              <w:pStyle w:val="TableParagraph"/>
              <w:spacing w:line="240" w:lineRule="auto" w:before="202"/>
              <w:rPr>
                <w:b/>
                <w:sz w:val="24"/>
              </w:rPr>
            </w:pPr>
          </w:p>
          <w:p>
            <w:pPr>
              <w:pStyle w:val="TableParagraph"/>
              <w:spacing w:line="256" w:lineRule="exact"/>
              <w:ind w:left="237" w:right="2"/>
              <w:jc w:val="center"/>
              <w:rPr>
                <w:sz w:val="24"/>
              </w:rPr>
            </w:pPr>
            <w:r>
              <w:rPr>
                <w:sz w:val="24"/>
              </w:rPr>
              <w:t>Sample</w:t>
            </w:r>
            <w:r>
              <w:rPr>
                <w:spacing w:val="-2"/>
                <w:sz w:val="24"/>
              </w:rPr>
              <w:t> </w:t>
            </w:r>
            <w:r>
              <w:rPr>
                <w:spacing w:val="-10"/>
                <w:sz w:val="24"/>
              </w:rPr>
              <w:t>D</w:t>
            </w:r>
          </w:p>
        </w:tc>
        <w:tc>
          <w:tcPr>
            <w:tcW w:w="1845" w:type="dxa"/>
          </w:tcPr>
          <w:p>
            <w:pPr>
              <w:pStyle w:val="TableParagraph"/>
              <w:spacing w:line="240" w:lineRule="auto" w:before="202"/>
              <w:rPr>
                <w:b/>
                <w:sz w:val="24"/>
              </w:rPr>
            </w:pPr>
          </w:p>
          <w:p>
            <w:pPr>
              <w:pStyle w:val="TableParagraph"/>
              <w:spacing w:line="256" w:lineRule="exact"/>
              <w:ind w:left="27"/>
              <w:jc w:val="center"/>
              <w:rPr>
                <w:sz w:val="24"/>
              </w:rPr>
            </w:pPr>
            <w:r>
              <w:rPr>
                <w:spacing w:val="-2"/>
                <w:sz w:val="24"/>
              </w:rPr>
              <w:t>J3044</w:t>
            </w:r>
          </w:p>
        </w:tc>
        <w:tc>
          <w:tcPr>
            <w:tcW w:w="1794" w:type="dxa"/>
          </w:tcPr>
          <w:p>
            <w:pPr>
              <w:pStyle w:val="TableParagraph"/>
              <w:spacing w:line="240" w:lineRule="auto" w:before="202"/>
              <w:rPr>
                <w:b/>
                <w:sz w:val="24"/>
              </w:rPr>
            </w:pPr>
          </w:p>
          <w:p>
            <w:pPr>
              <w:pStyle w:val="TableParagraph"/>
              <w:spacing w:line="256" w:lineRule="exact"/>
              <w:ind w:left="6" w:right="3"/>
              <w:jc w:val="center"/>
              <w:rPr>
                <w:sz w:val="24"/>
              </w:rPr>
            </w:pPr>
            <w:r>
              <w:rPr>
                <w:spacing w:val="-2"/>
                <w:sz w:val="24"/>
              </w:rPr>
              <w:t>Feb-</w:t>
            </w:r>
            <w:r>
              <w:rPr>
                <w:spacing w:val="-5"/>
                <w:sz w:val="24"/>
              </w:rPr>
              <w:t>13</w:t>
            </w:r>
          </w:p>
        </w:tc>
        <w:tc>
          <w:tcPr>
            <w:tcW w:w="1821" w:type="dxa"/>
          </w:tcPr>
          <w:p>
            <w:pPr>
              <w:pStyle w:val="TableParagraph"/>
              <w:spacing w:line="240" w:lineRule="auto" w:before="202"/>
              <w:rPr>
                <w:b/>
                <w:sz w:val="24"/>
              </w:rPr>
            </w:pPr>
          </w:p>
          <w:p>
            <w:pPr>
              <w:pStyle w:val="TableParagraph"/>
              <w:spacing w:line="256" w:lineRule="exact"/>
              <w:ind w:left="15" w:right="1"/>
              <w:jc w:val="center"/>
              <w:rPr>
                <w:sz w:val="24"/>
              </w:rPr>
            </w:pPr>
            <w:r>
              <w:rPr>
                <w:sz w:val="24"/>
              </w:rPr>
              <w:t>Oct-</w:t>
            </w:r>
            <w:r>
              <w:rPr>
                <w:spacing w:val="-3"/>
                <w:sz w:val="24"/>
              </w:rPr>
              <w:t> </w:t>
            </w:r>
            <w:r>
              <w:rPr>
                <w:spacing w:val="-4"/>
                <w:sz w:val="24"/>
              </w:rPr>
              <w:t>2016</w:t>
            </w:r>
          </w:p>
        </w:tc>
      </w:tr>
    </w:tbl>
    <w:p>
      <w:pPr>
        <w:pStyle w:val="BodyText"/>
        <w:rPr>
          <w:b/>
          <w:sz w:val="20"/>
        </w:rPr>
      </w:pPr>
    </w:p>
    <w:p>
      <w:pPr>
        <w:pStyle w:val="BodyText"/>
        <w:spacing w:before="75"/>
        <w:rPr>
          <w:b/>
          <w:sz w:val="20"/>
        </w:rPr>
      </w:pPr>
      <w:r>
        <w:rPr/>
        <mc:AlternateContent>
          <mc:Choice Requires="wps">
            <w:drawing>
              <wp:anchor distT="0" distB="0" distL="0" distR="0" allowOverlap="1" layoutInCell="1" locked="0" behindDoc="1" simplePos="0" relativeHeight="487596544">
                <wp:simplePos x="0" y="0"/>
                <wp:positionH relativeFrom="page">
                  <wp:posOffset>1030528</wp:posOffset>
                </wp:positionH>
                <wp:positionV relativeFrom="paragraph">
                  <wp:posOffset>208902</wp:posOffset>
                </wp:positionV>
                <wp:extent cx="5760085" cy="1270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5760085" cy="12700"/>
                        </a:xfrm>
                        <a:custGeom>
                          <a:avLst/>
                          <a:gdLst/>
                          <a:ahLst/>
                          <a:cxnLst/>
                          <a:rect l="l" t="t" r="r" b="b"/>
                          <a:pathLst>
                            <a:path w="5760085" h="12700">
                              <a:moveTo>
                                <a:pt x="1161224" y="0"/>
                              </a:moveTo>
                              <a:lnTo>
                                <a:pt x="1158240" y="0"/>
                              </a:lnTo>
                              <a:lnTo>
                                <a:pt x="1149045" y="0"/>
                              </a:lnTo>
                              <a:lnTo>
                                <a:pt x="0" y="0"/>
                              </a:lnTo>
                              <a:lnTo>
                                <a:pt x="0" y="12192"/>
                              </a:lnTo>
                              <a:lnTo>
                                <a:pt x="1149045" y="12192"/>
                              </a:lnTo>
                              <a:lnTo>
                                <a:pt x="1158240" y="12192"/>
                              </a:lnTo>
                              <a:lnTo>
                                <a:pt x="1161224" y="12192"/>
                              </a:lnTo>
                              <a:lnTo>
                                <a:pt x="1161224" y="0"/>
                              </a:lnTo>
                              <a:close/>
                            </a:path>
                            <a:path w="5760085" h="12700">
                              <a:moveTo>
                                <a:pt x="2312225" y="0"/>
                              </a:moveTo>
                              <a:lnTo>
                                <a:pt x="2309114" y="0"/>
                              </a:lnTo>
                              <a:lnTo>
                                <a:pt x="2300046" y="0"/>
                              </a:lnTo>
                              <a:lnTo>
                                <a:pt x="1161237" y="0"/>
                              </a:lnTo>
                              <a:lnTo>
                                <a:pt x="1161237" y="12192"/>
                              </a:lnTo>
                              <a:lnTo>
                                <a:pt x="2300046" y="12192"/>
                              </a:lnTo>
                              <a:lnTo>
                                <a:pt x="2309114" y="12192"/>
                              </a:lnTo>
                              <a:lnTo>
                                <a:pt x="2312225" y="12192"/>
                              </a:lnTo>
                              <a:lnTo>
                                <a:pt x="2312225" y="0"/>
                              </a:lnTo>
                              <a:close/>
                            </a:path>
                            <a:path w="5760085" h="12700">
                              <a:moveTo>
                                <a:pt x="3461575" y="0"/>
                              </a:moveTo>
                              <a:lnTo>
                                <a:pt x="3458591" y="0"/>
                              </a:lnTo>
                              <a:lnTo>
                                <a:pt x="3449396" y="0"/>
                              </a:lnTo>
                              <a:lnTo>
                                <a:pt x="2312238" y="0"/>
                              </a:lnTo>
                              <a:lnTo>
                                <a:pt x="2312238" y="12192"/>
                              </a:lnTo>
                              <a:lnTo>
                                <a:pt x="3449396" y="12192"/>
                              </a:lnTo>
                              <a:lnTo>
                                <a:pt x="3458591" y="12192"/>
                              </a:lnTo>
                              <a:lnTo>
                                <a:pt x="3461575" y="12192"/>
                              </a:lnTo>
                              <a:lnTo>
                                <a:pt x="3461575" y="0"/>
                              </a:lnTo>
                              <a:close/>
                            </a:path>
                            <a:path w="5760085" h="12700">
                              <a:moveTo>
                                <a:pt x="5760085" y="0"/>
                              </a:moveTo>
                              <a:lnTo>
                                <a:pt x="4612208" y="0"/>
                              </a:lnTo>
                              <a:lnTo>
                                <a:pt x="4609160" y="0"/>
                              </a:lnTo>
                              <a:lnTo>
                                <a:pt x="4600016" y="0"/>
                              </a:lnTo>
                              <a:lnTo>
                                <a:pt x="3461588" y="0"/>
                              </a:lnTo>
                              <a:lnTo>
                                <a:pt x="3461588" y="12192"/>
                              </a:lnTo>
                              <a:lnTo>
                                <a:pt x="4600016" y="12192"/>
                              </a:lnTo>
                              <a:lnTo>
                                <a:pt x="4609160" y="12192"/>
                              </a:lnTo>
                              <a:lnTo>
                                <a:pt x="4612208" y="12192"/>
                              </a:lnTo>
                              <a:lnTo>
                                <a:pt x="5760085" y="12192"/>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144005pt;margin-top:16.449034pt;width:453.55pt;height:1pt;mso-position-horizontal-relative:page;mso-position-vertical-relative:paragraph;z-index:-15719936;mso-wrap-distance-left:0;mso-wrap-distance-right:0" id="docshape18" coordorigin="1623,329" coordsize="9071,20" path="m3452,329l3447,329,3432,329,1623,329,1623,348,3432,348,3447,348,3452,348,3452,329xm5264,329l5259,329,5245,329,3452,329,3452,348,5245,348,5259,348,5264,348,5264,329xm7074,329l7069,329,7055,329,5264,329,5264,348,7055,348,7069,348,7074,348,7074,329xm10694,329l8886,329,8881,329,8867,329,7074,329,7074,348,8867,348,8881,348,8886,348,10694,348,10694,329xe" filled="true" fillcolor="#000000" stroked="false">
                <v:path arrowok="t"/>
                <v:fill type="solid"/>
                <w10:wrap type="topAndBottom"/>
              </v:shape>
            </w:pict>
          </mc:Fallback>
        </mc:AlternateContent>
      </w:r>
    </w:p>
    <w:p>
      <w:pPr>
        <w:spacing w:after="0"/>
        <w:rPr>
          <w:sz w:val="20"/>
        </w:rPr>
        <w:sectPr>
          <w:pgSz w:w="12240" w:h="15840"/>
          <w:pgMar w:header="0" w:footer="1068" w:top="1540" w:bottom="1260" w:left="1420" w:right="440"/>
        </w:sectPr>
      </w:pPr>
    </w:p>
    <w:p>
      <w:pPr>
        <w:pStyle w:val="Heading2"/>
        <w:numPr>
          <w:ilvl w:val="2"/>
          <w:numId w:val="22"/>
        </w:numPr>
        <w:tabs>
          <w:tab w:pos="919" w:val="left" w:leader="none"/>
        </w:tabs>
        <w:spacing w:line="240" w:lineRule="auto" w:before="77" w:after="0"/>
        <w:ind w:left="919" w:right="0" w:hanging="539"/>
        <w:jc w:val="left"/>
      </w:pPr>
      <w:bookmarkStart w:name="_TOC_250029" w:id="55"/>
      <w:r>
        <w:rPr/>
        <w:t>Identification</w:t>
      </w:r>
      <w:r>
        <w:rPr>
          <w:spacing w:val="-2"/>
        </w:rPr>
        <w:t> </w:t>
      </w:r>
      <w:r>
        <w:rPr/>
        <w:t>of</w:t>
      </w:r>
      <w:r>
        <w:rPr>
          <w:spacing w:val="-1"/>
        </w:rPr>
        <w:t> </w:t>
      </w:r>
      <w:r>
        <w:rPr/>
        <w:t>tinidazole</w:t>
      </w:r>
      <w:r>
        <w:rPr>
          <w:spacing w:val="-1"/>
        </w:rPr>
        <w:t> </w:t>
      </w:r>
      <w:r>
        <w:rPr/>
        <w:t>in</w:t>
      </w:r>
      <w:r>
        <w:rPr>
          <w:spacing w:val="-1"/>
        </w:rPr>
        <w:t> </w:t>
      </w:r>
      <w:r>
        <w:rPr/>
        <w:t>tablet</w:t>
      </w:r>
      <w:r>
        <w:rPr>
          <w:spacing w:val="-3"/>
        </w:rPr>
        <w:t> </w:t>
      </w:r>
      <w:r>
        <w:rPr/>
        <w:t>sample</w:t>
      </w:r>
      <w:r>
        <w:rPr>
          <w:spacing w:val="-2"/>
        </w:rPr>
        <w:t> </w:t>
      </w:r>
      <w:r>
        <w:rPr/>
        <w:t>and</w:t>
      </w:r>
      <w:r>
        <w:rPr>
          <w:spacing w:val="-1"/>
        </w:rPr>
        <w:t> </w:t>
      </w:r>
      <w:r>
        <w:rPr/>
        <w:t>standard</w:t>
      </w:r>
      <w:r>
        <w:rPr>
          <w:spacing w:val="-1"/>
        </w:rPr>
        <w:t> </w:t>
      </w:r>
      <w:bookmarkEnd w:id="55"/>
      <w:r>
        <w:rPr>
          <w:spacing w:val="-2"/>
        </w:rPr>
        <w:t>powder</w:t>
      </w:r>
    </w:p>
    <w:p>
      <w:pPr>
        <w:pStyle w:val="ListParagraph"/>
        <w:numPr>
          <w:ilvl w:val="3"/>
          <w:numId w:val="22"/>
        </w:numPr>
        <w:tabs>
          <w:tab w:pos="1100" w:val="left" w:leader="none"/>
        </w:tabs>
        <w:spacing w:line="240" w:lineRule="auto" w:before="271" w:after="0"/>
        <w:ind w:left="1100" w:right="0" w:hanging="720"/>
        <w:jc w:val="left"/>
        <w:rPr>
          <w:i/>
          <w:sz w:val="24"/>
        </w:rPr>
      </w:pPr>
      <w:r>
        <w:rPr>
          <w:i/>
          <w:sz w:val="24"/>
        </w:rPr>
        <w:t>Melting</w:t>
      </w:r>
      <w:r>
        <w:rPr>
          <w:i/>
          <w:spacing w:val="-1"/>
          <w:sz w:val="24"/>
        </w:rPr>
        <w:t> </w:t>
      </w:r>
      <w:r>
        <w:rPr>
          <w:i/>
          <w:sz w:val="24"/>
        </w:rPr>
        <w:t>point</w:t>
      </w:r>
      <w:r>
        <w:rPr>
          <w:i/>
          <w:spacing w:val="-1"/>
          <w:sz w:val="24"/>
        </w:rPr>
        <w:t> </w:t>
      </w:r>
      <w:r>
        <w:rPr>
          <w:i/>
          <w:spacing w:val="-2"/>
          <w:sz w:val="24"/>
        </w:rPr>
        <w:t>determination</w:t>
      </w:r>
    </w:p>
    <w:p>
      <w:pPr>
        <w:pStyle w:val="BodyText"/>
        <w:rPr>
          <w:i/>
        </w:rPr>
      </w:pPr>
    </w:p>
    <w:p>
      <w:pPr>
        <w:pStyle w:val="BodyText"/>
        <w:spacing w:line="480" w:lineRule="auto"/>
        <w:ind w:left="380" w:right="1175"/>
      </w:pPr>
      <w:r>
        <w:rPr/>
        <w:t>The</w:t>
      </w:r>
      <w:r>
        <w:rPr>
          <w:spacing w:val="-3"/>
        </w:rPr>
        <w:t> </w:t>
      </w:r>
      <w:r>
        <w:rPr/>
        <w:t>extracted portion</w:t>
      </w:r>
      <w:r>
        <w:rPr>
          <w:spacing w:val="-1"/>
        </w:rPr>
        <w:t> </w:t>
      </w:r>
      <w:r>
        <w:rPr/>
        <w:t>of the</w:t>
      </w:r>
      <w:r>
        <w:rPr>
          <w:spacing w:val="-2"/>
        </w:rPr>
        <w:t> </w:t>
      </w:r>
      <w:r>
        <w:rPr/>
        <w:t>different tablet</w:t>
      </w:r>
      <w:r>
        <w:rPr>
          <w:spacing w:val="-1"/>
        </w:rPr>
        <w:t> </w:t>
      </w:r>
      <w:r>
        <w:rPr/>
        <w:t>samples alongside</w:t>
      </w:r>
      <w:r>
        <w:rPr>
          <w:spacing w:val="-2"/>
        </w:rPr>
        <w:t> </w:t>
      </w:r>
      <w:r>
        <w:rPr/>
        <w:t>the</w:t>
      </w:r>
      <w:r>
        <w:rPr>
          <w:spacing w:val="-2"/>
        </w:rPr>
        <w:t> </w:t>
      </w:r>
      <w:r>
        <w:rPr/>
        <w:t>pure</w:t>
      </w:r>
      <w:r>
        <w:rPr>
          <w:spacing w:val="-2"/>
        </w:rPr>
        <w:t> </w:t>
      </w:r>
      <w:r>
        <w:rPr/>
        <w:t>standard</w:t>
      </w:r>
      <w:r>
        <w:rPr>
          <w:spacing w:val="-2"/>
        </w:rPr>
        <w:t> </w:t>
      </w:r>
      <w:r>
        <w:rPr/>
        <w:t>tinidazole powder were identified by determining their melting points as in Table 4.2</w:t>
      </w:r>
    </w:p>
    <w:p>
      <w:pPr>
        <w:pStyle w:val="Heading2"/>
        <w:spacing w:before="235"/>
      </w:pPr>
      <w:r>
        <w:rPr/>
        <w:t>Table</w:t>
      </w:r>
      <w:r>
        <w:rPr>
          <w:spacing w:val="-2"/>
        </w:rPr>
        <w:t> </w:t>
      </w:r>
      <w:r>
        <w:rPr/>
        <w:t>4.2:</w:t>
      </w:r>
      <w:r>
        <w:rPr>
          <w:spacing w:val="-3"/>
        </w:rPr>
        <w:t> </w:t>
      </w:r>
      <w:r>
        <w:rPr/>
        <w:t>Melting</w:t>
      </w:r>
      <w:r>
        <w:rPr>
          <w:spacing w:val="-2"/>
        </w:rPr>
        <w:t> </w:t>
      </w:r>
      <w:r>
        <w:rPr/>
        <w:t>point</w:t>
      </w:r>
      <w:r>
        <w:rPr>
          <w:spacing w:val="-2"/>
        </w:rPr>
        <w:t> </w:t>
      </w:r>
      <w:r>
        <w:rPr/>
        <w:t>determination</w:t>
      </w:r>
      <w:r>
        <w:rPr>
          <w:spacing w:val="1"/>
        </w:rPr>
        <w:t> </w:t>
      </w:r>
      <w:r>
        <w:rPr>
          <w:spacing w:val="-2"/>
        </w:rPr>
        <w:t>result</w:t>
      </w:r>
    </w:p>
    <w:p>
      <w:pPr>
        <w:pStyle w:val="BodyText"/>
        <w:spacing w:before="50"/>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7"/>
        <w:gridCol w:w="2778"/>
        <w:gridCol w:w="4970"/>
      </w:tblGrid>
      <w:tr>
        <w:trPr>
          <w:trHeight w:val="287" w:hRule="atLeast"/>
        </w:trPr>
        <w:tc>
          <w:tcPr>
            <w:tcW w:w="1237" w:type="dxa"/>
            <w:tcBorders>
              <w:top w:val="single" w:sz="4" w:space="0" w:color="000000"/>
              <w:bottom w:val="single" w:sz="4" w:space="0" w:color="000000"/>
            </w:tcBorders>
          </w:tcPr>
          <w:p>
            <w:pPr>
              <w:pStyle w:val="TableParagraph"/>
              <w:spacing w:line="268" w:lineRule="exact"/>
              <w:ind w:left="259"/>
              <w:rPr>
                <w:b/>
                <w:sz w:val="24"/>
              </w:rPr>
            </w:pPr>
            <w:r>
              <w:rPr>
                <w:b/>
                <w:spacing w:val="-4"/>
                <w:sz w:val="24"/>
              </w:rPr>
              <w:t>S/No</w:t>
            </w:r>
          </w:p>
        </w:tc>
        <w:tc>
          <w:tcPr>
            <w:tcW w:w="2778" w:type="dxa"/>
            <w:tcBorders>
              <w:top w:val="single" w:sz="4" w:space="0" w:color="000000"/>
              <w:bottom w:val="single" w:sz="4" w:space="0" w:color="000000"/>
            </w:tcBorders>
          </w:tcPr>
          <w:p>
            <w:pPr>
              <w:pStyle w:val="TableParagraph"/>
              <w:spacing w:line="268" w:lineRule="exact"/>
              <w:ind w:left="483"/>
              <w:rPr>
                <w:b/>
                <w:sz w:val="24"/>
              </w:rPr>
            </w:pPr>
            <w:r>
              <w:rPr>
                <w:b/>
                <w:spacing w:val="-2"/>
                <w:sz w:val="24"/>
              </w:rPr>
              <w:t>Brands</w:t>
            </w:r>
          </w:p>
        </w:tc>
        <w:tc>
          <w:tcPr>
            <w:tcW w:w="4970" w:type="dxa"/>
            <w:tcBorders>
              <w:top w:val="single" w:sz="4" w:space="0" w:color="000000"/>
              <w:bottom w:val="single" w:sz="4" w:space="0" w:color="000000"/>
            </w:tcBorders>
          </w:tcPr>
          <w:p>
            <w:pPr>
              <w:pStyle w:val="TableParagraph"/>
              <w:spacing w:line="268" w:lineRule="exact"/>
              <w:ind w:left="1193"/>
              <w:rPr>
                <w:b/>
                <w:sz w:val="24"/>
              </w:rPr>
            </w:pPr>
            <w:r>
              <w:rPr>
                <w:b/>
                <w:sz w:val="24"/>
              </w:rPr>
              <w:t>Temp.</w:t>
            </w:r>
            <w:r>
              <w:rPr>
                <w:b/>
                <w:spacing w:val="-3"/>
                <w:sz w:val="24"/>
              </w:rPr>
              <w:t> </w:t>
            </w:r>
            <w:r>
              <w:rPr>
                <w:b/>
                <w:sz w:val="24"/>
              </w:rPr>
              <w:t>Range</w:t>
            </w:r>
            <w:r>
              <w:rPr>
                <w:b/>
                <w:spacing w:val="-3"/>
                <w:sz w:val="24"/>
              </w:rPr>
              <w:t> </w:t>
            </w:r>
            <w:r>
              <w:rPr>
                <w:b/>
                <w:spacing w:val="-5"/>
                <w:sz w:val="24"/>
                <w:vertAlign w:val="superscript"/>
              </w:rPr>
              <w:t>0</w:t>
            </w:r>
            <w:r>
              <w:rPr>
                <w:b/>
                <w:spacing w:val="-5"/>
                <w:sz w:val="24"/>
                <w:vertAlign w:val="baseline"/>
              </w:rPr>
              <w:t>C</w:t>
            </w:r>
          </w:p>
        </w:tc>
      </w:tr>
      <w:tr>
        <w:trPr>
          <w:trHeight w:val="698" w:hRule="atLeast"/>
        </w:trPr>
        <w:tc>
          <w:tcPr>
            <w:tcW w:w="1237" w:type="dxa"/>
            <w:tcBorders>
              <w:top w:val="single" w:sz="4" w:space="0" w:color="000000"/>
            </w:tcBorders>
          </w:tcPr>
          <w:p>
            <w:pPr>
              <w:pStyle w:val="TableParagraph"/>
              <w:spacing w:line="240" w:lineRule="auto" w:before="273"/>
              <w:ind w:left="259"/>
              <w:rPr>
                <w:b/>
                <w:sz w:val="24"/>
              </w:rPr>
            </w:pPr>
            <w:r>
              <w:rPr>
                <w:b/>
                <w:spacing w:val="-10"/>
                <w:sz w:val="24"/>
              </w:rPr>
              <w:t>1</w:t>
            </w:r>
          </w:p>
        </w:tc>
        <w:tc>
          <w:tcPr>
            <w:tcW w:w="2778" w:type="dxa"/>
            <w:tcBorders>
              <w:top w:val="single" w:sz="4" w:space="0" w:color="000000"/>
            </w:tcBorders>
          </w:tcPr>
          <w:p>
            <w:pPr>
              <w:pStyle w:val="TableParagraph"/>
              <w:spacing w:line="240" w:lineRule="auto" w:before="268"/>
              <w:ind w:left="483"/>
              <w:rPr>
                <w:sz w:val="24"/>
              </w:rPr>
            </w:pPr>
            <w:r>
              <w:rPr>
                <w:spacing w:val="-10"/>
                <w:sz w:val="24"/>
              </w:rPr>
              <w:t>A</w:t>
            </w:r>
          </w:p>
        </w:tc>
        <w:tc>
          <w:tcPr>
            <w:tcW w:w="4970" w:type="dxa"/>
            <w:tcBorders>
              <w:top w:val="single" w:sz="4" w:space="0" w:color="000000"/>
            </w:tcBorders>
          </w:tcPr>
          <w:p>
            <w:pPr>
              <w:pStyle w:val="TableParagraph"/>
              <w:spacing w:line="240" w:lineRule="auto" w:before="268"/>
              <w:ind w:left="1193"/>
              <w:rPr>
                <w:sz w:val="24"/>
              </w:rPr>
            </w:pPr>
            <w:r>
              <w:rPr>
                <w:spacing w:val="-2"/>
                <w:sz w:val="24"/>
              </w:rPr>
              <w:t>127-</w:t>
            </w:r>
            <w:r>
              <w:rPr>
                <w:spacing w:val="-5"/>
                <w:sz w:val="24"/>
              </w:rPr>
              <w:t>130</w:t>
            </w:r>
          </w:p>
        </w:tc>
      </w:tr>
      <w:tr>
        <w:trPr>
          <w:trHeight w:val="550" w:hRule="atLeast"/>
        </w:trPr>
        <w:tc>
          <w:tcPr>
            <w:tcW w:w="1237" w:type="dxa"/>
          </w:tcPr>
          <w:p>
            <w:pPr>
              <w:pStyle w:val="TableParagraph"/>
              <w:spacing w:line="240" w:lineRule="auto" w:before="143"/>
              <w:ind w:left="259"/>
              <w:rPr>
                <w:b/>
                <w:sz w:val="24"/>
              </w:rPr>
            </w:pPr>
            <w:r>
              <w:rPr>
                <w:b/>
                <w:spacing w:val="-10"/>
                <w:sz w:val="24"/>
              </w:rPr>
              <w:t>2</w:t>
            </w:r>
          </w:p>
        </w:tc>
        <w:tc>
          <w:tcPr>
            <w:tcW w:w="2778" w:type="dxa"/>
          </w:tcPr>
          <w:p>
            <w:pPr>
              <w:pStyle w:val="TableParagraph"/>
              <w:spacing w:line="240" w:lineRule="auto" w:before="139"/>
              <w:ind w:left="483"/>
              <w:rPr>
                <w:sz w:val="24"/>
              </w:rPr>
            </w:pPr>
            <w:r>
              <w:rPr>
                <w:spacing w:val="-10"/>
                <w:sz w:val="24"/>
              </w:rPr>
              <w:t>B</w:t>
            </w:r>
          </w:p>
        </w:tc>
        <w:tc>
          <w:tcPr>
            <w:tcW w:w="4970" w:type="dxa"/>
          </w:tcPr>
          <w:p>
            <w:pPr>
              <w:pStyle w:val="TableParagraph"/>
              <w:spacing w:line="240" w:lineRule="auto" w:before="139"/>
              <w:ind w:left="1193"/>
              <w:rPr>
                <w:sz w:val="24"/>
              </w:rPr>
            </w:pPr>
            <w:r>
              <w:rPr>
                <w:spacing w:val="-2"/>
                <w:sz w:val="24"/>
              </w:rPr>
              <w:t>126-</w:t>
            </w:r>
            <w:r>
              <w:rPr>
                <w:spacing w:val="-5"/>
                <w:sz w:val="24"/>
              </w:rPr>
              <w:t>129</w:t>
            </w:r>
          </w:p>
        </w:tc>
      </w:tr>
      <w:tr>
        <w:trPr>
          <w:trHeight w:val="550" w:hRule="atLeast"/>
        </w:trPr>
        <w:tc>
          <w:tcPr>
            <w:tcW w:w="1237" w:type="dxa"/>
          </w:tcPr>
          <w:p>
            <w:pPr>
              <w:pStyle w:val="TableParagraph"/>
              <w:spacing w:line="240" w:lineRule="auto" w:before="125"/>
              <w:ind w:left="259"/>
              <w:rPr>
                <w:b/>
                <w:sz w:val="24"/>
              </w:rPr>
            </w:pPr>
            <w:r>
              <w:rPr>
                <w:b/>
                <w:spacing w:val="-10"/>
                <w:sz w:val="24"/>
              </w:rPr>
              <w:t>3</w:t>
            </w:r>
          </w:p>
        </w:tc>
        <w:tc>
          <w:tcPr>
            <w:tcW w:w="2778" w:type="dxa"/>
          </w:tcPr>
          <w:p>
            <w:pPr>
              <w:pStyle w:val="TableParagraph"/>
              <w:spacing w:line="240" w:lineRule="auto" w:before="121"/>
              <w:ind w:left="483"/>
              <w:rPr>
                <w:sz w:val="24"/>
              </w:rPr>
            </w:pPr>
            <w:r>
              <w:rPr>
                <w:spacing w:val="-10"/>
                <w:sz w:val="24"/>
              </w:rPr>
              <w:t>C</w:t>
            </w:r>
          </w:p>
        </w:tc>
        <w:tc>
          <w:tcPr>
            <w:tcW w:w="4970" w:type="dxa"/>
          </w:tcPr>
          <w:p>
            <w:pPr>
              <w:pStyle w:val="TableParagraph"/>
              <w:spacing w:line="240" w:lineRule="auto" w:before="121"/>
              <w:ind w:left="1193"/>
              <w:rPr>
                <w:sz w:val="24"/>
              </w:rPr>
            </w:pPr>
            <w:r>
              <w:rPr>
                <w:sz w:val="24"/>
              </w:rPr>
              <w:t>124</w:t>
            </w:r>
            <w:r>
              <w:rPr>
                <w:spacing w:val="-1"/>
                <w:sz w:val="24"/>
              </w:rPr>
              <w:t> </w:t>
            </w:r>
            <w:r>
              <w:rPr>
                <w:sz w:val="24"/>
              </w:rPr>
              <w:t>-</w:t>
            </w:r>
            <w:r>
              <w:rPr>
                <w:spacing w:val="-5"/>
                <w:sz w:val="24"/>
              </w:rPr>
              <w:t>127</w:t>
            </w:r>
          </w:p>
        </w:tc>
      </w:tr>
      <w:tr>
        <w:trPr>
          <w:trHeight w:val="568" w:hRule="atLeast"/>
        </w:trPr>
        <w:tc>
          <w:tcPr>
            <w:tcW w:w="1237" w:type="dxa"/>
          </w:tcPr>
          <w:p>
            <w:pPr>
              <w:pStyle w:val="TableParagraph"/>
              <w:spacing w:line="240" w:lineRule="auto" w:before="143"/>
              <w:ind w:left="259"/>
              <w:rPr>
                <w:b/>
                <w:sz w:val="24"/>
              </w:rPr>
            </w:pPr>
            <w:r>
              <w:rPr>
                <w:b/>
                <w:spacing w:val="-10"/>
                <w:sz w:val="24"/>
              </w:rPr>
              <w:t>4</w:t>
            </w:r>
          </w:p>
        </w:tc>
        <w:tc>
          <w:tcPr>
            <w:tcW w:w="2778" w:type="dxa"/>
          </w:tcPr>
          <w:p>
            <w:pPr>
              <w:pStyle w:val="TableParagraph"/>
              <w:spacing w:line="240" w:lineRule="auto" w:before="139"/>
              <w:ind w:left="483"/>
              <w:rPr>
                <w:sz w:val="24"/>
              </w:rPr>
            </w:pPr>
            <w:r>
              <w:rPr>
                <w:spacing w:val="-10"/>
                <w:sz w:val="24"/>
              </w:rPr>
              <w:t>D</w:t>
            </w:r>
          </w:p>
        </w:tc>
        <w:tc>
          <w:tcPr>
            <w:tcW w:w="4970" w:type="dxa"/>
          </w:tcPr>
          <w:p>
            <w:pPr>
              <w:pStyle w:val="TableParagraph"/>
              <w:spacing w:line="240" w:lineRule="auto" w:before="139"/>
              <w:ind w:left="1193"/>
              <w:rPr>
                <w:sz w:val="24"/>
              </w:rPr>
            </w:pPr>
            <w:r>
              <w:rPr>
                <w:spacing w:val="-2"/>
                <w:sz w:val="24"/>
              </w:rPr>
              <w:t>126-</w:t>
            </w:r>
            <w:r>
              <w:rPr>
                <w:spacing w:val="-5"/>
                <w:sz w:val="24"/>
              </w:rPr>
              <w:t>129</w:t>
            </w:r>
          </w:p>
        </w:tc>
      </w:tr>
      <w:tr>
        <w:trPr>
          <w:trHeight w:val="419" w:hRule="atLeast"/>
        </w:trPr>
        <w:tc>
          <w:tcPr>
            <w:tcW w:w="1237" w:type="dxa"/>
          </w:tcPr>
          <w:p>
            <w:pPr>
              <w:pStyle w:val="TableParagraph"/>
              <w:spacing w:line="256" w:lineRule="exact" w:before="143"/>
              <w:ind w:left="259"/>
              <w:rPr>
                <w:b/>
                <w:sz w:val="24"/>
              </w:rPr>
            </w:pPr>
            <w:r>
              <w:rPr>
                <w:b/>
                <w:spacing w:val="-10"/>
                <w:sz w:val="24"/>
              </w:rPr>
              <w:t>5</w:t>
            </w:r>
          </w:p>
        </w:tc>
        <w:tc>
          <w:tcPr>
            <w:tcW w:w="2778" w:type="dxa"/>
          </w:tcPr>
          <w:p>
            <w:pPr>
              <w:pStyle w:val="TableParagraph"/>
              <w:spacing w:line="261" w:lineRule="exact" w:before="139"/>
              <w:ind w:left="483"/>
              <w:rPr>
                <w:sz w:val="24"/>
              </w:rPr>
            </w:pPr>
            <w:r>
              <w:rPr>
                <w:sz w:val="24"/>
              </w:rPr>
              <w:t>Std </w:t>
            </w:r>
            <w:r>
              <w:rPr>
                <w:spacing w:val="-2"/>
                <w:sz w:val="24"/>
              </w:rPr>
              <w:t>powder</w:t>
            </w:r>
          </w:p>
        </w:tc>
        <w:tc>
          <w:tcPr>
            <w:tcW w:w="4970" w:type="dxa"/>
          </w:tcPr>
          <w:p>
            <w:pPr>
              <w:pStyle w:val="TableParagraph"/>
              <w:spacing w:line="261" w:lineRule="exact" w:before="139"/>
              <w:ind w:left="1193"/>
              <w:rPr>
                <w:sz w:val="24"/>
              </w:rPr>
            </w:pPr>
            <w:r>
              <w:rPr>
                <w:spacing w:val="-2"/>
                <w:sz w:val="24"/>
              </w:rPr>
              <w:t>124-</w:t>
            </w:r>
            <w:r>
              <w:rPr>
                <w:spacing w:val="-5"/>
                <w:sz w:val="24"/>
              </w:rPr>
              <w:t>127</w:t>
            </w:r>
          </w:p>
        </w:tc>
      </w:tr>
    </w:tbl>
    <w:p>
      <w:pPr>
        <w:pStyle w:val="BodyText"/>
        <w:rPr>
          <w:b/>
        </w:rPr>
      </w:pPr>
    </w:p>
    <w:p>
      <w:pPr>
        <w:pStyle w:val="BodyText"/>
        <w:rPr>
          <w:b/>
        </w:rPr>
      </w:pPr>
    </w:p>
    <w:p>
      <w:pPr>
        <w:pStyle w:val="BodyText"/>
        <w:spacing w:before="13"/>
        <w:rPr>
          <w:b/>
        </w:rPr>
      </w:pPr>
    </w:p>
    <w:p>
      <w:pPr>
        <w:pStyle w:val="BodyText"/>
        <w:spacing w:before="1"/>
        <w:ind w:left="380"/>
      </w:pPr>
      <w:r>
        <w:rPr/>
        <w:t>Note:</w:t>
      </w:r>
      <w:r>
        <w:rPr>
          <w:spacing w:val="-1"/>
        </w:rPr>
        <w:t> </w:t>
      </w:r>
      <w:r>
        <w:rPr/>
        <w:t>The</w:t>
      </w:r>
      <w:r>
        <w:rPr>
          <w:spacing w:val="-1"/>
        </w:rPr>
        <w:t> </w:t>
      </w:r>
      <w:r>
        <w:rPr/>
        <w:t>melting</w:t>
      </w:r>
      <w:r>
        <w:rPr>
          <w:spacing w:val="-4"/>
        </w:rPr>
        <w:t> </w:t>
      </w:r>
      <w:r>
        <w:rPr/>
        <w:t>point range</w:t>
      </w:r>
      <w:r>
        <w:rPr>
          <w:spacing w:val="-1"/>
        </w:rPr>
        <w:t> </w:t>
      </w:r>
      <w:r>
        <w:rPr/>
        <w:t>of</w:t>
      </w:r>
      <w:r>
        <w:rPr>
          <w:spacing w:val="-1"/>
        </w:rPr>
        <w:t> </w:t>
      </w:r>
      <w:r>
        <w:rPr/>
        <w:t>tinidazole is between</w:t>
      </w:r>
      <w:r>
        <w:rPr>
          <w:spacing w:val="1"/>
        </w:rPr>
        <w:t> </w:t>
      </w:r>
      <w:r>
        <w:rPr/>
        <w:t>125 to 128</w:t>
      </w:r>
      <w:r>
        <w:rPr>
          <w:spacing w:val="-1"/>
        </w:rPr>
        <w:t> </w:t>
      </w:r>
      <w:r>
        <w:rPr/>
        <w:t>°C</w:t>
      </w:r>
      <w:r>
        <w:rPr>
          <w:spacing w:val="1"/>
        </w:rPr>
        <w:t> </w:t>
      </w:r>
      <w:r>
        <w:rPr/>
        <w:t>(BP </w:t>
      </w:r>
      <w:r>
        <w:rPr>
          <w:spacing w:val="-2"/>
        </w:rPr>
        <w:t>2009)</w:t>
      </w:r>
    </w:p>
    <w:p>
      <w:pPr>
        <w:pStyle w:val="BodyText"/>
      </w:pPr>
    </w:p>
    <w:p>
      <w:pPr>
        <w:pStyle w:val="BodyText"/>
        <w:spacing w:before="275"/>
      </w:pPr>
    </w:p>
    <w:p>
      <w:pPr>
        <w:pStyle w:val="ListParagraph"/>
        <w:numPr>
          <w:ilvl w:val="3"/>
          <w:numId w:val="22"/>
        </w:numPr>
        <w:tabs>
          <w:tab w:pos="1100" w:val="left" w:leader="none"/>
        </w:tabs>
        <w:spacing w:line="480" w:lineRule="auto" w:before="1" w:after="0"/>
        <w:ind w:left="1100" w:right="2472" w:hanging="720"/>
        <w:jc w:val="left"/>
        <w:rPr>
          <w:i/>
          <w:sz w:val="24"/>
        </w:rPr>
      </w:pPr>
      <w:r>
        <w:rPr>
          <w:i/>
          <w:sz w:val="24"/>
        </w:rPr>
        <w:t>Infrared</w:t>
      </w:r>
      <w:r>
        <w:rPr>
          <w:i/>
          <w:spacing w:val="-6"/>
          <w:sz w:val="24"/>
        </w:rPr>
        <w:t> </w:t>
      </w:r>
      <w:r>
        <w:rPr>
          <w:i/>
          <w:sz w:val="24"/>
        </w:rPr>
        <w:t>spectroscopic</w:t>
      </w:r>
      <w:r>
        <w:rPr>
          <w:i/>
          <w:spacing w:val="-6"/>
          <w:sz w:val="24"/>
        </w:rPr>
        <w:t> </w:t>
      </w:r>
      <w:r>
        <w:rPr>
          <w:i/>
          <w:sz w:val="24"/>
        </w:rPr>
        <w:t>identification</w:t>
      </w:r>
      <w:r>
        <w:rPr>
          <w:i/>
          <w:spacing w:val="-6"/>
          <w:sz w:val="24"/>
        </w:rPr>
        <w:t> </w:t>
      </w:r>
      <w:r>
        <w:rPr>
          <w:i/>
          <w:sz w:val="24"/>
        </w:rPr>
        <w:t>of</w:t>
      </w:r>
      <w:r>
        <w:rPr>
          <w:i/>
          <w:spacing w:val="-6"/>
          <w:sz w:val="24"/>
        </w:rPr>
        <w:t> </w:t>
      </w:r>
      <w:r>
        <w:rPr>
          <w:i/>
          <w:sz w:val="24"/>
        </w:rPr>
        <w:t>tinidazole</w:t>
      </w:r>
      <w:r>
        <w:rPr>
          <w:i/>
          <w:spacing w:val="-6"/>
          <w:sz w:val="24"/>
        </w:rPr>
        <w:t> </w:t>
      </w:r>
      <w:r>
        <w:rPr>
          <w:i/>
          <w:sz w:val="24"/>
        </w:rPr>
        <w:t>tablets</w:t>
      </w:r>
      <w:r>
        <w:rPr>
          <w:i/>
          <w:spacing w:val="-6"/>
          <w:sz w:val="24"/>
        </w:rPr>
        <w:t> </w:t>
      </w:r>
      <w:r>
        <w:rPr>
          <w:i/>
          <w:sz w:val="24"/>
        </w:rPr>
        <w:t>and</w:t>
      </w:r>
      <w:r>
        <w:rPr>
          <w:i/>
          <w:spacing w:val="-6"/>
          <w:sz w:val="24"/>
        </w:rPr>
        <w:t> </w:t>
      </w:r>
      <w:r>
        <w:rPr>
          <w:i/>
          <w:sz w:val="24"/>
        </w:rPr>
        <w:t>standard </w:t>
      </w:r>
      <w:r>
        <w:rPr>
          <w:i/>
          <w:spacing w:val="-2"/>
          <w:sz w:val="24"/>
        </w:rPr>
        <w:t>powder</w:t>
      </w:r>
    </w:p>
    <w:p>
      <w:pPr>
        <w:pStyle w:val="BodyText"/>
        <w:spacing w:line="480" w:lineRule="auto"/>
        <w:ind w:left="380" w:right="1175"/>
      </w:pPr>
      <w:r>
        <w:rPr/>
        <w:t>The extracted portion of the different tablet samples alongside the pure standard tinidazole powder</w:t>
      </w:r>
      <w:r>
        <w:rPr>
          <w:spacing w:val="12"/>
        </w:rPr>
        <w:t> </w:t>
      </w:r>
      <w:r>
        <w:rPr/>
        <w:t>were</w:t>
      </w:r>
      <w:r>
        <w:rPr>
          <w:spacing w:val="13"/>
        </w:rPr>
        <w:t> </w:t>
      </w:r>
      <w:r>
        <w:rPr/>
        <w:t>identified</w:t>
      </w:r>
      <w:r>
        <w:rPr>
          <w:spacing w:val="15"/>
        </w:rPr>
        <w:t> </w:t>
      </w:r>
      <w:r>
        <w:rPr/>
        <w:t>by</w:t>
      </w:r>
      <w:r>
        <w:rPr>
          <w:spacing w:val="13"/>
        </w:rPr>
        <w:t> </w:t>
      </w:r>
      <w:r>
        <w:rPr/>
        <w:t>running</w:t>
      </w:r>
      <w:r>
        <w:rPr>
          <w:spacing w:val="13"/>
        </w:rPr>
        <w:t> </w:t>
      </w:r>
      <w:r>
        <w:rPr/>
        <w:t>their</w:t>
      </w:r>
      <w:r>
        <w:rPr>
          <w:spacing w:val="17"/>
        </w:rPr>
        <w:t> </w:t>
      </w:r>
      <w:r>
        <w:rPr/>
        <w:t>IR</w:t>
      </w:r>
      <w:r>
        <w:rPr>
          <w:spacing w:val="17"/>
        </w:rPr>
        <w:t> </w:t>
      </w:r>
      <w:r>
        <w:rPr/>
        <w:t>spectra’s</w:t>
      </w:r>
      <w:r>
        <w:rPr>
          <w:spacing w:val="15"/>
        </w:rPr>
        <w:t> </w:t>
      </w:r>
      <w:r>
        <w:rPr/>
        <w:t>and</w:t>
      </w:r>
      <w:r>
        <w:rPr>
          <w:spacing w:val="15"/>
        </w:rPr>
        <w:t> </w:t>
      </w:r>
      <w:r>
        <w:rPr/>
        <w:t>the</w:t>
      </w:r>
      <w:r>
        <w:rPr>
          <w:spacing w:val="19"/>
        </w:rPr>
        <w:t> </w:t>
      </w:r>
      <w:r>
        <w:rPr/>
        <w:t>result</w:t>
      </w:r>
      <w:r>
        <w:rPr>
          <w:spacing w:val="16"/>
        </w:rPr>
        <w:t> </w:t>
      </w:r>
      <w:r>
        <w:rPr/>
        <w:t>represented</w:t>
      </w:r>
      <w:r>
        <w:rPr>
          <w:spacing w:val="15"/>
        </w:rPr>
        <w:t> </w:t>
      </w:r>
      <w:r>
        <w:rPr/>
        <w:t>in</w:t>
      </w:r>
      <w:r>
        <w:rPr>
          <w:spacing w:val="17"/>
        </w:rPr>
        <w:t> </w:t>
      </w:r>
      <w:r>
        <w:rPr>
          <w:spacing w:val="-2"/>
        </w:rPr>
        <w:t>Figures</w:t>
      </w:r>
    </w:p>
    <w:p>
      <w:pPr>
        <w:pStyle w:val="ListParagraph"/>
        <w:numPr>
          <w:ilvl w:val="1"/>
          <w:numId w:val="23"/>
        </w:numPr>
        <w:tabs>
          <w:tab w:pos="740" w:val="left" w:leader="none"/>
        </w:tabs>
        <w:spacing w:line="240" w:lineRule="auto" w:before="0" w:after="0"/>
        <w:ind w:left="740" w:right="0" w:hanging="360"/>
        <w:jc w:val="left"/>
        <w:rPr>
          <w:sz w:val="24"/>
        </w:rPr>
      </w:pPr>
      <w:r>
        <w:rPr>
          <w:sz w:val="24"/>
        </w:rPr>
        <w:t>to</w:t>
      </w:r>
      <w:r>
        <w:rPr>
          <w:spacing w:val="-1"/>
          <w:sz w:val="24"/>
        </w:rPr>
        <w:t> </w:t>
      </w:r>
      <w:r>
        <w:rPr>
          <w:sz w:val="24"/>
        </w:rPr>
        <w:t>7.5</w:t>
      </w:r>
      <w:r>
        <w:rPr>
          <w:spacing w:val="-1"/>
          <w:sz w:val="24"/>
        </w:rPr>
        <w:t> </w:t>
      </w:r>
      <w:r>
        <w:rPr>
          <w:sz w:val="24"/>
        </w:rPr>
        <w:t>at the</w:t>
      </w:r>
      <w:r>
        <w:rPr>
          <w:spacing w:val="-2"/>
          <w:sz w:val="24"/>
        </w:rPr>
        <w:t> </w:t>
      </w:r>
      <w:r>
        <w:rPr>
          <w:sz w:val="24"/>
        </w:rPr>
        <w:t>appendix</w:t>
      </w:r>
      <w:r>
        <w:rPr>
          <w:spacing w:val="2"/>
          <w:sz w:val="24"/>
        </w:rPr>
        <w:t> </w:t>
      </w:r>
      <w:r>
        <w:rPr>
          <w:spacing w:val="-2"/>
          <w:sz w:val="24"/>
        </w:rPr>
        <w:t>section.</w:t>
      </w:r>
    </w:p>
    <w:p>
      <w:pPr>
        <w:pStyle w:val="BodyText"/>
      </w:pPr>
    </w:p>
    <w:p>
      <w:pPr>
        <w:pStyle w:val="ListParagraph"/>
        <w:numPr>
          <w:ilvl w:val="3"/>
          <w:numId w:val="22"/>
        </w:numPr>
        <w:tabs>
          <w:tab w:pos="1100" w:val="left" w:leader="none"/>
        </w:tabs>
        <w:spacing w:line="480" w:lineRule="auto" w:before="0" w:after="0"/>
        <w:ind w:left="1100" w:right="2145" w:hanging="720"/>
        <w:jc w:val="left"/>
        <w:rPr>
          <w:i/>
          <w:sz w:val="24"/>
        </w:rPr>
      </w:pPr>
      <w:r>
        <w:rPr>
          <w:i/>
          <w:sz w:val="24"/>
        </w:rPr>
        <w:t>UV</w:t>
      </w:r>
      <w:r>
        <w:rPr>
          <w:i/>
          <w:spacing w:val="-6"/>
          <w:sz w:val="24"/>
        </w:rPr>
        <w:t> </w:t>
      </w:r>
      <w:r>
        <w:rPr>
          <w:i/>
          <w:sz w:val="24"/>
        </w:rPr>
        <w:t>-Visible</w:t>
      </w:r>
      <w:r>
        <w:rPr>
          <w:i/>
          <w:spacing w:val="-6"/>
          <w:sz w:val="24"/>
        </w:rPr>
        <w:t> </w:t>
      </w:r>
      <w:r>
        <w:rPr>
          <w:i/>
          <w:sz w:val="24"/>
        </w:rPr>
        <w:t>spectroscopic</w:t>
      </w:r>
      <w:r>
        <w:rPr>
          <w:i/>
          <w:spacing w:val="-5"/>
          <w:sz w:val="24"/>
        </w:rPr>
        <w:t> </w:t>
      </w:r>
      <w:r>
        <w:rPr>
          <w:i/>
          <w:sz w:val="24"/>
        </w:rPr>
        <w:t>identification</w:t>
      </w:r>
      <w:r>
        <w:rPr>
          <w:i/>
          <w:spacing w:val="-4"/>
          <w:sz w:val="24"/>
        </w:rPr>
        <w:t> </w:t>
      </w:r>
      <w:r>
        <w:rPr>
          <w:i/>
          <w:sz w:val="24"/>
        </w:rPr>
        <w:t>of</w:t>
      </w:r>
      <w:r>
        <w:rPr>
          <w:i/>
          <w:spacing w:val="-7"/>
          <w:sz w:val="24"/>
        </w:rPr>
        <w:t> </w:t>
      </w:r>
      <w:r>
        <w:rPr>
          <w:i/>
          <w:sz w:val="24"/>
        </w:rPr>
        <w:t>tinidazole</w:t>
      </w:r>
      <w:r>
        <w:rPr>
          <w:i/>
          <w:spacing w:val="-5"/>
          <w:sz w:val="24"/>
        </w:rPr>
        <w:t> </w:t>
      </w:r>
      <w:r>
        <w:rPr>
          <w:i/>
          <w:sz w:val="24"/>
        </w:rPr>
        <w:t>tablets</w:t>
      </w:r>
      <w:r>
        <w:rPr>
          <w:i/>
          <w:spacing w:val="-5"/>
          <w:sz w:val="24"/>
        </w:rPr>
        <w:t> </w:t>
      </w:r>
      <w:r>
        <w:rPr>
          <w:i/>
          <w:sz w:val="24"/>
        </w:rPr>
        <w:t>and</w:t>
      </w:r>
      <w:r>
        <w:rPr>
          <w:i/>
          <w:spacing w:val="-5"/>
          <w:sz w:val="24"/>
        </w:rPr>
        <w:t> </w:t>
      </w:r>
      <w:r>
        <w:rPr>
          <w:i/>
          <w:sz w:val="24"/>
        </w:rPr>
        <w:t>standard </w:t>
      </w:r>
      <w:r>
        <w:rPr>
          <w:i/>
          <w:spacing w:val="-2"/>
          <w:sz w:val="24"/>
        </w:rPr>
        <w:t>powder</w:t>
      </w:r>
    </w:p>
    <w:p>
      <w:pPr>
        <w:pStyle w:val="BodyText"/>
        <w:spacing w:line="480" w:lineRule="auto"/>
        <w:ind w:left="380" w:right="1175"/>
      </w:pPr>
      <w:r>
        <w:rPr/>
        <w:t>All the tablet samples and the standard powder</w:t>
      </w:r>
      <w:r>
        <w:rPr>
          <w:spacing w:val="80"/>
        </w:rPr>
        <w:t> </w:t>
      </w:r>
      <w:r>
        <w:rPr/>
        <w:t>UV spectroscopic identification method</w:t>
      </w:r>
      <w:r>
        <w:rPr>
          <w:spacing w:val="40"/>
        </w:rPr>
        <w:t> </w:t>
      </w:r>
      <w:r>
        <w:rPr/>
        <w:t>passed</w:t>
      </w:r>
      <w:r>
        <w:rPr>
          <w:spacing w:val="10"/>
        </w:rPr>
        <w:t> </w:t>
      </w:r>
      <w:r>
        <w:rPr/>
        <w:t>the</w:t>
      </w:r>
      <w:r>
        <w:rPr>
          <w:spacing w:val="9"/>
        </w:rPr>
        <w:t> </w:t>
      </w:r>
      <w:r>
        <w:rPr/>
        <w:t>identification</w:t>
      </w:r>
      <w:r>
        <w:rPr>
          <w:spacing w:val="10"/>
        </w:rPr>
        <w:t> </w:t>
      </w:r>
      <w:r>
        <w:rPr/>
        <w:t>test</w:t>
      </w:r>
      <w:r>
        <w:rPr>
          <w:spacing w:val="11"/>
        </w:rPr>
        <w:t> </w:t>
      </w:r>
      <w:r>
        <w:rPr/>
        <w:t>as</w:t>
      </w:r>
      <w:r>
        <w:rPr>
          <w:spacing w:val="11"/>
        </w:rPr>
        <w:t> </w:t>
      </w:r>
      <w:r>
        <w:rPr/>
        <w:t>their</w:t>
      </w:r>
      <w:r>
        <w:rPr>
          <w:spacing w:val="11"/>
        </w:rPr>
        <w:t> </w:t>
      </w:r>
      <w:r>
        <w:rPr/>
        <w:t>absorbance</w:t>
      </w:r>
      <w:r>
        <w:rPr>
          <w:spacing w:val="9"/>
        </w:rPr>
        <w:t> </w:t>
      </w:r>
      <w:r>
        <w:rPr/>
        <w:t>is</w:t>
      </w:r>
      <w:r>
        <w:rPr>
          <w:spacing w:val="11"/>
        </w:rPr>
        <w:t> </w:t>
      </w:r>
      <w:r>
        <w:rPr/>
        <w:t>within</w:t>
      </w:r>
      <w:r>
        <w:rPr>
          <w:spacing w:val="10"/>
        </w:rPr>
        <w:t> </w:t>
      </w:r>
      <w:r>
        <w:rPr/>
        <w:t>the</w:t>
      </w:r>
      <w:r>
        <w:rPr>
          <w:spacing w:val="8"/>
        </w:rPr>
        <w:t> </w:t>
      </w:r>
      <w:r>
        <w:rPr/>
        <w:t>spectral</w:t>
      </w:r>
      <w:r>
        <w:rPr>
          <w:spacing w:val="11"/>
        </w:rPr>
        <w:t> </w:t>
      </w:r>
      <w:r>
        <w:rPr/>
        <w:t>range</w:t>
      </w:r>
      <w:r>
        <w:rPr>
          <w:spacing w:val="9"/>
        </w:rPr>
        <w:t> </w:t>
      </w:r>
      <w:r>
        <w:rPr/>
        <w:t>of</w:t>
      </w:r>
      <w:r>
        <w:rPr>
          <w:spacing w:val="10"/>
        </w:rPr>
        <w:t> </w:t>
      </w:r>
      <w:r>
        <w:rPr/>
        <w:t>220</w:t>
      </w:r>
      <w:r>
        <w:rPr>
          <w:spacing w:val="10"/>
        </w:rPr>
        <w:t> </w:t>
      </w:r>
      <w:r>
        <w:rPr/>
        <w:t>nm</w:t>
      </w:r>
      <w:r>
        <w:rPr>
          <w:spacing w:val="11"/>
        </w:rPr>
        <w:t> </w:t>
      </w:r>
      <w:r>
        <w:rPr>
          <w:spacing w:val="-5"/>
        </w:rPr>
        <w:t>to</w:t>
      </w:r>
    </w:p>
    <w:p>
      <w:pPr>
        <w:spacing w:after="0" w:line="480" w:lineRule="auto"/>
        <w:sectPr>
          <w:pgSz w:w="12240" w:h="15840"/>
          <w:pgMar w:header="0" w:footer="1068" w:top="1540" w:bottom="1260" w:left="1420" w:right="440"/>
        </w:sectPr>
      </w:pPr>
    </w:p>
    <w:p>
      <w:pPr>
        <w:pStyle w:val="BodyText"/>
        <w:spacing w:before="72"/>
        <w:ind w:left="380"/>
      </w:pPr>
      <w:r>
        <w:rPr/>
        <w:t>350</w:t>
      </w:r>
      <w:r>
        <w:rPr>
          <w:spacing w:val="10"/>
        </w:rPr>
        <w:t> </w:t>
      </w:r>
      <w:r>
        <w:rPr/>
        <w:t>nm</w:t>
      </w:r>
      <w:r>
        <w:rPr>
          <w:spacing w:val="53"/>
          <w:w w:val="150"/>
        </w:rPr>
        <w:t> </w:t>
      </w:r>
      <w:r>
        <w:rPr/>
        <w:t>and</w:t>
      </w:r>
      <w:r>
        <w:rPr>
          <w:spacing w:val="10"/>
        </w:rPr>
        <w:t> </w:t>
      </w:r>
      <w:r>
        <w:rPr/>
        <w:t>absorption</w:t>
      </w:r>
      <w:r>
        <w:rPr>
          <w:spacing w:val="12"/>
        </w:rPr>
        <w:t> </w:t>
      </w:r>
      <w:r>
        <w:rPr/>
        <w:t>maximum</w:t>
      </w:r>
      <w:r>
        <w:rPr>
          <w:spacing w:val="8"/>
        </w:rPr>
        <w:t> </w:t>
      </w:r>
      <w:r>
        <w:rPr/>
        <w:t>of</w:t>
      </w:r>
      <w:r>
        <w:rPr>
          <w:spacing w:val="10"/>
        </w:rPr>
        <w:t> </w:t>
      </w:r>
      <w:r>
        <w:rPr/>
        <w:t>310</w:t>
      </w:r>
      <w:r>
        <w:rPr>
          <w:spacing w:val="11"/>
        </w:rPr>
        <w:t> </w:t>
      </w:r>
      <w:r>
        <w:rPr/>
        <w:t>nm</w:t>
      </w:r>
      <w:r>
        <w:rPr>
          <w:spacing w:val="11"/>
        </w:rPr>
        <w:t> </w:t>
      </w:r>
      <w:r>
        <w:rPr/>
        <w:t>(BP</w:t>
      </w:r>
      <w:r>
        <w:rPr>
          <w:spacing w:val="12"/>
        </w:rPr>
        <w:t> </w:t>
      </w:r>
      <w:r>
        <w:rPr/>
        <w:t>2009)</w:t>
      </w:r>
      <w:r>
        <w:rPr>
          <w:spacing w:val="14"/>
        </w:rPr>
        <w:t> </w:t>
      </w:r>
      <w:r>
        <w:rPr/>
        <w:t>as</w:t>
      </w:r>
      <w:r>
        <w:rPr>
          <w:spacing w:val="11"/>
        </w:rPr>
        <w:t> </w:t>
      </w:r>
      <w:r>
        <w:rPr/>
        <w:t>indicated</w:t>
      </w:r>
      <w:r>
        <w:rPr>
          <w:spacing w:val="11"/>
        </w:rPr>
        <w:t> </w:t>
      </w:r>
      <w:r>
        <w:rPr/>
        <w:t>in</w:t>
      </w:r>
      <w:r>
        <w:rPr>
          <w:spacing w:val="11"/>
        </w:rPr>
        <w:t> </w:t>
      </w:r>
      <w:r>
        <w:rPr/>
        <w:t>the</w:t>
      </w:r>
      <w:r>
        <w:rPr>
          <w:spacing w:val="13"/>
        </w:rPr>
        <w:t> </w:t>
      </w:r>
      <w:r>
        <w:rPr/>
        <w:t>figures</w:t>
      </w:r>
      <w:r>
        <w:rPr>
          <w:spacing w:val="11"/>
        </w:rPr>
        <w:t> </w:t>
      </w:r>
      <w:r>
        <w:rPr/>
        <w:t>7.6</w:t>
      </w:r>
      <w:r>
        <w:rPr>
          <w:spacing w:val="11"/>
        </w:rPr>
        <w:t> </w:t>
      </w:r>
      <w:r>
        <w:rPr>
          <w:spacing w:val="-5"/>
        </w:rPr>
        <w:t>to</w:t>
      </w:r>
    </w:p>
    <w:p>
      <w:pPr>
        <w:pStyle w:val="BodyText"/>
      </w:pPr>
    </w:p>
    <w:p>
      <w:pPr>
        <w:pStyle w:val="BodyText"/>
        <w:ind w:left="380"/>
      </w:pPr>
      <w:r>
        <w:rPr/>
        <w:t>7.10</w:t>
      </w:r>
      <w:r>
        <w:rPr>
          <w:spacing w:val="-1"/>
        </w:rPr>
        <w:t> </w:t>
      </w:r>
      <w:r>
        <w:rPr/>
        <w:t>in the</w:t>
      </w:r>
      <w:r>
        <w:rPr>
          <w:spacing w:val="-2"/>
        </w:rPr>
        <w:t> </w:t>
      </w:r>
      <w:r>
        <w:rPr/>
        <w:t>appendix</w:t>
      </w:r>
      <w:r>
        <w:rPr>
          <w:spacing w:val="2"/>
        </w:rPr>
        <w:t> </w:t>
      </w:r>
      <w:r>
        <w:rPr>
          <w:spacing w:val="-2"/>
        </w:rPr>
        <w:t>section.</w:t>
      </w:r>
    </w:p>
    <w:p>
      <w:pPr>
        <w:pStyle w:val="BodyText"/>
        <w:spacing w:before="5"/>
      </w:pPr>
    </w:p>
    <w:p>
      <w:pPr>
        <w:pStyle w:val="Heading2"/>
        <w:numPr>
          <w:ilvl w:val="1"/>
          <w:numId w:val="22"/>
        </w:numPr>
        <w:tabs>
          <w:tab w:pos="2012" w:val="left" w:leader="none"/>
        </w:tabs>
        <w:spacing w:line="240" w:lineRule="auto" w:before="0" w:after="0"/>
        <w:ind w:left="2012" w:right="0" w:hanging="360"/>
        <w:jc w:val="left"/>
      </w:pPr>
      <w:bookmarkStart w:name="_TOC_250028" w:id="56"/>
      <w:r>
        <w:rPr/>
        <w:t>Assay</w:t>
      </w:r>
      <w:r>
        <w:rPr>
          <w:spacing w:val="-3"/>
        </w:rPr>
        <w:t> </w:t>
      </w:r>
      <w:r>
        <w:rPr/>
        <w:t>of Tinidazole</w:t>
      </w:r>
      <w:r>
        <w:rPr>
          <w:spacing w:val="-4"/>
        </w:rPr>
        <w:t> </w:t>
      </w:r>
      <w:r>
        <w:rPr/>
        <w:t>in Tablets</w:t>
      </w:r>
      <w:r>
        <w:rPr>
          <w:spacing w:val="-1"/>
        </w:rPr>
        <w:t> </w:t>
      </w:r>
      <w:r>
        <w:rPr/>
        <w:t>and Pure</w:t>
      </w:r>
      <w:r>
        <w:rPr>
          <w:spacing w:val="-2"/>
        </w:rPr>
        <w:t> </w:t>
      </w:r>
      <w:r>
        <w:rPr/>
        <w:t>Standard </w:t>
      </w:r>
      <w:bookmarkEnd w:id="56"/>
      <w:r>
        <w:rPr>
          <w:spacing w:val="-2"/>
        </w:rPr>
        <w:t>Powder.</w:t>
      </w:r>
    </w:p>
    <w:p>
      <w:pPr>
        <w:pStyle w:val="BodyText"/>
        <w:spacing w:before="120"/>
        <w:rPr>
          <w:b/>
        </w:rPr>
      </w:pPr>
    </w:p>
    <w:p>
      <w:pPr>
        <w:pStyle w:val="Heading2"/>
        <w:numPr>
          <w:ilvl w:val="2"/>
          <w:numId w:val="22"/>
        </w:numPr>
        <w:tabs>
          <w:tab w:pos="919" w:val="left" w:leader="none"/>
        </w:tabs>
        <w:spacing w:line="240" w:lineRule="auto" w:before="0" w:after="0"/>
        <w:ind w:left="919" w:right="0" w:hanging="539"/>
        <w:jc w:val="left"/>
      </w:pPr>
      <w:bookmarkStart w:name="_TOC_250027" w:id="57"/>
      <w:bookmarkEnd w:id="57"/>
      <w:r>
        <w:rPr>
          <w:spacing w:val="-2"/>
        </w:rPr>
        <w:t>Assay:</w:t>
      </w:r>
    </w:p>
    <w:p>
      <w:pPr>
        <w:pStyle w:val="BodyText"/>
        <w:spacing w:line="480" w:lineRule="auto" w:before="271"/>
        <w:ind w:left="380" w:right="1175" w:firstLine="81"/>
      </w:pPr>
      <w:r>
        <w:rPr/>
        <w:t>Not all the brands passed the test as their % content slightly deviate from the acceptable limit of (95-105 %.) Brands B and D were very close to passing (Table 4.3).</w:t>
      </w:r>
    </w:p>
    <w:p>
      <w:pPr>
        <w:pStyle w:val="BodyText"/>
      </w:pPr>
    </w:p>
    <w:p>
      <w:pPr>
        <w:pStyle w:val="BodyText"/>
        <w:spacing w:before="6"/>
      </w:pPr>
    </w:p>
    <w:p>
      <w:pPr>
        <w:spacing w:before="0"/>
        <w:ind w:left="380" w:right="0" w:firstLine="0"/>
        <w:jc w:val="left"/>
        <w:rPr>
          <w:b/>
          <w:sz w:val="24"/>
        </w:rPr>
      </w:pPr>
      <w:r>
        <w:rPr>
          <w:b/>
          <w:sz w:val="24"/>
        </w:rPr>
        <w:t>Table</w:t>
      </w:r>
      <w:r>
        <w:rPr>
          <w:b/>
          <w:spacing w:val="-3"/>
          <w:sz w:val="24"/>
        </w:rPr>
        <w:t> </w:t>
      </w:r>
      <w:r>
        <w:rPr>
          <w:b/>
          <w:sz w:val="24"/>
        </w:rPr>
        <w:t>4.3:</w:t>
      </w:r>
      <w:r>
        <w:rPr>
          <w:b/>
          <w:spacing w:val="-2"/>
          <w:sz w:val="24"/>
        </w:rPr>
        <w:t> </w:t>
      </w:r>
      <w:r>
        <w:rPr>
          <w:b/>
          <w:sz w:val="24"/>
        </w:rPr>
        <w:t>Percentage</w:t>
      </w:r>
      <w:r>
        <w:rPr>
          <w:b/>
          <w:spacing w:val="-2"/>
          <w:sz w:val="24"/>
        </w:rPr>
        <w:t> </w:t>
      </w:r>
      <w:r>
        <w:rPr>
          <w:b/>
          <w:sz w:val="24"/>
        </w:rPr>
        <w:t>content</w:t>
      </w:r>
      <w:r>
        <w:rPr>
          <w:b/>
          <w:spacing w:val="-1"/>
          <w:sz w:val="24"/>
        </w:rPr>
        <w:t> </w:t>
      </w:r>
      <w:r>
        <w:rPr>
          <w:b/>
          <w:sz w:val="24"/>
        </w:rPr>
        <w:t>of</w:t>
      </w:r>
      <w:r>
        <w:rPr>
          <w:b/>
          <w:spacing w:val="-1"/>
          <w:sz w:val="24"/>
        </w:rPr>
        <w:t> </w:t>
      </w:r>
      <w:r>
        <w:rPr>
          <w:b/>
          <w:sz w:val="24"/>
        </w:rPr>
        <w:t>tinidazole</w:t>
      </w:r>
      <w:r>
        <w:rPr>
          <w:b/>
          <w:spacing w:val="-1"/>
          <w:sz w:val="24"/>
        </w:rPr>
        <w:t> </w:t>
      </w:r>
      <w:r>
        <w:rPr>
          <w:b/>
          <w:sz w:val="24"/>
        </w:rPr>
        <w:t>assayed</w:t>
      </w:r>
      <w:r>
        <w:rPr>
          <w:b/>
          <w:spacing w:val="-1"/>
          <w:sz w:val="24"/>
        </w:rPr>
        <w:t> </w:t>
      </w:r>
      <w:r>
        <w:rPr>
          <w:b/>
          <w:sz w:val="24"/>
        </w:rPr>
        <w:t>in tablet</w:t>
      </w:r>
      <w:r>
        <w:rPr>
          <w:b/>
          <w:spacing w:val="-1"/>
          <w:sz w:val="24"/>
        </w:rPr>
        <w:t> </w:t>
      </w:r>
      <w:r>
        <w:rPr>
          <w:b/>
          <w:spacing w:val="-2"/>
          <w:sz w:val="24"/>
        </w:rPr>
        <w:t>samples</w:t>
      </w:r>
    </w:p>
    <w:p>
      <w:pPr>
        <w:pStyle w:val="BodyText"/>
        <w:spacing w:before="49"/>
        <w:rPr>
          <w:b/>
          <w:sz w:val="20"/>
        </w:r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8"/>
        <w:gridCol w:w="2854"/>
        <w:gridCol w:w="2754"/>
      </w:tblGrid>
      <w:tr>
        <w:trPr>
          <w:trHeight w:val="551" w:hRule="atLeast"/>
        </w:trPr>
        <w:tc>
          <w:tcPr>
            <w:tcW w:w="2818" w:type="dxa"/>
            <w:tcBorders>
              <w:top w:val="single" w:sz="8" w:space="0" w:color="000000"/>
              <w:bottom w:val="single" w:sz="4" w:space="0" w:color="000000"/>
            </w:tcBorders>
          </w:tcPr>
          <w:p>
            <w:pPr>
              <w:pStyle w:val="TableParagraph"/>
              <w:spacing w:line="272" w:lineRule="exact"/>
              <w:ind w:right="9"/>
              <w:jc w:val="center"/>
              <w:rPr>
                <w:b/>
                <w:sz w:val="24"/>
              </w:rPr>
            </w:pPr>
            <w:r>
              <w:rPr>
                <w:b/>
                <w:spacing w:val="-2"/>
                <w:sz w:val="24"/>
              </w:rPr>
              <w:t>Brands</w:t>
            </w:r>
          </w:p>
        </w:tc>
        <w:tc>
          <w:tcPr>
            <w:tcW w:w="2854" w:type="dxa"/>
            <w:tcBorders>
              <w:top w:val="single" w:sz="8" w:space="0" w:color="000000"/>
              <w:bottom w:val="dotted" w:sz="4" w:space="0" w:color="000000"/>
            </w:tcBorders>
          </w:tcPr>
          <w:p>
            <w:pPr>
              <w:pStyle w:val="TableParagraph"/>
              <w:spacing w:line="272" w:lineRule="exact"/>
              <w:ind w:left="864"/>
              <w:rPr>
                <w:b/>
                <w:sz w:val="24"/>
              </w:rPr>
            </w:pPr>
            <w:r>
              <w:rPr>
                <w:b/>
                <w:sz w:val="24"/>
              </w:rPr>
              <w:t>%</w:t>
            </w:r>
            <w:r>
              <w:rPr>
                <w:b/>
                <w:spacing w:val="2"/>
                <w:sz w:val="24"/>
              </w:rPr>
              <w:t> </w:t>
            </w:r>
            <w:r>
              <w:rPr>
                <w:b/>
                <w:spacing w:val="-2"/>
                <w:sz w:val="24"/>
              </w:rPr>
              <w:t>content</w:t>
            </w:r>
          </w:p>
        </w:tc>
        <w:tc>
          <w:tcPr>
            <w:tcW w:w="2754" w:type="dxa"/>
            <w:tcBorders>
              <w:top w:val="single" w:sz="8" w:space="0" w:color="000000"/>
              <w:bottom w:val="single" w:sz="4" w:space="0" w:color="000000"/>
            </w:tcBorders>
          </w:tcPr>
          <w:p>
            <w:pPr>
              <w:pStyle w:val="TableParagraph"/>
              <w:spacing w:line="272" w:lineRule="exact"/>
              <w:ind w:right="57"/>
              <w:jc w:val="center"/>
              <w:rPr>
                <w:b/>
                <w:sz w:val="24"/>
              </w:rPr>
            </w:pPr>
            <w:r>
              <w:rPr>
                <w:b/>
                <w:spacing w:val="-2"/>
                <w:sz w:val="24"/>
              </w:rPr>
              <w:t>Remark</w:t>
            </w:r>
          </w:p>
        </w:tc>
      </w:tr>
      <w:tr>
        <w:trPr>
          <w:trHeight w:val="2476" w:hRule="atLeast"/>
        </w:trPr>
        <w:tc>
          <w:tcPr>
            <w:tcW w:w="2818" w:type="dxa"/>
            <w:tcBorders>
              <w:top w:val="single" w:sz="4" w:space="0" w:color="000000"/>
            </w:tcBorders>
          </w:tcPr>
          <w:p>
            <w:pPr>
              <w:pStyle w:val="TableParagraph"/>
              <w:spacing w:line="480" w:lineRule="auto"/>
              <w:ind w:left="993" w:right="1003"/>
              <w:jc w:val="both"/>
              <w:rPr>
                <w:sz w:val="24"/>
              </w:rPr>
            </w:pPr>
            <w:r>
              <w:rPr>
                <w:sz w:val="24"/>
              </w:rPr>
              <w:t>Brand</w:t>
            </w:r>
            <w:r>
              <w:rPr>
                <w:spacing w:val="-15"/>
                <w:sz w:val="24"/>
              </w:rPr>
              <w:t> </w:t>
            </w:r>
            <w:r>
              <w:rPr>
                <w:sz w:val="24"/>
              </w:rPr>
              <w:t>A Brand</w:t>
            </w:r>
            <w:r>
              <w:rPr>
                <w:spacing w:val="-15"/>
                <w:sz w:val="24"/>
              </w:rPr>
              <w:t> </w:t>
            </w:r>
            <w:r>
              <w:rPr>
                <w:sz w:val="24"/>
              </w:rPr>
              <w:t>B Brand</w:t>
            </w:r>
            <w:r>
              <w:rPr>
                <w:spacing w:val="-15"/>
                <w:sz w:val="24"/>
              </w:rPr>
              <w:t> </w:t>
            </w:r>
            <w:r>
              <w:rPr>
                <w:sz w:val="24"/>
              </w:rPr>
              <w:t>C Brand</w:t>
            </w:r>
            <w:r>
              <w:rPr>
                <w:spacing w:val="-2"/>
                <w:sz w:val="24"/>
              </w:rPr>
              <w:t> </w:t>
            </w:r>
            <w:r>
              <w:rPr>
                <w:spacing w:val="-10"/>
                <w:sz w:val="24"/>
              </w:rPr>
              <w:t>D</w:t>
            </w:r>
          </w:p>
          <w:p>
            <w:pPr>
              <w:pStyle w:val="TableParagraph"/>
              <w:spacing w:line="256" w:lineRule="exact"/>
              <w:ind w:left="854"/>
              <w:rPr>
                <w:sz w:val="24"/>
              </w:rPr>
            </w:pPr>
            <w:r>
              <w:rPr>
                <w:sz w:val="24"/>
              </w:rPr>
              <w:t>Std </w:t>
            </w:r>
            <w:r>
              <w:rPr>
                <w:spacing w:val="-2"/>
                <w:sz w:val="24"/>
              </w:rPr>
              <w:t>powder</w:t>
            </w:r>
          </w:p>
        </w:tc>
        <w:tc>
          <w:tcPr>
            <w:tcW w:w="2854" w:type="dxa"/>
            <w:tcBorders>
              <w:top w:val="dotted" w:sz="4" w:space="0" w:color="000000"/>
            </w:tcBorders>
          </w:tcPr>
          <w:p>
            <w:pPr>
              <w:pStyle w:val="TableParagraph"/>
              <w:spacing w:line="268" w:lineRule="exact"/>
              <w:ind w:left="3" w:right="65"/>
              <w:jc w:val="center"/>
              <w:rPr>
                <w:sz w:val="24"/>
              </w:rPr>
            </w:pPr>
            <w:r>
              <w:rPr>
                <w:spacing w:val="-5"/>
                <w:sz w:val="24"/>
              </w:rPr>
              <w:t>101</w:t>
            </w:r>
          </w:p>
          <w:p>
            <w:pPr>
              <w:pStyle w:val="TableParagraph"/>
              <w:spacing w:line="240" w:lineRule="auto"/>
              <w:rPr>
                <w:b/>
                <w:sz w:val="24"/>
              </w:rPr>
            </w:pPr>
          </w:p>
          <w:p>
            <w:pPr>
              <w:pStyle w:val="TableParagraph"/>
              <w:spacing w:line="240" w:lineRule="auto"/>
              <w:ind w:right="65"/>
              <w:jc w:val="center"/>
              <w:rPr>
                <w:sz w:val="24"/>
              </w:rPr>
            </w:pPr>
            <w:r>
              <w:rPr>
                <w:spacing w:val="-2"/>
                <w:sz w:val="24"/>
              </w:rPr>
              <w:t>94.56</w:t>
            </w:r>
          </w:p>
          <w:p>
            <w:pPr>
              <w:pStyle w:val="TableParagraph"/>
              <w:spacing w:line="240" w:lineRule="auto"/>
              <w:rPr>
                <w:b/>
                <w:sz w:val="24"/>
              </w:rPr>
            </w:pPr>
          </w:p>
          <w:p>
            <w:pPr>
              <w:pStyle w:val="TableParagraph"/>
              <w:spacing w:line="240" w:lineRule="auto"/>
              <w:ind w:right="65"/>
              <w:jc w:val="center"/>
              <w:rPr>
                <w:sz w:val="24"/>
              </w:rPr>
            </w:pPr>
            <w:r>
              <w:rPr>
                <w:spacing w:val="-2"/>
                <w:sz w:val="24"/>
              </w:rPr>
              <w:t>100.7</w:t>
            </w:r>
          </w:p>
          <w:p>
            <w:pPr>
              <w:pStyle w:val="TableParagraph"/>
              <w:spacing w:line="240" w:lineRule="auto"/>
              <w:rPr>
                <w:b/>
                <w:sz w:val="24"/>
              </w:rPr>
            </w:pPr>
          </w:p>
          <w:p>
            <w:pPr>
              <w:pStyle w:val="TableParagraph"/>
              <w:spacing w:line="240" w:lineRule="auto"/>
              <w:ind w:right="65"/>
              <w:jc w:val="center"/>
              <w:rPr>
                <w:sz w:val="24"/>
              </w:rPr>
            </w:pPr>
            <w:r>
              <w:rPr>
                <w:spacing w:val="-2"/>
                <w:sz w:val="24"/>
              </w:rPr>
              <w:t>94.56</w:t>
            </w:r>
          </w:p>
          <w:p>
            <w:pPr>
              <w:pStyle w:val="TableParagraph"/>
              <w:spacing w:line="240" w:lineRule="auto"/>
              <w:rPr>
                <w:b/>
                <w:sz w:val="24"/>
              </w:rPr>
            </w:pPr>
          </w:p>
          <w:p>
            <w:pPr>
              <w:pStyle w:val="TableParagraph"/>
              <w:spacing w:line="256" w:lineRule="exact"/>
              <w:ind w:right="65"/>
              <w:jc w:val="center"/>
              <w:rPr>
                <w:sz w:val="24"/>
              </w:rPr>
            </w:pPr>
            <w:r>
              <w:rPr>
                <w:spacing w:val="-4"/>
                <w:sz w:val="24"/>
              </w:rPr>
              <w:t>98.1</w:t>
            </w:r>
          </w:p>
        </w:tc>
        <w:tc>
          <w:tcPr>
            <w:tcW w:w="2754" w:type="dxa"/>
            <w:tcBorders>
              <w:top w:val="single" w:sz="4" w:space="0" w:color="000000"/>
            </w:tcBorders>
          </w:tcPr>
          <w:p>
            <w:pPr>
              <w:pStyle w:val="TableParagraph"/>
              <w:spacing w:line="480" w:lineRule="auto"/>
              <w:ind w:left="1022" w:right="1076"/>
              <w:jc w:val="both"/>
              <w:rPr>
                <w:sz w:val="24"/>
              </w:rPr>
            </w:pPr>
            <w:r>
              <w:rPr>
                <w:spacing w:val="-2"/>
                <w:sz w:val="24"/>
              </w:rPr>
              <w:t>Passed Failed Passed Failed</w:t>
            </w:r>
          </w:p>
          <w:p>
            <w:pPr>
              <w:pStyle w:val="TableParagraph"/>
              <w:spacing w:line="256" w:lineRule="exact"/>
              <w:ind w:left="4" w:right="57"/>
              <w:jc w:val="center"/>
              <w:rPr>
                <w:sz w:val="24"/>
              </w:rPr>
            </w:pPr>
            <w:r>
              <w:rPr>
                <w:spacing w:val="-2"/>
                <w:sz w:val="24"/>
              </w:rPr>
              <w:t>Passed</w:t>
            </w:r>
          </w:p>
        </w:tc>
      </w:tr>
    </w:tbl>
    <w:p>
      <w:pPr>
        <w:pStyle w:val="BodyText"/>
        <w:rPr>
          <w:b/>
          <w:sz w:val="20"/>
        </w:rPr>
      </w:pPr>
    </w:p>
    <w:p>
      <w:pPr>
        <w:pStyle w:val="BodyText"/>
        <w:spacing w:before="90"/>
        <w:rPr>
          <w:b/>
          <w:sz w:val="20"/>
        </w:rPr>
      </w:pPr>
      <w:r>
        <w:rPr/>
        <mc:AlternateContent>
          <mc:Choice Requires="wps">
            <w:drawing>
              <wp:anchor distT="0" distB="0" distL="0" distR="0" allowOverlap="1" layoutInCell="1" locked="0" behindDoc="1" simplePos="0" relativeHeight="487597056">
                <wp:simplePos x="0" y="0"/>
                <wp:positionH relativeFrom="page">
                  <wp:posOffset>1231696</wp:posOffset>
                </wp:positionH>
                <wp:positionV relativeFrom="paragraph">
                  <wp:posOffset>218439</wp:posOffset>
                </wp:positionV>
                <wp:extent cx="5359400" cy="1270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5359400" cy="12700"/>
                        </a:xfrm>
                        <a:custGeom>
                          <a:avLst/>
                          <a:gdLst/>
                          <a:ahLst/>
                          <a:cxnLst/>
                          <a:rect l="l" t="t" r="r" b="b"/>
                          <a:pathLst>
                            <a:path w="5359400" h="12700">
                              <a:moveTo>
                                <a:pt x="1795589" y="0"/>
                              </a:moveTo>
                              <a:lnTo>
                                <a:pt x="1792465" y="0"/>
                              </a:lnTo>
                              <a:lnTo>
                                <a:pt x="1783410" y="0"/>
                              </a:lnTo>
                              <a:lnTo>
                                <a:pt x="0" y="0"/>
                              </a:lnTo>
                              <a:lnTo>
                                <a:pt x="0" y="12179"/>
                              </a:lnTo>
                              <a:lnTo>
                                <a:pt x="1783410" y="12179"/>
                              </a:lnTo>
                              <a:lnTo>
                                <a:pt x="1792465" y="12179"/>
                              </a:lnTo>
                              <a:lnTo>
                                <a:pt x="1795589" y="12179"/>
                              </a:lnTo>
                              <a:lnTo>
                                <a:pt x="1795589" y="0"/>
                              </a:lnTo>
                              <a:close/>
                            </a:path>
                            <a:path w="5359400" h="12700">
                              <a:moveTo>
                                <a:pt x="3578923" y="0"/>
                              </a:moveTo>
                              <a:lnTo>
                                <a:pt x="3575888" y="0"/>
                              </a:lnTo>
                              <a:lnTo>
                                <a:pt x="3566744" y="0"/>
                              </a:lnTo>
                              <a:lnTo>
                                <a:pt x="1795602" y="0"/>
                              </a:lnTo>
                              <a:lnTo>
                                <a:pt x="1795602" y="12179"/>
                              </a:lnTo>
                              <a:lnTo>
                                <a:pt x="3566744" y="12179"/>
                              </a:lnTo>
                              <a:lnTo>
                                <a:pt x="3575888" y="12179"/>
                              </a:lnTo>
                              <a:lnTo>
                                <a:pt x="3578923" y="12179"/>
                              </a:lnTo>
                              <a:lnTo>
                                <a:pt x="3578923" y="0"/>
                              </a:lnTo>
                              <a:close/>
                            </a:path>
                            <a:path w="5359400" h="12700">
                              <a:moveTo>
                                <a:pt x="5359222" y="0"/>
                              </a:moveTo>
                              <a:lnTo>
                                <a:pt x="3578936" y="0"/>
                              </a:lnTo>
                              <a:lnTo>
                                <a:pt x="3578936" y="12179"/>
                              </a:lnTo>
                              <a:lnTo>
                                <a:pt x="5359222" y="12179"/>
                              </a:lnTo>
                              <a:lnTo>
                                <a:pt x="53592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6.984001pt;margin-top:17.199999pt;width:422pt;height:1pt;mso-position-horizontal-relative:page;mso-position-vertical-relative:paragraph;z-index:-15719424;mso-wrap-distance-left:0;mso-wrap-distance-right:0" id="docshape19" coordorigin="1940,344" coordsize="8440,20" path="m4767,344l4762,344,4748,344,1940,344,1940,363,4748,363,4762,363,4767,363,4767,344xm7576,344l7571,344,7557,344,4767,344,4767,363,7557,363,7571,363,7576,363,7576,344xm10379,344l7576,344,7576,363,10379,363,10379,344xe" filled="true" fillcolor="#000000" stroked="false">
                <v:path arrowok="t"/>
                <v:fill type="solid"/>
                <w10:wrap type="topAndBottom"/>
              </v:shape>
            </w:pict>
          </mc:Fallback>
        </mc:AlternateContent>
      </w:r>
    </w:p>
    <w:p>
      <w:pPr>
        <w:spacing w:after="0"/>
        <w:rPr>
          <w:sz w:val="20"/>
        </w:rPr>
        <w:sectPr>
          <w:pgSz w:w="12240" w:h="15840"/>
          <w:pgMar w:header="0" w:footer="1068" w:top="1540" w:bottom="1260" w:left="1420" w:right="440"/>
        </w:sectPr>
      </w:pPr>
    </w:p>
    <w:p>
      <w:pPr>
        <w:pStyle w:val="Heading2"/>
        <w:numPr>
          <w:ilvl w:val="1"/>
          <w:numId w:val="22"/>
        </w:numPr>
        <w:tabs>
          <w:tab w:pos="3705" w:val="left" w:leader="none"/>
        </w:tabs>
        <w:spacing w:line="240" w:lineRule="auto" w:before="77" w:after="0"/>
        <w:ind w:left="3705" w:right="0" w:hanging="360"/>
        <w:jc w:val="left"/>
      </w:pPr>
      <w:bookmarkStart w:name="_TOC_250026" w:id="58"/>
      <w:r>
        <w:rPr/>
        <w:t>Quality</w:t>
      </w:r>
      <w:r>
        <w:rPr>
          <w:spacing w:val="-2"/>
        </w:rPr>
        <w:t> </w:t>
      </w:r>
      <w:r>
        <w:rPr/>
        <w:t>Control</w:t>
      </w:r>
      <w:r>
        <w:rPr>
          <w:spacing w:val="-1"/>
        </w:rPr>
        <w:t> </w:t>
      </w:r>
      <w:bookmarkEnd w:id="58"/>
      <w:r>
        <w:rPr>
          <w:spacing w:val="-2"/>
        </w:rPr>
        <w:t>Studies</w:t>
      </w:r>
    </w:p>
    <w:p>
      <w:pPr>
        <w:pStyle w:val="BodyText"/>
        <w:rPr>
          <w:b/>
        </w:rPr>
      </w:pPr>
    </w:p>
    <w:p>
      <w:pPr>
        <w:pStyle w:val="Heading2"/>
        <w:numPr>
          <w:ilvl w:val="2"/>
          <w:numId w:val="22"/>
        </w:numPr>
        <w:tabs>
          <w:tab w:pos="920" w:val="left" w:leader="none"/>
        </w:tabs>
        <w:spacing w:line="240" w:lineRule="auto" w:before="0" w:after="0"/>
        <w:ind w:left="920" w:right="0" w:hanging="540"/>
        <w:jc w:val="left"/>
      </w:pPr>
      <w:bookmarkStart w:name="_TOC_250025" w:id="59"/>
      <w:r>
        <w:rPr/>
        <w:t>Weight </w:t>
      </w:r>
      <w:bookmarkEnd w:id="59"/>
      <w:r>
        <w:rPr>
          <w:spacing w:val="-2"/>
        </w:rPr>
        <w:t>variation:</w:t>
      </w:r>
    </w:p>
    <w:p>
      <w:pPr>
        <w:pStyle w:val="BodyText"/>
        <w:spacing w:line="480" w:lineRule="auto" w:before="271"/>
        <w:ind w:left="380" w:right="1175"/>
      </w:pPr>
      <w:r>
        <w:rPr/>
        <w:t>All</w:t>
      </w:r>
      <w:r>
        <w:rPr>
          <w:spacing w:val="23"/>
        </w:rPr>
        <w:t> </w:t>
      </w:r>
      <w:r>
        <w:rPr/>
        <w:t>the samples</w:t>
      </w:r>
      <w:r>
        <w:rPr>
          <w:spacing w:val="23"/>
        </w:rPr>
        <w:t> </w:t>
      </w:r>
      <w:r>
        <w:rPr/>
        <w:t>passed the weight</w:t>
      </w:r>
      <w:r>
        <w:rPr>
          <w:spacing w:val="25"/>
        </w:rPr>
        <w:t> </w:t>
      </w:r>
      <w:r>
        <w:rPr/>
        <w:t>variation</w:t>
      </w:r>
      <w:r>
        <w:rPr>
          <w:spacing w:val="23"/>
        </w:rPr>
        <w:t> </w:t>
      </w:r>
      <w:r>
        <w:rPr/>
        <w:t>test</w:t>
      </w:r>
      <w:r>
        <w:rPr>
          <w:spacing w:val="23"/>
        </w:rPr>
        <w:t> </w:t>
      </w:r>
      <w:r>
        <w:rPr/>
        <w:t>as</w:t>
      </w:r>
      <w:r>
        <w:rPr>
          <w:spacing w:val="23"/>
        </w:rPr>
        <w:t> </w:t>
      </w:r>
      <w:r>
        <w:rPr/>
        <w:t>their percentage</w:t>
      </w:r>
      <w:r>
        <w:rPr>
          <w:spacing w:val="25"/>
        </w:rPr>
        <w:t> </w:t>
      </w:r>
      <w:r>
        <w:rPr/>
        <w:t>mean</w:t>
      </w:r>
      <w:r>
        <w:rPr>
          <w:spacing w:val="23"/>
        </w:rPr>
        <w:t> </w:t>
      </w:r>
      <w:r>
        <w:rPr/>
        <w:t>deviation</w:t>
      </w:r>
      <w:r>
        <w:rPr>
          <w:spacing w:val="23"/>
        </w:rPr>
        <w:t> </w:t>
      </w:r>
      <w:r>
        <w:rPr/>
        <w:t>was less than 5 % as illustrated in Table 4.4</w:t>
      </w:r>
    </w:p>
    <w:p>
      <w:pPr>
        <w:pStyle w:val="Heading2"/>
        <w:spacing w:before="5"/>
      </w:pPr>
      <w:r>
        <w:rPr/>
        <w:t>Table</w:t>
      </w:r>
      <w:r>
        <w:rPr>
          <w:spacing w:val="-2"/>
        </w:rPr>
        <w:t> </w:t>
      </w:r>
      <w:r>
        <w:rPr/>
        <w:t>4.4:</w:t>
      </w:r>
      <w:r>
        <w:rPr>
          <w:spacing w:val="-2"/>
        </w:rPr>
        <w:t> </w:t>
      </w:r>
      <w:r>
        <w:rPr/>
        <w:t>Uniformity</w:t>
      </w:r>
      <w:r>
        <w:rPr>
          <w:spacing w:val="-2"/>
        </w:rPr>
        <w:t> </w:t>
      </w:r>
      <w:r>
        <w:rPr/>
        <w:t>of weight</w:t>
      </w:r>
      <w:r>
        <w:rPr>
          <w:spacing w:val="-2"/>
        </w:rPr>
        <w:t> </w:t>
      </w:r>
      <w:r>
        <w:rPr/>
        <w:t>(mean</w:t>
      </w:r>
      <w:r>
        <w:rPr>
          <w:spacing w:val="-2"/>
        </w:rPr>
        <w:t> </w:t>
      </w:r>
      <w:r>
        <w:rPr/>
        <w:t>±</w:t>
      </w:r>
      <w:r>
        <w:rPr>
          <w:spacing w:val="-1"/>
        </w:rPr>
        <w:t> </w:t>
      </w:r>
      <w:r>
        <w:rPr/>
        <w:t>SD)</w:t>
      </w:r>
      <w:r>
        <w:rPr>
          <w:spacing w:val="-4"/>
        </w:rPr>
        <w:t> </w:t>
      </w:r>
      <w:r>
        <w:rPr/>
        <w:t>and</w:t>
      </w:r>
      <w:r>
        <w:rPr>
          <w:spacing w:val="-2"/>
        </w:rPr>
        <w:t> </w:t>
      </w:r>
      <w:r>
        <w:rPr/>
        <w:t>their</w:t>
      </w:r>
      <w:r>
        <w:rPr>
          <w:spacing w:val="-1"/>
        </w:rPr>
        <w:t> </w:t>
      </w:r>
      <w:r>
        <w:rPr/>
        <w:t>mean</w:t>
      </w:r>
      <w:r>
        <w:rPr>
          <w:spacing w:val="-2"/>
        </w:rPr>
        <w:t> </w:t>
      </w:r>
      <w:r>
        <w:rPr/>
        <w:t>percentage</w:t>
      </w:r>
      <w:r>
        <w:rPr>
          <w:spacing w:val="-2"/>
        </w:rPr>
        <w:t> deviation</w:t>
      </w:r>
    </w:p>
    <w:p>
      <w:pPr>
        <w:pStyle w:val="BodyText"/>
        <w:rPr>
          <w:b/>
          <w:sz w:val="20"/>
        </w:rPr>
      </w:pPr>
    </w:p>
    <w:p>
      <w:pPr>
        <w:pStyle w:val="BodyText"/>
        <w:rPr>
          <w:b/>
          <w:sz w:val="20"/>
        </w:rPr>
      </w:pPr>
    </w:p>
    <w:p>
      <w:pPr>
        <w:pStyle w:val="BodyText"/>
        <w:spacing w:before="141"/>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83"/>
      </w:tblGrid>
      <w:tr>
        <w:trPr>
          <w:trHeight w:val="758" w:hRule="atLeast"/>
        </w:trPr>
        <w:tc>
          <w:tcPr>
            <w:tcW w:w="8783" w:type="dxa"/>
            <w:tcBorders>
              <w:top w:val="single" w:sz="4" w:space="0" w:color="000000"/>
              <w:bottom w:val="single" w:sz="4" w:space="0" w:color="000000"/>
            </w:tcBorders>
          </w:tcPr>
          <w:p>
            <w:pPr>
              <w:pStyle w:val="TableParagraph"/>
              <w:tabs>
                <w:tab w:pos="2884" w:val="left" w:leader="none"/>
                <w:tab w:pos="6344" w:val="left" w:leader="none"/>
              </w:tabs>
              <w:spacing w:line="252" w:lineRule="exact"/>
              <w:ind w:left="108"/>
              <w:rPr>
                <w:b/>
                <w:sz w:val="22"/>
              </w:rPr>
            </w:pPr>
            <w:r>
              <w:rPr>
                <w:b/>
                <w:spacing w:val="-2"/>
                <w:sz w:val="22"/>
              </w:rPr>
              <w:t>Brands</w:t>
            </w:r>
            <w:r>
              <w:rPr>
                <w:b/>
                <w:sz w:val="22"/>
              </w:rPr>
              <w:tab/>
              <w:t>Weight</w:t>
            </w:r>
            <w:r>
              <w:rPr>
                <w:b/>
                <w:spacing w:val="-4"/>
                <w:sz w:val="22"/>
              </w:rPr>
              <w:t> </w:t>
            </w:r>
            <w:r>
              <w:rPr>
                <w:b/>
                <w:sz w:val="22"/>
              </w:rPr>
              <w:t>Variation(g)</w:t>
            </w:r>
            <w:r>
              <w:rPr>
                <w:b/>
                <w:spacing w:val="-4"/>
                <w:sz w:val="22"/>
              </w:rPr>
              <w:t> </w:t>
            </w:r>
            <w:r>
              <w:rPr>
                <w:b/>
                <w:sz w:val="22"/>
              </w:rPr>
              <w:t>±</w:t>
            </w:r>
            <w:r>
              <w:rPr>
                <w:b/>
                <w:spacing w:val="-5"/>
                <w:sz w:val="22"/>
              </w:rPr>
              <w:t> SD</w:t>
            </w:r>
            <w:r>
              <w:rPr>
                <w:b/>
                <w:sz w:val="22"/>
              </w:rPr>
              <w:tab/>
              <w:t>%</w:t>
            </w:r>
            <w:r>
              <w:rPr>
                <w:b/>
                <w:spacing w:val="-6"/>
                <w:sz w:val="22"/>
              </w:rPr>
              <w:t> </w:t>
            </w:r>
            <w:r>
              <w:rPr>
                <w:b/>
                <w:sz w:val="22"/>
              </w:rPr>
              <w:t>Mean</w:t>
            </w:r>
            <w:r>
              <w:rPr>
                <w:b/>
                <w:spacing w:val="-1"/>
                <w:sz w:val="22"/>
              </w:rPr>
              <w:t> </w:t>
            </w:r>
            <w:r>
              <w:rPr>
                <w:b/>
                <w:spacing w:val="-2"/>
                <w:sz w:val="22"/>
              </w:rPr>
              <w:t>Deviation</w:t>
            </w:r>
          </w:p>
          <w:p>
            <w:pPr>
              <w:pStyle w:val="TableParagraph"/>
              <w:spacing w:line="240" w:lineRule="auto"/>
              <w:rPr>
                <w:b/>
                <w:sz w:val="22"/>
              </w:rPr>
            </w:pPr>
          </w:p>
          <w:p>
            <w:pPr>
              <w:pStyle w:val="TableParagraph"/>
              <w:spacing w:line="233" w:lineRule="exact"/>
              <w:ind w:right="193"/>
              <w:jc w:val="center"/>
              <w:rPr>
                <w:b/>
                <w:sz w:val="22"/>
              </w:rPr>
            </w:pPr>
            <w:r>
              <w:rPr>
                <w:b/>
                <w:sz w:val="22"/>
              </w:rPr>
              <w:t>( </w:t>
            </w:r>
            <w:r>
              <w:rPr>
                <w:b/>
                <w:spacing w:val="-2"/>
                <w:sz w:val="22"/>
              </w:rPr>
              <w:t>n=20)</w:t>
            </w:r>
          </w:p>
        </w:tc>
      </w:tr>
      <w:tr>
        <w:trPr>
          <w:trHeight w:val="2341" w:hRule="atLeast"/>
        </w:trPr>
        <w:tc>
          <w:tcPr>
            <w:tcW w:w="8783" w:type="dxa"/>
            <w:tcBorders>
              <w:top w:val="single" w:sz="4" w:space="0" w:color="000000"/>
            </w:tcBorders>
          </w:tcPr>
          <w:p>
            <w:pPr>
              <w:pStyle w:val="TableParagraph"/>
              <w:tabs>
                <w:tab w:pos="3089" w:val="left" w:leader="none"/>
                <w:tab w:pos="7420" w:val="right" w:leader="none"/>
              </w:tabs>
              <w:spacing w:line="270" w:lineRule="exact"/>
              <w:ind w:left="108"/>
              <w:rPr>
                <w:sz w:val="24"/>
              </w:rPr>
            </w:pPr>
            <w:r>
              <w:rPr>
                <w:sz w:val="24"/>
              </w:rPr>
              <w:t>Brand</w:t>
            </w:r>
            <w:r>
              <w:rPr>
                <w:spacing w:val="-2"/>
                <w:sz w:val="24"/>
              </w:rPr>
              <w:t> </w:t>
            </w:r>
            <w:r>
              <w:rPr>
                <w:spacing w:val="-10"/>
                <w:sz w:val="24"/>
              </w:rPr>
              <w:t>A</w:t>
            </w:r>
            <w:r>
              <w:rPr>
                <w:sz w:val="24"/>
              </w:rPr>
              <w:tab/>
              <w:t>0.68 ±0 </w:t>
            </w:r>
            <w:r>
              <w:rPr>
                <w:spacing w:val="-5"/>
                <w:sz w:val="24"/>
              </w:rPr>
              <w:t>.02</w:t>
            </w:r>
            <w:r>
              <w:rPr>
                <w:sz w:val="24"/>
              </w:rPr>
              <w:tab/>
            </w:r>
            <w:r>
              <w:rPr>
                <w:spacing w:val="-2"/>
                <w:sz w:val="24"/>
              </w:rPr>
              <w:t>0.045</w:t>
            </w:r>
          </w:p>
          <w:p>
            <w:pPr>
              <w:pStyle w:val="TableParagraph"/>
              <w:tabs>
                <w:tab w:pos="3133" w:val="left" w:leader="none"/>
                <w:tab w:pos="7465" w:val="right" w:leader="none"/>
              </w:tabs>
              <w:spacing w:line="240" w:lineRule="auto" w:before="415"/>
              <w:ind w:left="108"/>
              <w:rPr>
                <w:sz w:val="24"/>
              </w:rPr>
            </w:pPr>
            <w:r>
              <w:rPr>
                <w:sz w:val="24"/>
              </w:rPr>
              <w:t>Brand</w:t>
            </w:r>
            <w:r>
              <w:rPr>
                <w:spacing w:val="-2"/>
                <w:sz w:val="24"/>
              </w:rPr>
              <w:t> </w:t>
            </w:r>
            <w:r>
              <w:rPr>
                <w:spacing w:val="-10"/>
                <w:sz w:val="24"/>
              </w:rPr>
              <w:t>B</w:t>
            </w:r>
            <w:r>
              <w:rPr>
                <w:sz w:val="24"/>
              </w:rPr>
              <w:tab/>
              <w:t>0.75 ± </w:t>
            </w:r>
            <w:r>
              <w:rPr>
                <w:spacing w:val="-2"/>
                <w:sz w:val="24"/>
              </w:rPr>
              <w:t>0.023</w:t>
            </w:r>
            <w:r>
              <w:rPr>
                <w:sz w:val="24"/>
              </w:rPr>
              <w:tab/>
            </w:r>
            <w:r>
              <w:rPr>
                <w:spacing w:val="-2"/>
                <w:sz w:val="24"/>
              </w:rPr>
              <w:t>0.015</w:t>
            </w:r>
          </w:p>
          <w:p>
            <w:pPr>
              <w:pStyle w:val="TableParagraph"/>
              <w:tabs>
                <w:tab w:pos="3133" w:val="left" w:leader="none"/>
                <w:tab w:pos="7467" w:val="right" w:leader="none"/>
              </w:tabs>
              <w:spacing w:line="240" w:lineRule="auto" w:before="413"/>
              <w:ind w:left="108"/>
              <w:rPr>
                <w:sz w:val="24"/>
              </w:rPr>
            </w:pPr>
            <w:r>
              <w:rPr>
                <w:sz w:val="24"/>
              </w:rPr>
              <w:t>Brand</w:t>
            </w:r>
            <w:r>
              <w:rPr>
                <w:spacing w:val="-4"/>
                <w:sz w:val="24"/>
              </w:rPr>
              <w:t> </w:t>
            </w:r>
            <w:r>
              <w:rPr>
                <w:spacing w:val="-10"/>
                <w:sz w:val="24"/>
              </w:rPr>
              <w:t>C</w:t>
            </w:r>
            <w:r>
              <w:rPr>
                <w:sz w:val="24"/>
              </w:rPr>
              <w:tab/>
              <w:t>0.67 ± </w:t>
            </w:r>
            <w:r>
              <w:rPr>
                <w:spacing w:val="-2"/>
                <w:sz w:val="24"/>
              </w:rPr>
              <w:t>0.015</w:t>
            </w:r>
            <w:r>
              <w:rPr>
                <w:sz w:val="24"/>
              </w:rPr>
              <w:tab/>
            </w:r>
            <w:r>
              <w:rPr>
                <w:spacing w:val="-2"/>
                <w:sz w:val="24"/>
              </w:rPr>
              <w:t>0.005</w:t>
            </w:r>
          </w:p>
          <w:p>
            <w:pPr>
              <w:pStyle w:val="TableParagraph"/>
              <w:tabs>
                <w:tab w:pos="3148" w:val="left" w:leader="none"/>
                <w:tab w:pos="7479" w:val="right" w:leader="none"/>
              </w:tabs>
              <w:spacing w:line="256" w:lineRule="exact" w:before="415"/>
              <w:ind w:left="108"/>
              <w:rPr>
                <w:sz w:val="24"/>
              </w:rPr>
            </w:pPr>
            <w:r>
              <w:rPr>
                <w:sz w:val="24"/>
              </w:rPr>
              <w:t>Brand</w:t>
            </w:r>
            <w:r>
              <w:rPr>
                <w:spacing w:val="-2"/>
                <w:sz w:val="24"/>
              </w:rPr>
              <w:t> </w:t>
            </w:r>
            <w:r>
              <w:rPr>
                <w:spacing w:val="-10"/>
                <w:sz w:val="24"/>
              </w:rPr>
              <w:t>D</w:t>
            </w:r>
            <w:r>
              <w:rPr>
                <w:sz w:val="24"/>
              </w:rPr>
              <w:tab/>
              <w:t>0.70</w:t>
            </w:r>
            <w:r>
              <w:rPr>
                <w:spacing w:val="-2"/>
                <w:sz w:val="24"/>
              </w:rPr>
              <w:t> </w:t>
            </w:r>
            <w:r>
              <w:rPr>
                <w:sz w:val="24"/>
              </w:rPr>
              <w:t>± </w:t>
            </w:r>
            <w:r>
              <w:rPr>
                <w:spacing w:val="-4"/>
                <w:sz w:val="24"/>
              </w:rPr>
              <w:t>0.02</w:t>
            </w:r>
            <w:r>
              <w:rPr>
                <w:sz w:val="24"/>
              </w:rPr>
              <w:tab/>
            </w:r>
            <w:r>
              <w:rPr>
                <w:spacing w:val="-2"/>
                <w:sz w:val="24"/>
              </w:rPr>
              <w:t>0.006</w:t>
            </w:r>
          </w:p>
        </w:tc>
      </w:tr>
    </w:tbl>
    <w:p>
      <w:pPr>
        <w:pStyle w:val="BodyText"/>
        <w:rPr>
          <w:b/>
        </w:rPr>
      </w:pPr>
    </w:p>
    <w:p>
      <w:pPr>
        <w:pStyle w:val="BodyText"/>
        <w:rPr>
          <w:b/>
        </w:rPr>
      </w:pPr>
    </w:p>
    <w:p>
      <w:pPr>
        <w:pStyle w:val="BodyText"/>
        <w:spacing w:before="135"/>
        <w:rPr>
          <w:b/>
        </w:rPr>
      </w:pPr>
    </w:p>
    <w:p>
      <w:pPr>
        <w:pStyle w:val="BodyText"/>
        <w:ind w:left="380" w:right="1175"/>
      </w:pPr>
      <w:r>
        <w:rPr>
          <w:b/>
        </w:rPr>
        <w:t>Note:</w:t>
      </w:r>
      <w:r>
        <w:rPr>
          <w:b/>
          <w:spacing w:val="-4"/>
        </w:rPr>
        <w:t> </w:t>
      </w:r>
      <w:r>
        <w:rPr/>
        <w:t>Acceptable</w:t>
      </w:r>
      <w:r>
        <w:rPr>
          <w:spacing w:val="-4"/>
        </w:rPr>
        <w:t> </w:t>
      </w:r>
      <w:r>
        <w:rPr/>
        <w:t>limit</w:t>
      </w:r>
      <w:r>
        <w:rPr>
          <w:spacing w:val="-3"/>
        </w:rPr>
        <w:t> </w:t>
      </w:r>
      <w:r>
        <w:rPr/>
        <w:t>of</w:t>
      </w:r>
      <w:r>
        <w:rPr>
          <w:spacing w:val="-3"/>
        </w:rPr>
        <w:t> </w:t>
      </w:r>
      <w:r>
        <w:rPr/>
        <w:t>weight</w:t>
      </w:r>
      <w:r>
        <w:rPr>
          <w:spacing w:val="-3"/>
        </w:rPr>
        <w:t> </w:t>
      </w:r>
      <w:r>
        <w:rPr/>
        <w:t>uniformity</w:t>
      </w:r>
      <w:r>
        <w:rPr>
          <w:spacing w:val="-7"/>
        </w:rPr>
        <w:t> </w:t>
      </w:r>
      <w:r>
        <w:rPr/>
        <w:t>test</w:t>
      </w:r>
      <w:r>
        <w:rPr>
          <w:spacing w:val="-3"/>
        </w:rPr>
        <w:t> </w:t>
      </w:r>
      <w:r>
        <w:rPr/>
        <w:t>is less</w:t>
      </w:r>
      <w:r>
        <w:rPr>
          <w:spacing w:val="-3"/>
        </w:rPr>
        <w:t> </w:t>
      </w:r>
      <w:r>
        <w:rPr/>
        <w:t>than</w:t>
      </w:r>
      <w:r>
        <w:rPr>
          <w:spacing w:val="-4"/>
        </w:rPr>
        <w:t> </w:t>
      </w:r>
      <w:r>
        <w:rPr/>
        <w:t>5</w:t>
      </w:r>
      <w:r>
        <w:rPr>
          <w:spacing w:val="-3"/>
        </w:rPr>
        <w:t> </w:t>
      </w:r>
      <w:r>
        <w:rPr/>
        <w:t>%</w:t>
      </w:r>
      <w:r>
        <w:rPr>
          <w:spacing w:val="-4"/>
        </w:rPr>
        <w:t> </w:t>
      </w:r>
      <w:r>
        <w:rPr/>
        <w:t>of</w:t>
      </w:r>
      <w:r>
        <w:rPr>
          <w:spacing w:val="-3"/>
        </w:rPr>
        <w:t> </w:t>
      </w:r>
      <w:r>
        <w:rPr/>
        <w:t>the</w:t>
      </w:r>
      <w:r>
        <w:rPr>
          <w:spacing w:val="-5"/>
        </w:rPr>
        <w:t> </w:t>
      </w:r>
      <w:r>
        <w:rPr/>
        <w:t>mean</w:t>
      </w:r>
      <w:r>
        <w:rPr>
          <w:spacing w:val="-3"/>
        </w:rPr>
        <w:t> </w:t>
      </w:r>
      <w:r>
        <w:rPr/>
        <w:t>percentage </w:t>
      </w:r>
      <w:r>
        <w:rPr>
          <w:spacing w:val="-2"/>
        </w:rPr>
        <w:t>deviation</w:t>
      </w:r>
    </w:p>
    <w:p>
      <w:pPr>
        <w:spacing w:after="0"/>
        <w:sectPr>
          <w:pgSz w:w="12240" w:h="15840"/>
          <w:pgMar w:header="0" w:footer="1068" w:top="1540" w:bottom="1260" w:left="1420" w:right="440"/>
        </w:sectPr>
      </w:pPr>
    </w:p>
    <w:p>
      <w:pPr>
        <w:pStyle w:val="Heading2"/>
        <w:numPr>
          <w:ilvl w:val="2"/>
          <w:numId w:val="22"/>
        </w:numPr>
        <w:tabs>
          <w:tab w:pos="920" w:val="left" w:leader="none"/>
        </w:tabs>
        <w:spacing w:line="240" w:lineRule="auto" w:before="77" w:after="0"/>
        <w:ind w:left="920" w:right="0" w:hanging="540"/>
        <w:jc w:val="left"/>
      </w:pPr>
      <w:bookmarkStart w:name="_TOC_250024" w:id="60"/>
      <w:bookmarkEnd w:id="60"/>
      <w:r>
        <w:rPr>
          <w:spacing w:val="-2"/>
        </w:rPr>
        <w:t>Friability</w:t>
      </w:r>
    </w:p>
    <w:p>
      <w:pPr>
        <w:pStyle w:val="BodyText"/>
        <w:spacing w:before="79"/>
        <w:rPr>
          <w:b/>
        </w:rPr>
      </w:pPr>
    </w:p>
    <w:p>
      <w:pPr>
        <w:pStyle w:val="BodyText"/>
        <w:spacing w:line="480" w:lineRule="auto"/>
        <w:ind w:left="380" w:right="1175"/>
      </w:pPr>
      <w:r>
        <w:rPr/>
        <w:t>All</w:t>
      </w:r>
      <w:r>
        <w:rPr>
          <w:spacing w:val="40"/>
        </w:rPr>
        <w:t> </w:t>
      </w:r>
      <w:r>
        <w:rPr/>
        <w:t>the</w:t>
      </w:r>
      <w:r>
        <w:rPr>
          <w:spacing w:val="40"/>
        </w:rPr>
        <w:t> </w:t>
      </w:r>
      <w:r>
        <w:rPr/>
        <w:t>samples</w:t>
      </w:r>
      <w:r>
        <w:rPr>
          <w:spacing w:val="40"/>
        </w:rPr>
        <w:t> </w:t>
      </w:r>
      <w:r>
        <w:rPr/>
        <w:t>passed</w:t>
      </w:r>
      <w:r>
        <w:rPr>
          <w:spacing w:val="40"/>
        </w:rPr>
        <w:t> </w:t>
      </w:r>
      <w:r>
        <w:rPr/>
        <w:t>the</w:t>
      </w:r>
      <w:r>
        <w:rPr>
          <w:spacing w:val="40"/>
        </w:rPr>
        <w:t> </w:t>
      </w:r>
      <w:r>
        <w:rPr/>
        <w:t>friability</w:t>
      </w:r>
      <w:r>
        <w:rPr>
          <w:spacing w:val="39"/>
        </w:rPr>
        <w:t> </w:t>
      </w:r>
      <w:r>
        <w:rPr/>
        <w:t>test</w:t>
      </w:r>
      <w:r>
        <w:rPr>
          <w:spacing w:val="40"/>
        </w:rPr>
        <w:t> </w:t>
      </w:r>
      <w:r>
        <w:rPr/>
        <w:t>with</w:t>
      </w:r>
      <w:r>
        <w:rPr>
          <w:spacing w:val="40"/>
        </w:rPr>
        <w:t> </w:t>
      </w:r>
      <w:r>
        <w:rPr/>
        <w:t>percentage</w:t>
      </w:r>
      <w:r>
        <w:rPr>
          <w:spacing w:val="40"/>
        </w:rPr>
        <w:t> </w:t>
      </w:r>
      <w:r>
        <w:rPr/>
        <w:t>friability’s</w:t>
      </w:r>
      <w:r>
        <w:rPr>
          <w:spacing w:val="40"/>
        </w:rPr>
        <w:t> </w:t>
      </w:r>
      <w:r>
        <w:rPr/>
        <w:t>of</w:t>
      </w:r>
      <w:r>
        <w:rPr>
          <w:spacing w:val="40"/>
        </w:rPr>
        <w:t> </w:t>
      </w:r>
      <w:r>
        <w:rPr/>
        <w:t>less</w:t>
      </w:r>
      <w:r>
        <w:rPr>
          <w:spacing w:val="40"/>
        </w:rPr>
        <w:t> </w:t>
      </w:r>
      <w:r>
        <w:rPr/>
        <w:t>than</w:t>
      </w:r>
      <w:r>
        <w:rPr>
          <w:spacing w:val="40"/>
        </w:rPr>
        <w:t> </w:t>
      </w:r>
      <w:r>
        <w:rPr/>
        <w:t>1</w:t>
      </w:r>
      <w:r>
        <w:rPr>
          <w:spacing w:val="-2"/>
        </w:rPr>
        <w:t> </w:t>
      </w:r>
      <w:r>
        <w:rPr/>
        <w:t>% weight difference as shown in table 4.5</w:t>
      </w:r>
    </w:p>
    <w:p>
      <w:pPr>
        <w:pStyle w:val="Heading2"/>
        <w:spacing w:before="125"/>
      </w:pPr>
      <w:r>
        <w:rPr/>
        <w:t>Table</w:t>
      </w:r>
      <w:r>
        <w:rPr>
          <w:spacing w:val="-4"/>
        </w:rPr>
        <w:t> </w:t>
      </w:r>
      <w:r>
        <w:rPr/>
        <w:t>4.5:</w:t>
      </w:r>
      <w:r>
        <w:rPr>
          <w:spacing w:val="-2"/>
        </w:rPr>
        <w:t> </w:t>
      </w:r>
      <w:r>
        <w:rPr/>
        <w:t>Friability</w:t>
      </w:r>
      <w:r>
        <w:rPr>
          <w:spacing w:val="-1"/>
        </w:rPr>
        <w:t> </w:t>
      </w:r>
      <w:r>
        <w:rPr>
          <w:spacing w:val="-4"/>
        </w:rPr>
        <w:t>test</w:t>
      </w:r>
    </w:p>
    <w:p>
      <w:pPr>
        <w:pStyle w:val="BodyText"/>
        <w:spacing w:before="25"/>
        <w:rPr>
          <w:b/>
          <w:sz w:val="20"/>
        </w:rPr>
      </w:pPr>
      <w:r>
        <w:rPr/>
        <mc:AlternateContent>
          <mc:Choice Requires="wps">
            <w:drawing>
              <wp:anchor distT="0" distB="0" distL="0" distR="0" allowOverlap="1" layoutInCell="1" locked="0" behindDoc="1" simplePos="0" relativeHeight="487597568">
                <wp:simplePos x="0" y="0"/>
                <wp:positionH relativeFrom="page">
                  <wp:posOffset>1125016</wp:posOffset>
                </wp:positionH>
                <wp:positionV relativeFrom="paragraph">
                  <wp:posOffset>177523</wp:posOffset>
                </wp:positionV>
                <wp:extent cx="5582285" cy="63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582285" cy="6350"/>
                        </a:xfrm>
                        <a:custGeom>
                          <a:avLst/>
                          <a:gdLst/>
                          <a:ahLst/>
                          <a:cxnLst/>
                          <a:rect l="l" t="t" r="r" b="b"/>
                          <a:pathLst>
                            <a:path w="5582285" h="6350">
                              <a:moveTo>
                                <a:pt x="5581777" y="0"/>
                              </a:moveTo>
                              <a:lnTo>
                                <a:pt x="0" y="0"/>
                              </a:lnTo>
                              <a:lnTo>
                                <a:pt x="0" y="6096"/>
                              </a:lnTo>
                              <a:lnTo>
                                <a:pt x="5581777" y="6096"/>
                              </a:lnTo>
                              <a:lnTo>
                                <a:pt x="5581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84pt;margin-top:13.978203pt;width:439.51pt;height:.48pt;mso-position-horizontal-relative:page;mso-position-vertical-relative:paragraph;z-index:-15718912;mso-wrap-distance-left:0;mso-wrap-distance-right:0" id="docshape20" filled="true" fillcolor="#000000" stroked="false">
                <v:fill type="solid"/>
                <w10:wrap type="topAndBottom"/>
              </v:rect>
            </w:pict>
          </mc:Fallback>
        </mc:AlternateContent>
      </w:r>
    </w:p>
    <w:p>
      <w:pPr>
        <w:pStyle w:val="BodyText"/>
        <w:spacing w:before="120"/>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1"/>
        <w:gridCol w:w="1338"/>
        <w:gridCol w:w="2167"/>
        <w:gridCol w:w="1934"/>
        <w:gridCol w:w="1658"/>
        <w:gridCol w:w="1422"/>
      </w:tblGrid>
      <w:tr>
        <w:trPr>
          <w:trHeight w:val="544" w:hRule="atLeast"/>
        </w:trPr>
        <w:tc>
          <w:tcPr>
            <w:tcW w:w="671" w:type="dxa"/>
            <w:tcBorders>
              <w:bottom w:val="single" w:sz="4" w:space="0" w:color="000000"/>
            </w:tcBorders>
          </w:tcPr>
          <w:p>
            <w:pPr>
              <w:pStyle w:val="TableParagraph"/>
              <w:spacing w:line="266" w:lineRule="exact"/>
              <w:ind w:left="108"/>
              <w:rPr>
                <w:b/>
                <w:sz w:val="24"/>
              </w:rPr>
            </w:pPr>
            <w:r>
              <w:rPr>
                <w:b/>
                <w:spacing w:val="-4"/>
                <w:sz w:val="24"/>
              </w:rPr>
              <w:t>S/no</w:t>
            </w:r>
          </w:p>
        </w:tc>
        <w:tc>
          <w:tcPr>
            <w:tcW w:w="1338" w:type="dxa"/>
            <w:tcBorders>
              <w:bottom w:val="single" w:sz="4" w:space="0" w:color="000000"/>
            </w:tcBorders>
          </w:tcPr>
          <w:p>
            <w:pPr>
              <w:pStyle w:val="TableParagraph"/>
              <w:spacing w:line="266" w:lineRule="exact"/>
              <w:ind w:left="106"/>
              <w:rPr>
                <w:b/>
                <w:sz w:val="24"/>
              </w:rPr>
            </w:pPr>
            <w:r>
              <w:rPr>
                <w:b/>
                <w:spacing w:val="-2"/>
                <w:sz w:val="24"/>
              </w:rPr>
              <w:t>Samples</w:t>
            </w:r>
          </w:p>
        </w:tc>
        <w:tc>
          <w:tcPr>
            <w:tcW w:w="2167" w:type="dxa"/>
            <w:tcBorders>
              <w:bottom w:val="single" w:sz="4" w:space="0" w:color="000000"/>
            </w:tcBorders>
          </w:tcPr>
          <w:p>
            <w:pPr>
              <w:pStyle w:val="TableParagraph"/>
              <w:spacing w:line="266" w:lineRule="exact"/>
              <w:ind w:left="276"/>
              <w:rPr>
                <w:b/>
                <w:sz w:val="24"/>
              </w:rPr>
            </w:pPr>
            <w:r>
              <w:rPr>
                <w:b/>
                <w:sz w:val="24"/>
              </w:rPr>
              <w:t>Initial</w:t>
            </w:r>
            <w:r>
              <w:rPr>
                <w:b/>
                <w:spacing w:val="-2"/>
                <w:sz w:val="24"/>
              </w:rPr>
              <w:t> </w:t>
            </w:r>
            <w:r>
              <w:rPr>
                <w:b/>
                <w:sz w:val="24"/>
              </w:rPr>
              <w:t>weight</w:t>
            </w:r>
            <w:r>
              <w:rPr>
                <w:b/>
                <w:spacing w:val="1"/>
                <w:sz w:val="24"/>
              </w:rPr>
              <w:t> </w:t>
            </w:r>
            <w:r>
              <w:rPr>
                <w:b/>
                <w:spacing w:val="-5"/>
                <w:sz w:val="24"/>
              </w:rPr>
              <w:t>(g)</w:t>
            </w:r>
          </w:p>
        </w:tc>
        <w:tc>
          <w:tcPr>
            <w:tcW w:w="1934" w:type="dxa"/>
            <w:tcBorders>
              <w:bottom w:val="single" w:sz="4" w:space="0" w:color="000000"/>
            </w:tcBorders>
          </w:tcPr>
          <w:p>
            <w:pPr>
              <w:pStyle w:val="TableParagraph"/>
              <w:spacing w:line="266" w:lineRule="exact"/>
              <w:ind w:left="180"/>
              <w:rPr>
                <w:b/>
                <w:sz w:val="24"/>
              </w:rPr>
            </w:pPr>
            <w:r>
              <w:rPr>
                <w:b/>
                <w:sz w:val="24"/>
              </w:rPr>
              <w:t>Final weight </w:t>
            </w:r>
            <w:r>
              <w:rPr>
                <w:b/>
                <w:spacing w:val="-5"/>
                <w:sz w:val="24"/>
              </w:rPr>
              <w:t>(g)</w:t>
            </w:r>
          </w:p>
        </w:tc>
        <w:tc>
          <w:tcPr>
            <w:tcW w:w="1658" w:type="dxa"/>
            <w:tcBorders>
              <w:bottom w:val="single" w:sz="4" w:space="0" w:color="000000"/>
            </w:tcBorders>
          </w:tcPr>
          <w:p>
            <w:pPr>
              <w:pStyle w:val="TableParagraph"/>
              <w:spacing w:line="266" w:lineRule="exact"/>
              <w:ind w:left="135"/>
              <w:rPr>
                <w:b/>
                <w:sz w:val="24"/>
              </w:rPr>
            </w:pPr>
            <w:r>
              <w:rPr>
                <w:b/>
                <w:sz w:val="24"/>
              </w:rPr>
              <w:t>Difference</w:t>
            </w:r>
            <w:r>
              <w:rPr>
                <w:b/>
                <w:spacing w:val="-3"/>
                <w:sz w:val="24"/>
              </w:rPr>
              <w:t> </w:t>
            </w:r>
            <w:r>
              <w:rPr>
                <w:b/>
                <w:spacing w:val="-5"/>
                <w:sz w:val="24"/>
              </w:rPr>
              <w:t>(g)</w:t>
            </w:r>
          </w:p>
        </w:tc>
        <w:tc>
          <w:tcPr>
            <w:tcW w:w="1422" w:type="dxa"/>
            <w:tcBorders>
              <w:bottom w:val="single" w:sz="4" w:space="0" w:color="000000"/>
            </w:tcBorders>
          </w:tcPr>
          <w:p>
            <w:pPr>
              <w:pStyle w:val="TableParagraph"/>
              <w:spacing w:line="266" w:lineRule="exact"/>
              <w:ind w:left="112"/>
              <w:rPr>
                <w:b/>
                <w:sz w:val="24"/>
              </w:rPr>
            </w:pPr>
            <w:r>
              <w:rPr>
                <w:b/>
                <w:spacing w:val="-2"/>
                <w:sz w:val="24"/>
              </w:rPr>
              <w:t>Percentage</w:t>
            </w:r>
          </w:p>
        </w:tc>
      </w:tr>
      <w:tr>
        <w:trPr>
          <w:trHeight w:val="1024" w:hRule="atLeast"/>
        </w:trPr>
        <w:tc>
          <w:tcPr>
            <w:tcW w:w="671" w:type="dxa"/>
            <w:tcBorders>
              <w:top w:val="single" w:sz="4" w:space="0" w:color="000000"/>
            </w:tcBorders>
          </w:tcPr>
          <w:p>
            <w:pPr>
              <w:pStyle w:val="TableParagraph"/>
              <w:spacing w:line="240" w:lineRule="auto" w:before="273"/>
              <w:rPr>
                <w:b/>
                <w:sz w:val="24"/>
              </w:rPr>
            </w:pPr>
          </w:p>
          <w:p>
            <w:pPr>
              <w:pStyle w:val="TableParagraph"/>
              <w:spacing w:line="240" w:lineRule="auto"/>
              <w:ind w:left="108"/>
              <w:rPr>
                <w:b/>
                <w:sz w:val="24"/>
              </w:rPr>
            </w:pPr>
            <w:r>
              <w:rPr>
                <w:b/>
                <w:spacing w:val="-10"/>
                <w:sz w:val="24"/>
              </w:rPr>
              <w:t>1</w:t>
            </w:r>
          </w:p>
        </w:tc>
        <w:tc>
          <w:tcPr>
            <w:tcW w:w="1338" w:type="dxa"/>
            <w:tcBorders>
              <w:top w:val="single" w:sz="4" w:space="0" w:color="000000"/>
            </w:tcBorders>
          </w:tcPr>
          <w:p>
            <w:pPr>
              <w:pStyle w:val="TableParagraph"/>
              <w:spacing w:line="240" w:lineRule="auto" w:before="268"/>
              <w:rPr>
                <w:b/>
                <w:sz w:val="24"/>
              </w:rPr>
            </w:pPr>
          </w:p>
          <w:p>
            <w:pPr>
              <w:pStyle w:val="TableParagraph"/>
              <w:spacing w:line="240" w:lineRule="auto"/>
              <w:ind w:left="106"/>
              <w:rPr>
                <w:sz w:val="24"/>
              </w:rPr>
            </w:pPr>
            <w:r>
              <w:rPr>
                <w:sz w:val="24"/>
              </w:rPr>
              <w:t>Sample</w:t>
            </w:r>
            <w:r>
              <w:rPr>
                <w:spacing w:val="-2"/>
                <w:sz w:val="24"/>
              </w:rPr>
              <w:t> </w:t>
            </w:r>
            <w:r>
              <w:rPr>
                <w:spacing w:val="-10"/>
                <w:sz w:val="24"/>
              </w:rPr>
              <w:t>A</w:t>
            </w:r>
          </w:p>
        </w:tc>
        <w:tc>
          <w:tcPr>
            <w:tcW w:w="2167" w:type="dxa"/>
            <w:tcBorders>
              <w:top w:val="single" w:sz="4" w:space="0" w:color="000000"/>
            </w:tcBorders>
          </w:tcPr>
          <w:p>
            <w:pPr>
              <w:pStyle w:val="TableParagraph"/>
              <w:spacing w:line="240" w:lineRule="auto" w:before="268"/>
              <w:rPr>
                <w:b/>
                <w:sz w:val="24"/>
              </w:rPr>
            </w:pPr>
          </w:p>
          <w:p>
            <w:pPr>
              <w:pStyle w:val="TableParagraph"/>
              <w:spacing w:line="240" w:lineRule="auto"/>
              <w:ind w:left="276"/>
              <w:rPr>
                <w:sz w:val="24"/>
              </w:rPr>
            </w:pPr>
            <w:r>
              <w:rPr>
                <w:spacing w:val="-4"/>
                <w:sz w:val="24"/>
              </w:rPr>
              <w:t>3.40</w:t>
            </w:r>
          </w:p>
        </w:tc>
        <w:tc>
          <w:tcPr>
            <w:tcW w:w="1934" w:type="dxa"/>
            <w:tcBorders>
              <w:top w:val="single" w:sz="4" w:space="0" w:color="000000"/>
            </w:tcBorders>
          </w:tcPr>
          <w:p>
            <w:pPr>
              <w:pStyle w:val="TableParagraph"/>
              <w:spacing w:line="240" w:lineRule="auto" w:before="268"/>
              <w:rPr>
                <w:b/>
                <w:sz w:val="24"/>
              </w:rPr>
            </w:pPr>
          </w:p>
          <w:p>
            <w:pPr>
              <w:pStyle w:val="TableParagraph"/>
              <w:spacing w:line="240" w:lineRule="auto"/>
              <w:ind w:left="180"/>
              <w:rPr>
                <w:sz w:val="24"/>
              </w:rPr>
            </w:pPr>
            <w:r>
              <w:rPr>
                <w:spacing w:val="-4"/>
                <w:sz w:val="24"/>
              </w:rPr>
              <w:t>3.40</w:t>
            </w:r>
          </w:p>
        </w:tc>
        <w:tc>
          <w:tcPr>
            <w:tcW w:w="1658" w:type="dxa"/>
            <w:tcBorders>
              <w:top w:val="single" w:sz="4" w:space="0" w:color="000000"/>
            </w:tcBorders>
          </w:tcPr>
          <w:p>
            <w:pPr>
              <w:pStyle w:val="TableParagraph"/>
              <w:spacing w:line="240" w:lineRule="auto" w:before="268"/>
              <w:rPr>
                <w:b/>
                <w:sz w:val="24"/>
              </w:rPr>
            </w:pPr>
          </w:p>
          <w:p>
            <w:pPr>
              <w:pStyle w:val="TableParagraph"/>
              <w:spacing w:line="240" w:lineRule="auto"/>
              <w:ind w:left="135"/>
              <w:rPr>
                <w:sz w:val="24"/>
              </w:rPr>
            </w:pPr>
            <w:r>
              <w:rPr>
                <w:spacing w:val="-4"/>
                <w:sz w:val="24"/>
              </w:rPr>
              <w:t>0.00</w:t>
            </w:r>
          </w:p>
        </w:tc>
        <w:tc>
          <w:tcPr>
            <w:tcW w:w="1422" w:type="dxa"/>
            <w:tcBorders>
              <w:top w:val="single" w:sz="4" w:space="0" w:color="000000"/>
            </w:tcBorders>
          </w:tcPr>
          <w:p>
            <w:pPr>
              <w:pStyle w:val="TableParagraph"/>
              <w:spacing w:line="240" w:lineRule="auto" w:before="268"/>
              <w:rPr>
                <w:b/>
                <w:sz w:val="24"/>
              </w:rPr>
            </w:pPr>
          </w:p>
          <w:p>
            <w:pPr>
              <w:pStyle w:val="TableParagraph"/>
              <w:spacing w:line="240" w:lineRule="auto"/>
              <w:ind w:left="112"/>
              <w:rPr>
                <w:sz w:val="24"/>
              </w:rPr>
            </w:pPr>
            <w:r>
              <w:rPr>
                <w:spacing w:val="-4"/>
                <w:sz w:val="24"/>
              </w:rPr>
              <w:t>0.00</w:t>
            </w:r>
          </w:p>
        </w:tc>
      </w:tr>
      <w:tr>
        <w:trPr>
          <w:trHeight w:val="661" w:hRule="atLeast"/>
        </w:trPr>
        <w:tc>
          <w:tcPr>
            <w:tcW w:w="671" w:type="dxa"/>
          </w:tcPr>
          <w:p>
            <w:pPr>
              <w:pStyle w:val="TableParagraph"/>
              <w:spacing w:line="240" w:lineRule="auto" w:before="194"/>
              <w:ind w:left="108"/>
              <w:rPr>
                <w:b/>
                <w:sz w:val="24"/>
              </w:rPr>
            </w:pPr>
            <w:r>
              <w:rPr>
                <w:b/>
                <w:spacing w:val="-10"/>
                <w:sz w:val="24"/>
              </w:rPr>
              <w:t>2</w:t>
            </w:r>
          </w:p>
        </w:tc>
        <w:tc>
          <w:tcPr>
            <w:tcW w:w="1338" w:type="dxa"/>
          </w:tcPr>
          <w:p>
            <w:pPr>
              <w:pStyle w:val="TableParagraph"/>
              <w:spacing w:line="240" w:lineRule="auto" w:before="189"/>
              <w:ind w:left="106"/>
              <w:rPr>
                <w:sz w:val="24"/>
              </w:rPr>
            </w:pPr>
            <w:r>
              <w:rPr>
                <w:sz w:val="24"/>
              </w:rPr>
              <w:t>Sample</w:t>
            </w:r>
            <w:r>
              <w:rPr>
                <w:spacing w:val="-2"/>
                <w:sz w:val="24"/>
              </w:rPr>
              <w:t> </w:t>
            </w:r>
            <w:r>
              <w:rPr>
                <w:spacing w:val="-10"/>
                <w:sz w:val="24"/>
              </w:rPr>
              <w:t>B</w:t>
            </w:r>
          </w:p>
        </w:tc>
        <w:tc>
          <w:tcPr>
            <w:tcW w:w="2167" w:type="dxa"/>
          </w:tcPr>
          <w:p>
            <w:pPr>
              <w:pStyle w:val="TableParagraph"/>
              <w:spacing w:line="240" w:lineRule="auto" w:before="189"/>
              <w:ind w:left="276"/>
              <w:rPr>
                <w:sz w:val="24"/>
              </w:rPr>
            </w:pPr>
            <w:r>
              <w:rPr>
                <w:spacing w:val="-4"/>
                <w:sz w:val="24"/>
              </w:rPr>
              <w:t>3.88</w:t>
            </w:r>
          </w:p>
        </w:tc>
        <w:tc>
          <w:tcPr>
            <w:tcW w:w="1934" w:type="dxa"/>
          </w:tcPr>
          <w:p>
            <w:pPr>
              <w:pStyle w:val="TableParagraph"/>
              <w:spacing w:line="240" w:lineRule="auto" w:before="189"/>
              <w:ind w:left="180"/>
              <w:rPr>
                <w:sz w:val="24"/>
              </w:rPr>
            </w:pPr>
            <w:r>
              <w:rPr>
                <w:spacing w:val="-4"/>
                <w:sz w:val="24"/>
              </w:rPr>
              <w:t>3.88</w:t>
            </w:r>
          </w:p>
        </w:tc>
        <w:tc>
          <w:tcPr>
            <w:tcW w:w="1658" w:type="dxa"/>
          </w:tcPr>
          <w:p>
            <w:pPr>
              <w:pStyle w:val="TableParagraph"/>
              <w:spacing w:line="240" w:lineRule="auto" w:before="189"/>
              <w:ind w:left="135"/>
              <w:rPr>
                <w:sz w:val="24"/>
              </w:rPr>
            </w:pPr>
            <w:r>
              <w:rPr>
                <w:spacing w:val="-4"/>
                <w:sz w:val="24"/>
              </w:rPr>
              <w:t>0.00</w:t>
            </w:r>
          </w:p>
        </w:tc>
        <w:tc>
          <w:tcPr>
            <w:tcW w:w="1422" w:type="dxa"/>
          </w:tcPr>
          <w:p>
            <w:pPr>
              <w:pStyle w:val="TableParagraph"/>
              <w:spacing w:line="240" w:lineRule="auto" w:before="189"/>
              <w:ind w:left="112"/>
              <w:rPr>
                <w:sz w:val="24"/>
              </w:rPr>
            </w:pPr>
            <w:r>
              <w:rPr>
                <w:spacing w:val="-4"/>
                <w:sz w:val="24"/>
              </w:rPr>
              <w:t>0.00</w:t>
            </w:r>
          </w:p>
        </w:tc>
      </w:tr>
      <w:tr>
        <w:trPr>
          <w:trHeight w:val="652" w:hRule="atLeast"/>
        </w:trPr>
        <w:tc>
          <w:tcPr>
            <w:tcW w:w="671" w:type="dxa"/>
          </w:tcPr>
          <w:p>
            <w:pPr>
              <w:pStyle w:val="TableParagraph"/>
              <w:spacing w:line="240" w:lineRule="auto" w:before="185"/>
              <w:ind w:left="108"/>
              <w:rPr>
                <w:b/>
                <w:sz w:val="24"/>
              </w:rPr>
            </w:pPr>
            <w:r>
              <w:rPr>
                <w:b/>
                <w:spacing w:val="-10"/>
                <w:sz w:val="24"/>
              </w:rPr>
              <w:t>3</w:t>
            </w:r>
          </w:p>
        </w:tc>
        <w:tc>
          <w:tcPr>
            <w:tcW w:w="1338" w:type="dxa"/>
          </w:tcPr>
          <w:p>
            <w:pPr>
              <w:pStyle w:val="TableParagraph"/>
              <w:spacing w:line="240" w:lineRule="auto" w:before="181"/>
              <w:ind w:left="106"/>
              <w:rPr>
                <w:sz w:val="24"/>
              </w:rPr>
            </w:pPr>
            <w:r>
              <w:rPr>
                <w:sz w:val="24"/>
              </w:rPr>
              <w:t>Sample</w:t>
            </w:r>
            <w:r>
              <w:rPr>
                <w:spacing w:val="-2"/>
                <w:sz w:val="24"/>
              </w:rPr>
              <w:t> </w:t>
            </w:r>
            <w:r>
              <w:rPr>
                <w:spacing w:val="-10"/>
                <w:sz w:val="24"/>
              </w:rPr>
              <w:t>C</w:t>
            </w:r>
          </w:p>
        </w:tc>
        <w:tc>
          <w:tcPr>
            <w:tcW w:w="2167" w:type="dxa"/>
          </w:tcPr>
          <w:p>
            <w:pPr>
              <w:pStyle w:val="TableParagraph"/>
              <w:spacing w:line="240" w:lineRule="auto" w:before="181"/>
              <w:ind w:left="276"/>
              <w:rPr>
                <w:sz w:val="24"/>
              </w:rPr>
            </w:pPr>
            <w:r>
              <w:rPr>
                <w:spacing w:val="-4"/>
                <w:sz w:val="24"/>
              </w:rPr>
              <w:t>3.38</w:t>
            </w:r>
          </w:p>
        </w:tc>
        <w:tc>
          <w:tcPr>
            <w:tcW w:w="1934" w:type="dxa"/>
          </w:tcPr>
          <w:p>
            <w:pPr>
              <w:pStyle w:val="TableParagraph"/>
              <w:spacing w:line="240" w:lineRule="auto" w:before="181"/>
              <w:ind w:left="180"/>
              <w:rPr>
                <w:sz w:val="24"/>
              </w:rPr>
            </w:pPr>
            <w:r>
              <w:rPr>
                <w:spacing w:val="-4"/>
                <w:sz w:val="24"/>
              </w:rPr>
              <w:t>3.37</w:t>
            </w:r>
          </w:p>
        </w:tc>
        <w:tc>
          <w:tcPr>
            <w:tcW w:w="1658" w:type="dxa"/>
          </w:tcPr>
          <w:p>
            <w:pPr>
              <w:pStyle w:val="TableParagraph"/>
              <w:spacing w:line="240" w:lineRule="auto" w:before="181"/>
              <w:ind w:left="135"/>
              <w:rPr>
                <w:sz w:val="24"/>
              </w:rPr>
            </w:pPr>
            <w:r>
              <w:rPr>
                <w:spacing w:val="-4"/>
                <w:sz w:val="24"/>
              </w:rPr>
              <w:t>0.01</w:t>
            </w:r>
          </w:p>
        </w:tc>
        <w:tc>
          <w:tcPr>
            <w:tcW w:w="1422" w:type="dxa"/>
          </w:tcPr>
          <w:p>
            <w:pPr>
              <w:pStyle w:val="TableParagraph"/>
              <w:spacing w:line="240" w:lineRule="auto" w:before="181"/>
              <w:ind w:left="112"/>
              <w:rPr>
                <w:sz w:val="24"/>
              </w:rPr>
            </w:pPr>
            <w:r>
              <w:rPr>
                <w:spacing w:val="-2"/>
                <w:sz w:val="24"/>
              </w:rPr>
              <w:t>0.296</w:t>
            </w:r>
          </w:p>
        </w:tc>
      </w:tr>
      <w:tr>
        <w:trPr>
          <w:trHeight w:val="461" w:hRule="atLeast"/>
        </w:trPr>
        <w:tc>
          <w:tcPr>
            <w:tcW w:w="671" w:type="dxa"/>
          </w:tcPr>
          <w:p>
            <w:pPr>
              <w:pStyle w:val="TableParagraph"/>
              <w:spacing w:line="256" w:lineRule="exact" w:before="185"/>
              <w:ind w:left="108"/>
              <w:rPr>
                <w:b/>
                <w:sz w:val="24"/>
              </w:rPr>
            </w:pPr>
            <w:r>
              <w:rPr>
                <w:b/>
                <w:spacing w:val="-10"/>
                <w:sz w:val="24"/>
              </w:rPr>
              <w:t>4</w:t>
            </w:r>
          </w:p>
        </w:tc>
        <w:tc>
          <w:tcPr>
            <w:tcW w:w="1338" w:type="dxa"/>
          </w:tcPr>
          <w:p>
            <w:pPr>
              <w:pStyle w:val="TableParagraph"/>
              <w:spacing w:line="261" w:lineRule="exact" w:before="181"/>
              <w:ind w:left="106"/>
              <w:rPr>
                <w:sz w:val="24"/>
              </w:rPr>
            </w:pPr>
            <w:r>
              <w:rPr>
                <w:sz w:val="24"/>
              </w:rPr>
              <w:t>Sample</w:t>
            </w:r>
            <w:r>
              <w:rPr>
                <w:spacing w:val="-2"/>
                <w:sz w:val="24"/>
              </w:rPr>
              <w:t> </w:t>
            </w:r>
            <w:r>
              <w:rPr>
                <w:spacing w:val="-10"/>
                <w:sz w:val="24"/>
              </w:rPr>
              <w:t>D</w:t>
            </w:r>
          </w:p>
        </w:tc>
        <w:tc>
          <w:tcPr>
            <w:tcW w:w="2167" w:type="dxa"/>
          </w:tcPr>
          <w:p>
            <w:pPr>
              <w:pStyle w:val="TableParagraph"/>
              <w:spacing w:line="261" w:lineRule="exact" w:before="181"/>
              <w:ind w:left="276"/>
              <w:rPr>
                <w:sz w:val="24"/>
              </w:rPr>
            </w:pPr>
            <w:r>
              <w:rPr>
                <w:spacing w:val="-4"/>
                <w:sz w:val="24"/>
              </w:rPr>
              <w:t>3.50</w:t>
            </w:r>
          </w:p>
        </w:tc>
        <w:tc>
          <w:tcPr>
            <w:tcW w:w="1934" w:type="dxa"/>
          </w:tcPr>
          <w:p>
            <w:pPr>
              <w:pStyle w:val="TableParagraph"/>
              <w:spacing w:line="261" w:lineRule="exact" w:before="181"/>
              <w:ind w:left="180"/>
              <w:rPr>
                <w:sz w:val="24"/>
              </w:rPr>
            </w:pPr>
            <w:r>
              <w:rPr>
                <w:spacing w:val="-4"/>
                <w:sz w:val="24"/>
              </w:rPr>
              <w:t>3.50</w:t>
            </w:r>
          </w:p>
        </w:tc>
        <w:tc>
          <w:tcPr>
            <w:tcW w:w="1658" w:type="dxa"/>
          </w:tcPr>
          <w:p>
            <w:pPr>
              <w:pStyle w:val="TableParagraph"/>
              <w:spacing w:line="261" w:lineRule="exact" w:before="181"/>
              <w:ind w:left="135"/>
              <w:rPr>
                <w:sz w:val="24"/>
              </w:rPr>
            </w:pPr>
            <w:r>
              <w:rPr>
                <w:spacing w:val="-4"/>
                <w:sz w:val="24"/>
              </w:rPr>
              <w:t>0.00</w:t>
            </w:r>
          </w:p>
        </w:tc>
        <w:tc>
          <w:tcPr>
            <w:tcW w:w="1422" w:type="dxa"/>
          </w:tcPr>
          <w:p>
            <w:pPr>
              <w:pStyle w:val="TableParagraph"/>
              <w:spacing w:line="261" w:lineRule="exact" w:before="181"/>
              <w:ind w:left="112"/>
              <w:rPr>
                <w:sz w:val="24"/>
              </w:rPr>
            </w:pPr>
            <w:r>
              <w:rPr>
                <w:spacing w:val="-4"/>
                <w:sz w:val="24"/>
              </w:rPr>
              <w:t>0.00</w:t>
            </w:r>
          </w:p>
        </w:tc>
      </w:tr>
    </w:tbl>
    <w:p>
      <w:pPr>
        <w:pStyle w:val="BodyText"/>
        <w:rPr>
          <w:b/>
        </w:rPr>
      </w:pPr>
    </w:p>
    <w:p>
      <w:pPr>
        <w:pStyle w:val="BodyText"/>
        <w:spacing w:before="118"/>
        <w:rPr>
          <w:b/>
        </w:rPr>
      </w:pPr>
    </w:p>
    <w:p>
      <w:pPr>
        <w:pStyle w:val="BodyText"/>
        <w:spacing w:before="1"/>
        <w:ind w:left="380" w:right="1363"/>
      </w:pPr>
      <w:r>
        <w:rPr>
          <w:b/>
        </w:rPr>
        <w:t>Note:</w:t>
      </w:r>
      <w:r>
        <w:rPr>
          <w:b/>
          <w:spacing w:val="-3"/>
        </w:rPr>
        <w:t> </w:t>
      </w:r>
      <w:r>
        <w:rPr/>
        <w:t>Normal</w:t>
      </w:r>
      <w:r>
        <w:rPr>
          <w:spacing w:val="-3"/>
        </w:rPr>
        <w:t> </w:t>
      </w:r>
      <w:r>
        <w:rPr/>
        <w:t>friability</w:t>
      </w:r>
      <w:r>
        <w:rPr>
          <w:spacing w:val="-7"/>
        </w:rPr>
        <w:t> </w:t>
      </w:r>
      <w:r>
        <w:rPr/>
        <w:t>value</w:t>
      </w:r>
      <w:r>
        <w:rPr>
          <w:spacing w:val="-3"/>
        </w:rPr>
        <w:t> </w:t>
      </w:r>
      <w:r>
        <w:rPr/>
        <w:t>for</w:t>
      </w:r>
      <w:r>
        <w:rPr>
          <w:spacing w:val="-3"/>
        </w:rPr>
        <w:t> </w:t>
      </w:r>
      <w:r>
        <w:rPr/>
        <w:t>uncoated</w:t>
      </w:r>
      <w:r>
        <w:rPr>
          <w:spacing w:val="-3"/>
        </w:rPr>
        <w:t> </w:t>
      </w:r>
      <w:r>
        <w:rPr/>
        <w:t>tablets</w:t>
      </w:r>
      <w:r>
        <w:rPr>
          <w:spacing w:val="-1"/>
        </w:rPr>
        <w:t> </w:t>
      </w:r>
      <w:r>
        <w:rPr/>
        <w:t>is less</w:t>
      </w:r>
      <w:r>
        <w:rPr>
          <w:spacing w:val="-3"/>
        </w:rPr>
        <w:t> </w:t>
      </w:r>
      <w:r>
        <w:rPr/>
        <w:t>than</w:t>
      </w:r>
      <w:r>
        <w:rPr>
          <w:spacing w:val="-3"/>
        </w:rPr>
        <w:t> </w:t>
      </w:r>
      <w:r>
        <w:rPr/>
        <w:t>1</w:t>
      </w:r>
      <w:r>
        <w:rPr>
          <w:spacing w:val="-3"/>
        </w:rPr>
        <w:t> </w:t>
      </w:r>
      <w:r>
        <w:rPr/>
        <w:t>%</w:t>
      </w:r>
      <w:r>
        <w:rPr>
          <w:spacing w:val="-3"/>
        </w:rPr>
        <w:t> </w:t>
      </w:r>
      <w:r>
        <w:rPr/>
        <w:t>of</w:t>
      </w:r>
      <w:r>
        <w:rPr>
          <w:spacing w:val="-4"/>
        </w:rPr>
        <w:t> </w:t>
      </w:r>
      <w:r>
        <w:rPr/>
        <w:t>the</w:t>
      </w:r>
      <w:r>
        <w:rPr>
          <w:spacing w:val="-3"/>
        </w:rPr>
        <w:t> </w:t>
      </w:r>
      <w:r>
        <w:rPr/>
        <w:t>tablet</w:t>
      </w:r>
      <w:r>
        <w:rPr>
          <w:spacing w:val="-2"/>
        </w:rPr>
        <w:t> </w:t>
      </w:r>
      <w:r>
        <w:rPr/>
        <w:t>initial </w:t>
      </w:r>
      <w:r>
        <w:rPr>
          <w:spacing w:val="-2"/>
        </w:rPr>
        <w:t>weight</w:t>
      </w:r>
    </w:p>
    <w:p>
      <w:pPr>
        <w:spacing w:after="0"/>
        <w:sectPr>
          <w:pgSz w:w="12240" w:h="15840"/>
          <w:pgMar w:header="0" w:footer="1068" w:top="1540" w:bottom="1260" w:left="1420" w:right="440"/>
        </w:sectPr>
      </w:pPr>
    </w:p>
    <w:p>
      <w:pPr>
        <w:pStyle w:val="Heading2"/>
        <w:numPr>
          <w:ilvl w:val="2"/>
          <w:numId w:val="22"/>
        </w:numPr>
        <w:tabs>
          <w:tab w:pos="919" w:val="left" w:leader="none"/>
        </w:tabs>
        <w:spacing w:line="240" w:lineRule="auto" w:before="77" w:after="0"/>
        <w:ind w:left="919" w:right="0" w:hanging="539"/>
        <w:jc w:val="left"/>
      </w:pPr>
      <w:bookmarkStart w:name="_TOC_250023" w:id="61"/>
      <w:r>
        <w:rPr/>
        <w:t>Disintegration</w:t>
      </w:r>
      <w:r>
        <w:rPr>
          <w:spacing w:val="-3"/>
        </w:rPr>
        <w:t> </w:t>
      </w:r>
      <w:bookmarkEnd w:id="61"/>
      <w:r>
        <w:rPr>
          <w:spacing w:val="-4"/>
        </w:rPr>
        <w:t>test</w:t>
      </w:r>
    </w:p>
    <w:p>
      <w:pPr>
        <w:pStyle w:val="BodyText"/>
        <w:spacing w:before="271"/>
        <w:ind w:left="380"/>
      </w:pPr>
      <w:r>
        <w:rPr/>
        <w:t>The</w:t>
      </w:r>
      <w:r>
        <w:rPr>
          <w:spacing w:val="-3"/>
        </w:rPr>
        <w:t> </w:t>
      </w:r>
      <w:r>
        <w:rPr/>
        <w:t>disintegration</w:t>
      </w:r>
      <w:r>
        <w:rPr>
          <w:spacing w:val="-1"/>
        </w:rPr>
        <w:t> </w:t>
      </w:r>
      <w:r>
        <w:rPr/>
        <w:t>test</w:t>
      </w:r>
      <w:r>
        <w:rPr>
          <w:spacing w:val="-1"/>
        </w:rPr>
        <w:t> </w:t>
      </w:r>
      <w:r>
        <w:rPr/>
        <w:t>result (in</w:t>
      </w:r>
      <w:r>
        <w:rPr>
          <w:spacing w:val="-1"/>
        </w:rPr>
        <w:t> </w:t>
      </w:r>
      <w:r>
        <w:rPr/>
        <w:t>minutes)</w:t>
      </w:r>
      <w:r>
        <w:rPr>
          <w:spacing w:val="-2"/>
        </w:rPr>
        <w:t> </w:t>
      </w:r>
      <w:r>
        <w:rPr/>
        <w:t>as</w:t>
      </w:r>
      <w:r>
        <w:rPr>
          <w:spacing w:val="-1"/>
        </w:rPr>
        <w:t> </w:t>
      </w:r>
      <w:r>
        <w:rPr/>
        <w:t>illustrated</w:t>
      </w:r>
      <w:r>
        <w:rPr>
          <w:spacing w:val="-1"/>
        </w:rPr>
        <w:t> </w:t>
      </w:r>
      <w:r>
        <w:rPr/>
        <w:t>in</w:t>
      </w:r>
      <w:r>
        <w:rPr>
          <w:spacing w:val="-1"/>
        </w:rPr>
        <w:t> </w:t>
      </w:r>
      <w:r>
        <w:rPr/>
        <w:t>Table</w:t>
      </w:r>
      <w:r>
        <w:rPr>
          <w:spacing w:val="-1"/>
        </w:rPr>
        <w:t> </w:t>
      </w:r>
      <w:r>
        <w:rPr>
          <w:spacing w:val="-5"/>
        </w:rPr>
        <w:t>4.6</w:t>
      </w:r>
    </w:p>
    <w:p>
      <w:pPr>
        <w:pStyle w:val="BodyText"/>
        <w:spacing w:before="5"/>
      </w:pPr>
    </w:p>
    <w:p>
      <w:pPr>
        <w:pStyle w:val="Heading2"/>
      </w:pPr>
      <w:r>
        <w:rPr/>
        <w:t>Table</w:t>
      </w:r>
      <w:r>
        <w:rPr>
          <w:spacing w:val="-2"/>
        </w:rPr>
        <w:t> </w:t>
      </w:r>
      <w:r>
        <w:rPr/>
        <w:t>4.6:</w:t>
      </w:r>
      <w:r>
        <w:rPr>
          <w:spacing w:val="-3"/>
        </w:rPr>
        <w:t> </w:t>
      </w:r>
      <w:r>
        <w:rPr/>
        <w:t>Disintegration</w:t>
      </w:r>
      <w:r>
        <w:rPr>
          <w:spacing w:val="-1"/>
        </w:rPr>
        <w:t> </w:t>
      </w:r>
      <w:r>
        <w:rPr/>
        <w:t>time</w:t>
      </w:r>
      <w:r>
        <w:rPr>
          <w:spacing w:val="-2"/>
        </w:rPr>
        <w:t> </w:t>
      </w:r>
      <w:r>
        <w:rPr/>
        <w:t>in</w:t>
      </w:r>
      <w:r>
        <w:rPr>
          <w:spacing w:val="2"/>
        </w:rPr>
        <w:t> </w:t>
      </w:r>
      <w:r>
        <w:rPr>
          <w:spacing w:val="-2"/>
        </w:rPr>
        <w:t>minutes.</w:t>
      </w:r>
    </w:p>
    <w:p>
      <w:pPr>
        <w:pStyle w:val="BodyText"/>
        <w:spacing w:before="49"/>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9"/>
        <w:gridCol w:w="1689"/>
        <w:gridCol w:w="1761"/>
        <w:gridCol w:w="2150"/>
        <w:gridCol w:w="1850"/>
      </w:tblGrid>
      <w:tr>
        <w:trPr>
          <w:trHeight w:val="416" w:hRule="atLeast"/>
        </w:trPr>
        <w:tc>
          <w:tcPr>
            <w:tcW w:w="1209" w:type="dxa"/>
            <w:tcBorders>
              <w:top w:val="single" w:sz="4" w:space="0" w:color="000000"/>
            </w:tcBorders>
          </w:tcPr>
          <w:p>
            <w:pPr>
              <w:pStyle w:val="TableParagraph"/>
              <w:ind w:left="5"/>
              <w:jc w:val="center"/>
              <w:rPr>
                <w:b/>
                <w:sz w:val="24"/>
              </w:rPr>
            </w:pPr>
            <w:r>
              <w:rPr>
                <w:b/>
                <w:spacing w:val="-4"/>
                <w:sz w:val="24"/>
              </w:rPr>
              <w:t>S/No</w:t>
            </w:r>
          </w:p>
        </w:tc>
        <w:tc>
          <w:tcPr>
            <w:tcW w:w="1689" w:type="dxa"/>
            <w:tcBorders>
              <w:top w:val="single" w:sz="4" w:space="0" w:color="000000"/>
            </w:tcBorders>
          </w:tcPr>
          <w:p>
            <w:pPr>
              <w:pStyle w:val="TableParagraph"/>
              <w:spacing w:line="240" w:lineRule="auto"/>
              <w:rPr>
                <w:sz w:val="24"/>
              </w:rPr>
            </w:pPr>
          </w:p>
        </w:tc>
        <w:tc>
          <w:tcPr>
            <w:tcW w:w="3911" w:type="dxa"/>
            <w:gridSpan w:val="2"/>
            <w:tcBorders>
              <w:top w:val="single" w:sz="4" w:space="0" w:color="000000"/>
            </w:tcBorders>
          </w:tcPr>
          <w:p>
            <w:pPr>
              <w:pStyle w:val="TableParagraph"/>
              <w:ind w:left="484"/>
              <w:rPr>
                <w:b/>
                <w:sz w:val="24"/>
              </w:rPr>
            </w:pPr>
            <w:r>
              <w:rPr>
                <w:b/>
                <w:sz w:val="24"/>
              </w:rPr>
              <w:t>Disintegration</w:t>
            </w:r>
            <w:r>
              <w:rPr>
                <w:b/>
                <w:spacing w:val="-4"/>
                <w:sz w:val="24"/>
              </w:rPr>
              <w:t> </w:t>
            </w:r>
            <w:r>
              <w:rPr>
                <w:b/>
                <w:sz w:val="24"/>
              </w:rPr>
              <w:t>times</w:t>
            </w:r>
            <w:r>
              <w:rPr>
                <w:b/>
                <w:spacing w:val="-3"/>
                <w:sz w:val="24"/>
              </w:rPr>
              <w:t> </w:t>
            </w:r>
            <w:r>
              <w:rPr>
                <w:b/>
                <w:spacing w:val="-2"/>
                <w:sz w:val="24"/>
              </w:rPr>
              <w:t>(minutes)</w:t>
            </w:r>
          </w:p>
        </w:tc>
        <w:tc>
          <w:tcPr>
            <w:tcW w:w="1850" w:type="dxa"/>
            <w:tcBorders>
              <w:top w:val="single" w:sz="4" w:space="0" w:color="000000"/>
            </w:tcBorders>
          </w:tcPr>
          <w:p>
            <w:pPr>
              <w:pStyle w:val="TableParagraph"/>
              <w:spacing w:line="240" w:lineRule="auto"/>
              <w:rPr>
                <w:sz w:val="24"/>
              </w:rPr>
            </w:pPr>
          </w:p>
        </w:tc>
      </w:tr>
      <w:tr>
        <w:trPr>
          <w:trHeight w:val="451" w:hRule="atLeast"/>
        </w:trPr>
        <w:tc>
          <w:tcPr>
            <w:tcW w:w="1209" w:type="dxa"/>
            <w:tcBorders>
              <w:bottom w:val="single" w:sz="4" w:space="0" w:color="000000"/>
            </w:tcBorders>
          </w:tcPr>
          <w:p>
            <w:pPr>
              <w:pStyle w:val="TableParagraph"/>
              <w:spacing w:line="240" w:lineRule="auto" w:before="134"/>
              <w:ind w:left="5" w:right="1"/>
              <w:jc w:val="center"/>
              <w:rPr>
                <w:b/>
                <w:sz w:val="24"/>
              </w:rPr>
            </w:pPr>
            <w:r>
              <w:rPr>
                <w:b/>
                <w:spacing w:val="-4"/>
                <w:sz w:val="24"/>
              </w:rPr>
              <w:t>Tabs</w:t>
            </w:r>
          </w:p>
        </w:tc>
        <w:tc>
          <w:tcPr>
            <w:tcW w:w="1689" w:type="dxa"/>
            <w:tcBorders>
              <w:bottom w:val="single" w:sz="4" w:space="0" w:color="000000"/>
            </w:tcBorders>
          </w:tcPr>
          <w:p>
            <w:pPr>
              <w:pStyle w:val="TableParagraph"/>
              <w:spacing w:line="240" w:lineRule="auto" w:before="134"/>
              <w:ind w:left="4" w:right="4"/>
              <w:jc w:val="center"/>
              <w:rPr>
                <w:b/>
                <w:sz w:val="24"/>
              </w:rPr>
            </w:pPr>
            <w:r>
              <w:rPr>
                <w:b/>
                <w:sz w:val="24"/>
              </w:rPr>
              <w:t>Sample</w:t>
            </w:r>
            <w:r>
              <w:rPr>
                <w:b/>
                <w:spacing w:val="-4"/>
                <w:sz w:val="24"/>
              </w:rPr>
              <w:t> </w:t>
            </w:r>
            <w:r>
              <w:rPr>
                <w:b/>
                <w:spacing w:val="-10"/>
                <w:sz w:val="24"/>
              </w:rPr>
              <w:t>A</w:t>
            </w:r>
          </w:p>
        </w:tc>
        <w:tc>
          <w:tcPr>
            <w:tcW w:w="1761" w:type="dxa"/>
            <w:tcBorders>
              <w:bottom w:val="single" w:sz="4" w:space="0" w:color="000000"/>
            </w:tcBorders>
          </w:tcPr>
          <w:p>
            <w:pPr>
              <w:pStyle w:val="TableParagraph"/>
              <w:spacing w:line="240" w:lineRule="auto" w:before="134"/>
              <w:ind w:left="1" w:right="82"/>
              <w:jc w:val="center"/>
              <w:rPr>
                <w:b/>
                <w:sz w:val="24"/>
              </w:rPr>
            </w:pPr>
            <w:r>
              <w:rPr>
                <w:b/>
                <w:sz w:val="24"/>
              </w:rPr>
              <w:t>Sample</w:t>
            </w:r>
            <w:r>
              <w:rPr>
                <w:b/>
                <w:spacing w:val="-4"/>
                <w:sz w:val="24"/>
              </w:rPr>
              <w:t> </w:t>
            </w:r>
            <w:r>
              <w:rPr>
                <w:b/>
                <w:spacing w:val="-10"/>
                <w:sz w:val="24"/>
              </w:rPr>
              <w:t>B</w:t>
            </w:r>
          </w:p>
        </w:tc>
        <w:tc>
          <w:tcPr>
            <w:tcW w:w="2150" w:type="dxa"/>
            <w:tcBorders>
              <w:bottom w:val="single" w:sz="4" w:space="0" w:color="000000"/>
            </w:tcBorders>
          </w:tcPr>
          <w:p>
            <w:pPr>
              <w:pStyle w:val="TableParagraph"/>
              <w:spacing w:line="240" w:lineRule="auto" w:before="134"/>
              <w:ind w:left="1" w:right="287"/>
              <w:jc w:val="center"/>
              <w:rPr>
                <w:b/>
                <w:sz w:val="24"/>
              </w:rPr>
            </w:pPr>
            <w:r>
              <w:rPr>
                <w:b/>
                <w:sz w:val="24"/>
              </w:rPr>
              <w:t>Sample</w:t>
            </w:r>
            <w:r>
              <w:rPr>
                <w:b/>
                <w:spacing w:val="-4"/>
                <w:sz w:val="24"/>
              </w:rPr>
              <w:t> </w:t>
            </w:r>
            <w:r>
              <w:rPr>
                <w:b/>
                <w:spacing w:val="-10"/>
                <w:sz w:val="24"/>
              </w:rPr>
              <w:t>C</w:t>
            </w:r>
          </w:p>
        </w:tc>
        <w:tc>
          <w:tcPr>
            <w:tcW w:w="1850" w:type="dxa"/>
            <w:tcBorders>
              <w:bottom w:val="single" w:sz="4" w:space="0" w:color="000000"/>
            </w:tcBorders>
          </w:tcPr>
          <w:p>
            <w:pPr>
              <w:pStyle w:val="TableParagraph"/>
              <w:spacing w:line="240" w:lineRule="auto" w:before="134"/>
              <w:ind w:right="206"/>
              <w:jc w:val="center"/>
              <w:rPr>
                <w:b/>
                <w:sz w:val="24"/>
              </w:rPr>
            </w:pPr>
            <w:r>
              <w:rPr>
                <w:b/>
                <w:sz w:val="24"/>
              </w:rPr>
              <w:t>Sample</w:t>
            </w:r>
            <w:r>
              <w:rPr>
                <w:b/>
                <w:spacing w:val="-4"/>
                <w:sz w:val="24"/>
              </w:rPr>
              <w:t> </w:t>
            </w:r>
            <w:r>
              <w:rPr>
                <w:b/>
                <w:spacing w:val="-10"/>
                <w:sz w:val="24"/>
              </w:rPr>
              <w:t>D</w:t>
            </w:r>
          </w:p>
        </w:tc>
      </w:tr>
      <w:tr>
        <w:trPr>
          <w:trHeight w:val="755" w:hRule="atLeast"/>
        </w:trPr>
        <w:tc>
          <w:tcPr>
            <w:tcW w:w="1209" w:type="dxa"/>
            <w:tcBorders>
              <w:top w:val="single" w:sz="4" w:space="0" w:color="000000"/>
            </w:tcBorders>
          </w:tcPr>
          <w:p>
            <w:pPr>
              <w:pStyle w:val="TableParagraph"/>
              <w:spacing w:line="240" w:lineRule="auto" w:before="42"/>
              <w:rPr>
                <w:b/>
                <w:sz w:val="24"/>
              </w:rPr>
            </w:pPr>
          </w:p>
          <w:p>
            <w:pPr>
              <w:pStyle w:val="TableParagraph"/>
              <w:spacing w:line="240" w:lineRule="auto"/>
              <w:ind w:left="5"/>
              <w:jc w:val="center"/>
              <w:rPr>
                <w:b/>
                <w:sz w:val="24"/>
              </w:rPr>
            </w:pPr>
            <w:r>
              <w:rPr>
                <w:b/>
                <w:spacing w:val="-10"/>
                <w:sz w:val="24"/>
              </w:rPr>
              <w:t>1</w:t>
            </w:r>
          </w:p>
        </w:tc>
        <w:tc>
          <w:tcPr>
            <w:tcW w:w="1689" w:type="dxa"/>
            <w:tcBorders>
              <w:top w:val="single" w:sz="4" w:space="0" w:color="000000"/>
            </w:tcBorders>
          </w:tcPr>
          <w:p>
            <w:pPr>
              <w:pStyle w:val="TableParagraph"/>
              <w:spacing w:line="240" w:lineRule="auto" w:before="42"/>
              <w:rPr>
                <w:b/>
                <w:sz w:val="24"/>
              </w:rPr>
            </w:pPr>
          </w:p>
          <w:p>
            <w:pPr>
              <w:pStyle w:val="TableParagraph"/>
              <w:spacing w:line="240" w:lineRule="auto"/>
              <w:ind w:left="4"/>
              <w:jc w:val="center"/>
              <w:rPr>
                <w:b/>
                <w:sz w:val="24"/>
              </w:rPr>
            </w:pPr>
            <w:r>
              <w:rPr>
                <w:b/>
                <w:spacing w:val="-4"/>
                <w:sz w:val="24"/>
              </w:rPr>
              <w:t>4.38</w:t>
            </w:r>
          </w:p>
        </w:tc>
        <w:tc>
          <w:tcPr>
            <w:tcW w:w="1761" w:type="dxa"/>
            <w:tcBorders>
              <w:top w:val="single" w:sz="4" w:space="0" w:color="000000"/>
            </w:tcBorders>
          </w:tcPr>
          <w:p>
            <w:pPr>
              <w:pStyle w:val="TableParagraph"/>
              <w:spacing w:line="240" w:lineRule="auto" w:before="42"/>
              <w:rPr>
                <w:b/>
                <w:sz w:val="24"/>
              </w:rPr>
            </w:pPr>
          </w:p>
          <w:p>
            <w:pPr>
              <w:pStyle w:val="TableParagraph"/>
              <w:spacing w:line="240" w:lineRule="auto"/>
              <w:ind w:right="82"/>
              <w:jc w:val="center"/>
              <w:rPr>
                <w:b/>
                <w:sz w:val="24"/>
              </w:rPr>
            </w:pPr>
            <w:r>
              <w:rPr>
                <w:b/>
                <w:spacing w:val="-2"/>
                <w:sz w:val="24"/>
              </w:rPr>
              <w:t>11.00</w:t>
            </w:r>
          </w:p>
        </w:tc>
        <w:tc>
          <w:tcPr>
            <w:tcW w:w="2150" w:type="dxa"/>
            <w:tcBorders>
              <w:top w:val="single" w:sz="4" w:space="0" w:color="000000"/>
            </w:tcBorders>
          </w:tcPr>
          <w:p>
            <w:pPr>
              <w:pStyle w:val="TableParagraph"/>
              <w:spacing w:line="240" w:lineRule="auto" w:before="42"/>
              <w:rPr>
                <w:b/>
                <w:sz w:val="24"/>
              </w:rPr>
            </w:pPr>
          </w:p>
          <w:p>
            <w:pPr>
              <w:pStyle w:val="TableParagraph"/>
              <w:spacing w:line="240" w:lineRule="auto"/>
              <w:ind w:right="287"/>
              <w:jc w:val="center"/>
              <w:rPr>
                <w:b/>
                <w:sz w:val="24"/>
              </w:rPr>
            </w:pPr>
            <w:r>
              <w:rPr>
                <w:b/>
                <w:spacing w:val="-4"/>
                <w:sz w:val="24"/>
              </w:rPr>
              <w:t>7.15</w:t>
            </w:r>
          </w:p>
        </w:tc>
        <w:tc>
          <w:tcPr>
            <w:tcW w:w="1850" w:type="dxa"/>
            <w:tcBorders>
              <w:top w:val="single" w:sz="4" w:space="0" w:color="000000"/>
            </w:tcBorders>
          </w:tcPr>
          <w:p>
            <w:pPr>
              <w:pStyle w:val="TableParagraph"/>
              <w:spacing w:line="240" w:lineRule="auto" w:before="42"/>
              <w:rPr>
                <w:b/>
                <w:sz w:val="24"/>
              </w:rPr>
            </w:pPr>
          </w:p>
          <w:p>
            <w:pPr>
              <w:pStyle w:val="TableParagraph"/>
              <w:spacing w:line="240" w:lineRule="auto"/>
              <w:ind w:right="206"/>
              <w:jc w:val="center"/>
              <w:rPr>
                <w:b/>
                <w:sz w:val="24"/>
              </w:rPr>
            </w:pPr>
            <w:r>
              <w:rPr>
                <w:b/>
                <w:spacing w:val="-4"/>
                <w:sz w:val="24"/>
              </w:rPr>
              <w:t>4.40</w:t>
            </w:r>
          </w:p>
        </w:tc>
      </w:tr>
      <w:tr>
        <w:trPr>
          <w:trHeight w:val="611" w:hRule="atLeast"/>
        </w:trPr>
        <w:tc>
          <w:tcPr>
            <w:tcW w:w="1209" w:type="dxa"/>
          </w:tcPr>
          <w:p>
            <w:pPr>
              <w:pStyle w:val="TableParagraph"/>
              <w:spacing w:line="240" w:lineRule="auto" w:before="151"/>
              <w:ind w:left="5"/>
              <w:jc w:val="center"/>
              <w:rPr>
                <w:b/>
                <w:sz w:val="24"/>
              </w:rPr>
            </w:pPr>
            <w:r>
              <w:rPr>
                <w:b/>
                <w:spacing w:val="-10"/>
                <w:sz w:val="24"/>
              </w:rPr>
              <w:t>2</w:t>
            </w:r>
          </w:p>
        </w:tc>
        <w:tc>
          <w:tcPr>
            <w:tcW w:w="1689" w:type="dxa"/>
          </w:tcPr>
          <w:p>
            <w:pPr>
              <w:pStyle w:val="TableParagraph"/>
              <w:spacing w:line="240" w:lineRule="auto" w:before="151"/>
              <w:ind w:left="4"/>
              <w:jc w:val="center"/>
              <w:rPr>
                <w:b/>
                <w:sz w:val="24"/>
              </w:rPr>
            </w:pPr>
            <w:r>
              <w:rPr>
                <w:b/>
                <w:spacing w:val="-4"/>
                <w:sz w:val="24"/>
              </w:rPr>
              <w:t>4.40</w:t>
            </w:r>
          </w:p>
        </w:tc>
        <w:tc>
          <w:tcPr>
            <w:tcW w:w="1761" w:type="dxa"/>
          </w:tcPr>
          <w:p>
            <w:pPr>
              <w:pStyle w:val="TableParagraph"/>
              <w:spacing w:line="240" w:lineRule="auto" w:before="151"/>
              <w:ind w:left="539"/>
              <w:rPr>
                <w:b/>
                <w:sz w:val="24"/>
              </w:rPr>
            </w:pPr>
            <w:r>
              <w:rPr>
                <w:b/>
                <w:sz w:val="24"/>
              </w:rPr>
              <w:t>50. </w:t>
            </w:r>
            <w:r>
              <w:rPr>
                <w:b/>
                <w:spacing w:val="-5"/>
                <w:sz w:val="24"/>
              </w:rPr>
              <w:t>29</w:t>
            </w:r>
          </w:p>
        </w:tc>
        <w:tc>
          <w:tcPr>
            <w:tcW w:w="2150" w:type="dxa"/>
          </w:tcPr>
          <w:p>
            <w:pPr>
              <w:pStyle w:val="TableParagraph"/>
              <w:spacing w:line="240" w:lineRule="auto" w:before="151"/>
              <w:ind w:right="287"/>
              <w:jc w:val="center"/>
              <w:rPr>
                <w:b/>
                <w:sz w:val="24"/>
              </w:rPr>
            </w:pPr>
            <w:r>
              <w:rPr>
                <w:b/>
                <w:spacing w:val="-4"/>
                <w:sz w:val="24"/>
              </w:rPr>
              <w:t>7.10</w:t>
            </w:r>
          </w:p>
        </w:tc>
        <w:tc>
          <w:tcPr>
            <w:tcW w:w="1850" w:type="dxa"/>
          </w:tcPr>
          <w:p>
            <w:pPr>
              <w:pStyle w:val="TableParagraph"/>
              <w:spacing w:line="240" w:lineRule="auto" w:before="151"/>
              <w:ind w:right="206"/>
              <w:jc w:val="center"/>
              <w:rPr>
                <w:b/>
                <w:sz w:val="24"/>
              </w:rPr>
            </w:pPr>
            <w:r>
              <w:rPr>
                <w:b/>
                <w:spacing w:val="-4"/>
                <w:sz w:val="24"/>
              </w:rPr>
              <w:t>3.30</w:t>
            </w:r>
          </w:p>
        </w:tc>
      </w:tr>
      <w:tr>
        <w:trPr>
          <w:trHeight w:val="634" w:hRule="atLeast"/>
        </w:trPr>
        <w:tc>
          <w:tcPr>
            <w:tcW w:w="1209" w:type="dxa"/>
          </w:tcPr>
          <w:p>
            <w:pPr>
              <w:pStyle w:val="TableParagraph"/>
              <w:spacing w:line="240" w:lineRule="auto" w:before="173"/>
              <w:ind w:left="5"/>
              <w:jc w:val="center"/>
              <w:rPr>
                <w:b/>
                <w:sz w:val="24"/>
              </w:rPr>
            </w:pPr>
            <w:r>
              <w:rPr>
                <w:b/>
                <w:spacing w:val="-10"/>
                <w:sz w:val="24"/>
              </w:rPr>
              <w:t>3</w:t>
            </w:r>
          </w:p>
        </w:tc>
        <w:tc>
          <w:tcPr>
            <w:tcW w:w="1689" w:type="dxa"/>
          </w:tcPr>
          <w:p>
            <w:pPr>
              <w:pStyle w:val="TableParagraph"/>
              <w:spacing w:line="240" w:lineRule="auto" w:before="173"/>
              <w:ind w:left="4"/>
              <w:jc w:val="center"/>
              <w:rPr>
                <w:b/>
                <w:sz w:val="24"/>
              </w:rPr>
            </w:pPr>
            <w:r>
              <w:rPr>
                <w:b/>
                <w:spacing w:val="-4"/>
                <w:sz w:val="24"/>
              </w:rPr>
              <w:t>4.50</w:t>
            </w:r>
          </w:p>
        </w:tc>
        <w:tc>
          <w:tcPr>
            <w:tcW w:w="1761" w:type="dxa"/>
          </w:tcPr>
          <w:p>
            <w:pPr>
              <w:pStyle w:val="TableParagraph"/>
              <w:spacing w:line="240" w:lineRule="auto" w:before="173"/>
              <w:ind w:right="82"/>
              <w:jc w:val="center"/>
              <w:rPr>
                <w:b/>
                <w:sz w:val="24"/>
              </w:rPr>
            </w:pPr>
            <w:r>
              <w:rPr>
                <w:b/>
                <w:spacing w:val="-2"/>
                <w:sz w:val="24"/>
              </w:rPr>
              <w:t>31.20</w:t>
            </w:r>
          </w:p>
        </w:tc>
        <w:tc>
          <w:tcPr>
            <w:tcW w:w="2150" w:type="dxa"/>
          </w:tcPr>
          <w:p>
            <w:pPr>
              <w:pStyle w:val="TableParagraph"/>
              <w:spacing w:line="240" w:lineRule="auto" w:before="173"/>
              <w:ind w:right="287"/>
              <w:jc w:val="center"/>
              <w:rPr>
                <w:b/>
                <w:sz w:val="24"/>
              </w:rPr>
            </w:pPr>
            <w:r>
              <w:rPr>
                <w:b/>
                <w:spacing w:val="-4"/>
                <w:sz w:val="24"/>
              </w:rPr>
              <w:t>9.10</w:t>
            </w:r>
          </w:p>
        </w:tc>
        <w:tc>
          <w:tcPr>
            <w:tcW w:w="1850" w:type="dxa"/>
          </w:tcPr>
          <w:p>
            <w:pPr>
              <w:pStyle w:val="TableParagraph"/>
              <w:spacing w:line="240" w:lineRule="auto" w:before="173"/>
              <w:ind w:right="206"/>
              <w:jc w:val="center"/>
              <w:rPr>
                <w:b/>
                <w:sz w:val="24"/>
              </w:rPr>
            </w:pPr>
            <w:r>
              <w:rPr>
                <w:b/>
                <w:spacing w:val="-4"/>
                <w:sz w:val="24"/>
              </w:rPr>
              <w:t>3.10</w:t>
            </w:r>
          </w:p>
        </w:tc>
      </w:tr>
      <w:tr>
        <w:trPr>
          <w:trHeight w:val="634" w:hRule="atLeast"/>
        </w:trPr>
        <w:tc>
          <w:tcPr>
            <w:tcW w:w="1209" w:type="dxa"/>
          </w:tcPr>
          <w:p>
            <w:pPr>
              <w:pStyle w:val="TableParagraph"/>
              <w:spacing w:line="240" w:lineRule="auto" w:before="175"/>
              <w:ind w:left="5"/>
              <w:jc w:val="center"/>
              <w:rPr>
                <w:b/>
                <w:sz w:val="24"/>
              </w:rPr>
            </w:pPr>
            <w:r>
              <w:rPr>
                <w:b/>
                <w:spacing w:val="-10"/>
                <w:sz w:val="24"/>
              </w:rPr>
              <w:t>4</w:t>
            </w:r>
          </w:p>
        </w:tc>
        <w:tc>
          <w:tcPr>
            <w:tcW w:w="1689" w:type="dxa"/>
          </w:tcPr>
          <w:p>
            <w:pPr>
              <w:pStyle w:val="TableParagraph"/>
              <w:spacing w:line="240" w:lineRule="auto" w:before="175"/>
              <w:ind w:left="4"/>
              <w:jc w:val="center"/>
              <w:rPr>
                <w:b/>
                <w:sz w:val="24"/>
              </w:rPr>
            </w:pPr>
            <w:r>
              <w:rPr>
                <w:b/>
                <w:spacing w:val="-4"/>
                <w:sz w:val="24"/>
              </w:rPr>
              <w:t>4.50</w:t>
            </w:r>
          </w:p>
        </w:tc>
        <w:tc>
          <w:tcPr>
            <w:tcW w:w="1761" w:type="dxa"/>
          </w:tcPr>
          <w:p>
            <w:pPr>
              <w:pStyle w:val="TableParagraph"/>
              <w:spacing w:line="240" w:lineRule="auto" w:before="175"/>
              <w:ind w:right="82"/>
              <w:jc w:val="center"/>
              <w:rPr>
                <w:b/>
                <w:sz w:val="24"/>
              </w:rPr>
            </w:pPr>
            <w:r>
              <w:rPr>
                <w:b/>
                <w:spacing w:val="-2"/>
                <w:sz w:val="24"/>
              </w:rPr>
              <w:t>35.50</w:t>
            </w:r>
          </w:p>
        </w:tc>
        <w:tc>
          <w:tcPr>
            <w:tcW w:w="2150" w:type="dxa"/>
          </w:tcPr>
          <w:p>
            <w:pPr>
              <w:pStyle w:val="TableParagraph"/>
              <w:spacing w:line="240" w:lineRule="auto" w:before="175"/>
              <w:ind w:right="287"/>
              <w:jc w:val="center"/>
              <w:rPr>
                <w:b/>
                <w:sz w:val="24"/>
              </w:rPr>
            </w:pPr>
            <w:r>
              <w:rPr>
                <w:b/>
                <w:spacing w:val="-2"/>
                <w:sz w:val="24"/>
              </w:rPr>
              <w:t>12.20</w:t>
            </w:r>
          </w:p>
        </w:tc>
        <w:tc>
          <w:tcPr>
            <w:tcW w:w="1850" w:type="dxa"/>
          </w:tcPr>
          <w:p>
            <w:pPr>
              <w:pStyle w:val="TableParagraph"/>
              <w:spacing w:line="240" w:lineRule="auto" w:before="175"/>
              <w:ind w:right="206"/>
              <w:jc w:val="center"/>
              <w:rPr>
                <w:b/>
                <w:sz w:val="24"/>
              </w:rPr>
            </w:pPr>
            <w:r>
              <w:rPr>
                <w:b/>
                <w:spacing w:val="-4"/>
                <w:sz w:val="24"/>
              </w:rPr>
              <w:t>4.00</w:t>
            </w:r>
          </w:p>
        </w:tc>
      </w:tr>
      <w:tr>
        <w:trPr>
          <w:trHeight w:val="449" w:hRule="atLeast"/>
        </w:trPr>
        <w:tc>
          <w:tcPr>
            <w:tcW w:w="1209" w:type="dxa"/>
          </w:tcPr>
          <w:p>
            <w:pPr>
              <w:pStyle w:val="TableParagraph"/>
              <w:spacing w:line="256" w:lineRule="exact" w:before="173"/>
              <w:ind w:left="5"/>
              <w:jc w:val="center"/>
              <w:rPr>
                <w:b/>
                <w:sz w:val="24"/>
              </w:rPr>
            </w:pPr>
            <w:r>
              <w:rPr>
                <w:b/>
                <w:spacing w:val="-10"/>
                <w:sz w:val="24"/>
              </w:rPr>
              <w:t>5</w:t>
            </w:r>
          </w:p>
        </w:tc>
        <w:tc>
          <w:tcPr>
            <w:tcW w:w="1689" w:type="dxa"/>
          </w:tcPr>
          <w:p>
            <w:pPr>
              <w:pStyle w:val="TableParagraph"/>
              <w:spacing w:line="256" w:lineRule="exact" w:before="173"/>
              <w:ind w:left="4"/>
              <w:jc w:val="center"/>
              <w:rPr>
                <w:b/>
                <w:sz w:val="24"/>
              </w:rPr>
            </w:pPr>
            <w:r>
              <w:rPr>
                <w:b/>
                <w:spacing w:val="-4"/>
                <w:sz w:val="24"/>
              </w:rPr>
              <w:t>4.50</w:t>
            </w:r>
          </w:p>
        </w:tc>
        <w:tc>
          <w:tcPr>
            <w:tcW w:w="1761" w:type="dxa"/>
          </w:tcPr>
          <w:p>
            <w:pPr>
              <w:pStyle w:val="TableParagraph"/>
              <w:spacing w:line="256" w:lineRule="exact" w:before="173"/>
              <w:ind w:right="82"/>
              <w:jc w:val="center"/>
              <w:rPr>
                <w:b/>
                <w:sz w:val="24"/>
              </w:rPr>
            </w:pPr>
            <w:r>
              <w:rPr>
                <w:b/>
                <w:spacing w:val="-2"/>
                <w:sz w:val="24"/>
              </w:rPr>
              <w:t>36.30</w:t>
            </w:r>
          </w:p>
        </w:tc>
        <w:tc>
          <w:tcPr>
            <w:tcW w:w="2150" w:type="dxa"/>
          </w:tcPr>
          <w:p>
            <w:pPr>
              <w:pStyle w:val="TableParagraph"/>
              <w:spacing w:line="256" w:lineRule="exact" w:before="173"/>
              <w:ind w:right="287"/>
              <w:jc w:val="center"/>
              <w:rPr>
                <w:b/>
                <w:sz w:val="24"/>
              </w:rPr>
            </w:pPr>
            <w:r>
              <w:rPr>
                <w:b/>
                <w:spacing w:val="-2"/>
                <w:sz w:val="24"/>
              </w:rPr>
              <w:t>14.15</w:t>
            </w:r>
          </w:p>
        </w:tc>
        <w:tc>
          <w:tcPr>
            <w:tcW w:w="1850" w:type="dxa"/>
          </w:tcPr>
          <w:p>
            <w:pPr>
              <w:pStyle w:val="TableParagraph"/>
              <w:spacing w:line="256" w:lineRule="exact" w:before="173"/>
              <w:ind w:right="206"/>
              <w:jc w:val="center"/>
              <w:rPr>
                <w:b/>
                <w:sz w:val="24"/>
              </w:rPr>
            </w:pPr>
            <w:r>
              <w:rPr>
                <w:b/>
                <w:spacing w:val="-4"/>
                <w:sz w:val="24"/>
              </w:rPr>
              <w:t>4.10</w:t>
            </w:r>
          </w:p>
        </w:tc>
      </w:tr>
    </w:tbl>
    <w:p>
      <w:pPr>
        <w:pStyle w:val="BodyText"/>
        <w:rPr>
          <w:b/>
        </w:rPr>
      </w:pPr>
    </w:p>
    <w:p>
      <w:pPr>
        <w:pStyle w:val="BodyText"/>
        <w:spacing w:before="56"/>
        <w:rPr>
          <w:b/>
        </w:rPr>
      </w:pPr>
    </w:p>
    <w:p>
      <w:pPr>
        <w:pStyle w:val="BodyText"/>
        <w:spacing w:before="1"/>
        <w:ind w:left="380"/>
      </w:pPr>
      <w:r>
        <w:rPr>
          <w:b/>
        </w:rPr>
        <w:t>Note:</w:t>
      </w:r>
      <w:r>
        <w:rPr>
          <w:b/>
          <w:spacing w:val="-4"/>
        </w:rPr>
        <w:t> </w:t>
      </w:r>
      <w:r>
        <w:rPr/>
        <w:t>Normal</w:t>
      </w:r>
      <w:r>
        <w:rPr>
          <w:spacing w:val="-1"/>
        </w:rPr>
        <w:t> </w:t>
      </w:r>
      <w:r>
        <w:rPr/>
        <w:t>disintegration time</w:t>
      </w:r>
      <w:r>
        <w:rPr>
          <w:spacing w:val="-2"/>
        </w:rPr>
        <w:t> </w:t>
      </w:r>
      <w:r>
        <w:rPr/>
        <w:t>for</w:t>
      </w:r>
      <w:r>
        <w:rPr>
          <w:spacing w:val="-2"/>
        </w:rPr>
        <w:t> </w:t>
      </w:r>
      <w:r>
        <w:rPr/>
        <w:t>uncoated tablets</w:t>
      </w:r>
      <w:r>
        <w:rPr>
          <w:spacing w:val="-1"/>
        </w:rPr>
        <w:t> </w:t>
      </w:r>
      <w:r>
        <w:rPr/>
        <w:t>is</w:t>
      </w:r>
      <w:r>
        <w:rPr>
          <w:spacing w:val="2"/>
        </w:rPr>
        <w:t> </w:t>
      </w:r>
      <w:r>
        <w:rPr/>
        <w:t>less than</w:t>
      </w:r>
      <w:r>
        <w:rPr>
          <w:spacing w:val="-1"/>
        </w:rPr>
        <w:t> </w:t>
      </w:r>
      <w:r>
        <w:rPr/>
        <w:t>15 </w:t>
      </w:r>
      <w:r>
        <w:rPr>
          <w:spacing w:val="-2"/>
        </w:rPr>
        <w:t>minutes</w:t>
      </w:r>
    </w:p>
    <w:p>
      <w:pPr>
        <w:spacing w:after="0"/>
        <w:sectPr>
          <w:pgSz w:w="12240" w:h="15840"/>
          <w:pgMar w:header="0" w:footer="1068" w:top="1540" w:bottom="1260" w:left="1420" w:right="440"/>
        </w:sectPr>
      </w:pPr>
    </w:p>
    <w:p>
      <w:pPr>
        <w:pStyle w:val="Heading2"/>
        <w:numPr>
          <w:ilvl w:val="1"/>
          <w:numId w:val="22"/>
        </w:numPr>
        <w:tabs>
          <w:tab w:pos="3311" w:val="left" w:leader="none"/>
        </w:tabs>
        <w:spacing w:line="240" w:lineRule="auto" w:before="77" w:after="0"/>
        <w:ind w:left="3311" w:right="0" w:hanging="360"/>
        <w:jc w:val="left"/>
      </w:pPr>
      <w:bookmarkStart w:name="_TOC_250022" w:id="62"/>
      <w:r>
        <w:rPr/>
        <w:t>Analytical</w:t>
      </w:r>
      <w:r>
        <w:rPr>
          <w:spacing w:val="-1"/>
        </w:rPr>
        <w:t> </w:t>
      </w:r>
      <w:r>
        <w:rPr/>
        <w:t>Methods</w:t>
      </w:r>
      <w:r>
        <w:rPr>
          <w:spacing w:val="-1"/>
        </w:rPr>
        <w:t> </w:t>
      </w:r>
      <w:bookmarkEnd w:id="62"/>
      <w:r>
        <w:rPr>
          <w:spacing w:val="-2"/>
        </w:rPr>
        <w:t>Development</w:t>
      </w:r>
    </w:p>
    <w:p>
      <w:pPr>
        <w:pStyle w:val="BodyText"/>
        <w:spacing w:before="120"/>
        <w:rPr>
          <w:b/>
        </w:rPr>
      </w:pPr>
    </w:p>
    <w:p>
      <w:pPr>
        <w:pStyle w:val="Heading2"/>
        <w:numPr>
          <w:ilvl w:val="2"/>
          <w:numId w:val="22"/>
        </w:numPr>
        <w:tabs>
          <w:tab w:pos="919" w:val="left" w:leader="none"/>
        </w:tabs>
        <w:spacing w:line="240" w:lineRule="auto" w:before="0" w:after="0"/>
        <w:ind w:left="919" w:right="0" w:hanging="539"/>
        <w:jc w:val="left"/>
      </w:pPr>
      <w:bookmarkStart w:name="_TOC_250021" w:id="63"/>
      <w:r>
        <w:rPr/>
        <w:t>Wavelength</w:t>
      </w:r>
      <w:r>
        <w:rPr>
          <w:spacing w:val="-2"/>
        </w:rPr>
        <w:t> </w:t>
      </w:r>
      <w:r>
        <w:rPr/>
        <w:t>of</w:t>
      </w:r>
      <w:r>
        <w:rPr>
          <w:spacing w:val="1"/>
        </w:rPr>
        <w:t> </w:t>
      </w:r>
      <w:r>
        <w:rPr/>
        <w:t>maximum</w:t>
      </w:r>
      <w:r>
        <w:rPr>
          <w:spacing w:val="-4"/>
        </w:rPr>
        <w:t> </w:t>
      </w:r>
      <w:bookmarkEnd w:id="63"/>
      <w:r>
        <w:rPr>
          <w:spacing w:val="-2"/>
        </w:rPr>
        <w:t>absorption</w:t>
      </w:r>
    </w:p>
    <w:p>
      <w:pPr>
        <w:pStyle w:val="BodyText"/>
        <w:spacing w:before="274"/>
        <w:ind w:left="380"/>
      </w:pPr>
      <w:r>
        <w:rPr/>
        <w:t>The</w:t>
      </w:r>
      <w:r>
        <w:rPr>
          <w:spacing w:val="2"/>
        </w:rPr>
        <w:t> </w:t>
      </w:r>
      <w:r>
        <w:rPr/>
        <w:t>wavelength</w:t>
      </w:r>
      <w:r>
        <w:rPr>
          <w:spacing w:val="4"/>
        </w:rPr>
        <w:t> </w:t>
      </w:r>
      <w:r>
        <w:rPr/>
        <w:t>of</w:t>
      </w:r>
      <w:r>
        <w:rPr>
          <w:spacing w:val="3"/>
        </w:rPr>
        <w:t> </w:t>
      </w:r>
      <w:r>
        <w:rPr/>
        <w:t>maximum</w:t>
      </w:r>
      <w:r>
        <w:rPr>
          <w:spacing w:val="5"/>
        </w:rPr>
        <w:t> </w:t>
      </w:r>
      <w:r>
        <w:rPr/>
        <w:t>absorption</w:t>
      </w:r>
      <w:r>
        <w:rPr>
          <w:spacing w:val="4"/>
        </w:rPr>
        <w:t> </w:t>
      </w:r>
      <w:r>
        <w:rPr/>
        <w:t>for</w:t>
      </w:r>
      <w:r>
        <w:rPr>
          <w:spacing w:val="2"/>
        </w:rPr>
        <w:t> </w:t>
      </w:r>
      <w:r>
        <w:rPr/>
        <w:t>tinidazole</w:t>
      </w:r>
      <w:r>
        <w:rPr>
          <w:spacing w:val="3"/>
        </w:rPr>
        <w:t> </w:t>
      </w:r>
      <w:r>
        <w:rPr/>
        <w:t>in</w:t>
      </w:r>
      <w:r>
        <w:rPr>
          <w:spacing w:val="5"/>
        </w:rPr>
        <w:t> </w:t>
      </w:r>
      <w:r>
        <w:rPr/>
        <w:t>0.1N</w:t>
      </w:r>
      <w:r>
        <w:rPr>
          <w:spacing w:val="3"/>
        </w:rPr>
        <w:t> </w:t>
      </w:r>
      <w:r>
        <w:rPr/>
        <w:t>HCl,</w:t>
      </w:r>
      <w:r>
        <w:rPr>
          <w:spacing w:val="3"/>
        </w:rPr>
        <w:t> </w:t>
      </w:r>
      <w:r>
        <w:rPr/>
        <w:t>phosphate</w:t>
      </w:r>
      <w:r>
        <w:rPr>
          <w:spacing w:val="3"/>
        </w:rPr>
        <w:t> </w:t>
      </w:r>
      <w:r>
        <w:rPr/>
        <w:t>buffers</w:t>
      </w:r>
      <w:r>
        <w:rPr>
          <w:spacing w:val="4"/>
        </w:rPr>
        <w:t> </w:t>
      </w:r>
      <w:r>
        <w:rPr>
          <w:spacing w:val="-5"/>
        </w:rPr>
        <w:t>pH</w:t>
      </w:r>
    </w:p>
    <w:p>
      <w:pPr>
        <w:pStyle w:val="BodyText"/>
        <w:spacing w:line="360" w:lineRule="auto" w:before="136"/>
        <w:ind w:left="380" w:right="1175"/>
      </w:pPr>
      <w:r>
        <w:rPr/>
        <w:t>6.8 and pH 7.4 were found to be 275, 279 and 278 nm respectively as shown in their UV spectra ( figures 4.1 to 4.3)</w:t>
      </w:r>
    </w:p>
    <w:p>
      <w:pPr>
        <w:spacing w:after="0" w:line="360" w:lineRule="auto"/>
        <w:sectPr>
          <w:pgSz w:w="12240" w:h="15840"/>
          <w:pgMar w:header="0" w:footer="1068" w:top="1540" w:bottom="1260" w:left="1420" w:right="440"/>
        </w:sectPr>
      </w:pPr>
    </w:p>
    <w:p>
      <w:pPr>
        <w:pStyle w:val="BodyText"/>
        <w:ind w:left="380"/>
        <w:rPr>
          <w:sz w:val="20"/>
        </w:rPr>
      </w:pPr>
      <w:r>
        <w:rPr>
          <w:sz w:val="20"/>
        </w:rPr>
        <w:drawing>
          <wp:inline distT="0" distB="0" distL="0" distR="0">
            <wp:extent cx="5968646" cy="685800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5" cstate="print"/>
                    <a:stretch>
                      <a:fillRect/>
                    </a:stretch>
                  </pic:blipFill>
                  <pic:spPr>
                    <a:xfrm>
                      <a:off x="0" y="0"/>
                      <a:ext cx="5968646" cy="6858000"/>
                    </a:xfrm>
                    <a:prstGeom prst="rect">
                      <a:avLst/>
                    </a:prstGeom>
                  </pic:spPr>
                </pic:pic>
              </a:graphicData>
            </a:graphic>
          </wp:inline>
        </w:drawing>
      </w:r>
      <w:r>
        <w:rPr>
          <w:sz w:val="20"/>
        </w:rPr>
      </w:r>
    </w:p>
    <w:p>
      <w:pPr>
        <w:spacing w:before="0"/>
        <w:ind w:left="380" w:right="0" w:firstLine="0"/>
        <w:jc w:val="left"/>
        <w:rPr>
          <w:b/>
          <w:sz w:val="24"/>
        </w:rPr>
      </w:pPr>
      <w:r>
        <w:rPr>
          <w:b/>
          <w:sz w:val="24"/>
        </w:rPr>
        <w:t>Figure</w:t>
      </w:r>
      <w:r>
        <w:rPr>
          <w:b/>
          <w:spacing w:val="-1"/>
          <w:sz w:val="24"/>
        </w:rPr>
        <w:t> </w:t>
      </w:r>
      <w:r>
        <w:rPr>
          <w:b/>
          <w:sz w:val="24"/>
        </w:rPr>
        <w:t>4.1:</w:t>
      </w:r>
      <w:r>
        <w:rPr>
          <w:b/>
          <w:spacing w:val="-1"/>
          <w:sz w:val="24"/>
        </w:rPr>
        <w:t> </w:t>
      </w:r>
      <w:r>
        <w:rPr>
          <w:b/>
          <w:sz w:val="24"/>
        </w:rPr>
        <w:t>UV</w:t>
      </w:r>
      <w:r>
        <w:rPr>
          <w:b/>
          <w:spacing w:val="-1"/>
          <w:sz w:val="24"/>
        </w:rPr>
        <w:t> </w:t>
      </w:r>
      <w:r>
        <w:rPr>
          <w:b/>
          <w:sz w:val="24"/>
        </w:rPr>
        <w:t>spectrum</w:t>
      </w:r>
      <w:r>
        <w:rPr>
          <w:b/>
          <w:spacing w:val="-4"/>
          <w:sz w:val="24"/>
        </w:rPr>
        <w:t> </w:t>
      </w:r>
      <w:r>
        <w:rPr>
          <w:b/>
          <w:sz w:val="24"/>
        </w:rPr>
        <w:t>of</w:t>
      </w:r>
      <w:r>
        <w:rPr>
          <w:b/>
          <w:spacing w:val="1"/>
          <w:sz w:val="24"/>
        </w:rPr>
        <w:t> </w:t>
      </w:r>
      <w:r>
        <w:rPr>
          <w:b/>
          <w:sz w:val="24"/>
        </w:rPr>
        <w:t>tinidazole</w:t>
      </w:r>
      <w:r>
        <w:rPr>
          <w:b/>
          <w:spacing w:val="1"/>
          <w:sz w:val="24"/>
        </w:rPr>
        <w:t> </w:t>
      </w:r>
      <w:r>
        <w:rPr>
          <w:b/>
          <w:sz w:val="24"/>
        </w:rPr>
        <w:t>in</w:t>
      </w:r>
      <w:r>
        <w:rPr>
          <w:b/>
          <w:spacing w:val="1"/>
          <w:sz w:val="24"/>
        </w:rPr>
        <w:t> </w:t>
      </w:r>
      <w:r>
        <w:rPr>
          <w:b/>
          <w:sz w:val="24"/>
        </w:rPr>
        <w:t>0.1 N</w:t>
      </w:r>
      <w:r>
        <w:rPr>
          <w:b/>
          <w:spacing w:val="-1"/>
          <w:sz w:val="24"/>
        </w:rPr>
        <w:t> </w:t>
      </w:r>
      <w:r>
        <w:rPr>
          <w:b/>
          <w:spacing w:val="-5"/>
          <w:sz w:val="24"/>
        </w:rPr>
        <w:t>HCl</w:t>
      </w:r>
    </w:p>
    <w:p>
      <w:pPr>
        <w:spacing w:after="0"/>
        <w:jc w:val="left"/>
        <w:rPr>
          <w:sz w:val="24"/>
        </w:rPr>
        <w:sectPr>
          <w:pgSz w:w="12240" w:h="15840"/>
          <w:pgMar w:header="0" w:footer="1068" w:top="1620" w:bottom="1260" w:left="1420" w:right="440"/>
        </w:sectPr>
      </w:pPr>
    </w:p>
    <w:p>
      <w:pPr>
        <w:pStyle w:val="BodyText"/>
        <w:ind w:left="380"/>
        <w:rPr>
          <w:sz w:val="20"/>
        </w:rPr>
      </w:pPr>
      <w:r>
        <w:rPr>
          <w:sz w:val="20"/>
        </w:rPr>
        <w:drawing>
          <wp:inline distT="0" distB="0" distL="0" distR="0">
            <wp:extent cx="6044940" cy="639337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6" cstate="print"/>
                    <a:stretch>
                      <a:fillRect/>
                    </a:stretch>
                  </pic:blipFill>
                  <pic:spPr>
                    <a:xfrm>
                      <a:off x="0" y="0"/>
                      <a:ext cx="6044940" cy="6393370"/>
                    </a:xfrm>
                    <a:prstGeom prst="rect">
                      <a:avLst/>
                    </a:prstGeom>
                  </pic:spPr>
                </pic:pic>
              </a:graphicData>
            </a:graphic>
          </wp:inline>
        </w:drawing>
      </w:r>
      <w:r>
        <w:rPr>
          <w:sz w:val="20"/>
        </w:rPr>
      </w:r>
    </w:p>
    <w:p>
      <w:pPr>
        <w:pStyle w:val="BodyText"/>
        <w:rPr>
          <w:b/>
        </w:rPr>
      </w:pPr>
    </w:p>
    <w:p>
      <w:pPr>
        <w:pStyle w:val="BodyText"/>
        <w:spacing w:before="21"/>
        <w:rPr>
          <w:b/>
        </w:rPr>
      </w:pPr>
    </w:p>
    <w:p>
      <w:pPr>
        <w:spacing w:before="0"/>
        <w:ind w:left="1405" w:right="0" w:firstLine="0"/>
        <w:jc w:val="left"/>
        <w:rPr>
          <w:b/>
          <w:sz w:val="24"/>
        </w:rPr>
      </w:pPr>
      <w:r>
        <w:rPr>
          <w:b/>
          <w:sz w:val="24"/>
        </w:rPr>
        <w:t>Figure</w:t>
      </w:r>
      <w:r>
        <w:rPr>
          <w:b/>
          <w:spacing w:val="-2"/>
          <w:sz w:val="24"/>
        </w:rPr>
        <w:t> </w:t>
      </w:r>
      <w:r>
        <w:rPr>
          <w:b/>
          <w:sz w:val="24"/>
        </w:rPr>
        <w:t>4.2:</w:t>
      </w:r>
      <w:r>
        <w:rPr>
          <w:b/>
          <w:spacing w:val="-2"/>
          <w:sz w:val="24"/>
        </w:rPr>
        <w:t> </w:t>
      </w:r>
      <w:r>
        <w:rPr>
          <w:b/>
          <w:sz w:val="24"/>
        </w:rPr>
        <w:t>UV</w:t>
      </w:r>
      <w:r>
        <w:rPr>
          <w:b/>
          <w:spacing w:val="-2"/>
          <w:sz w:val="24"/>
        </w:rPr>
        <w:t> </w:t>
      </w:r>
      <w:r>
        <w:rPr>
          <w:b/>
          <w:sz w:val="24"/>
        </w:rPr>
        <w:t>spectrum</w:t>
      </w:r>
      <w:r>
        <w:rPr>
          <w:b/>
          <w:spacing w:val="-3"/>
          <w:sz w:val="24"/>
        </w:rPr>
        <w:t> </w:t>
      </w:r>
      <w:r>
        <w:rPr>
          <w:b/>
          <w:sz w:val="24"/>
        </w:rPr>
        <w:t>of tinidazole</w:t>
      </w:r>
      <w:r>
        <w:rPr>
          <w:b/>
          <w:spacing w:val="-1"/>
          <w:sz w:val="24"/>
        </w:rPr>
        <w:t> </w:t>
      </w:r>
      <w:r>
        <w:rPr>
          <w:b/>
          <w:sz w:val="24"/>
        </w:rPr>
        <w:t>in</w:t>
      </w:r>
      <w:r>
        <w:rPr>
          <w:b/>
          <w:spacing w:val="1"/>
          <w:sz w:val="24"/>
        </w:rPr>
        <w:t> </w:t>
      </w:r>
      <w:r>
        <w:rPr>
          <w:b/>
          <w:sz w:val="24"/>
        </w:rPr>
        <w:t>phosphate</w:t>
      </w:r>
      <w:r>
        <w:rPr>
          <w:b/>
          <w:spacing w:val="-2"/>
          <w:sz w:val="24"/>
        </w:rPr>
        <w:t> </w:t>
      </w:r>
      <w:r>
        <w:rPr>
          <w:b/>
          <w:sz w:val="24"/>
        </w:rPr>
        <w:t>buffer</w:t>
      </w:r>
      <w:r>
        <w:rPr>
          <w:b/>
          <w:spacing w:val="-2"/>
          <w:sz w:val="24"/>
        </w:rPr>
        <w:t> </w:t>
      </w:r>
      <w:r>
        <w:rPr>
          <w:b/>
          <w:sz w:val="24"/>
        </w:rPr>
        <w:t>pH </w:t>
      </w:r>
      <w:r>
        <w:rPr>
          <w:b/>
          <w:spacing w:val="-5"/>
          <w:sz w:val="24"/>
        </w:rPr>
        <w:t>6.8</w:t>
      </w:r>
    </w:p>
    <w:p>
      <w:pPr>
        <w:spacing w:after="0"/>
        <w:jc w:val="left"/>
        <w:rPr>
          <w:sz w:val="24"/>
        </w:rPr>
        <w:sectPr>
          <w:pgSz w:w="12240" w:h="15840"/>
          <w:pgMar w:header="0" w:footer="1068" w:top="1620" w:bottom="1260" w:left="1420" w:right="440"/>
        </w:sectPr>
      </w:pPr>
    </w:p>
    <w:p>
      <w:pPr>
        <w:pStyle w:val="BodyText"/>
        <w:ind w:left="380"/>
        <w:rPr>
          <w:sz w:val="20"/>
        </w:rPr>
      </w:pPr>
      <w:r>
        <w:rPr>
          <w:sz w:val="20"/>
        </w:rPr>
        <w:drawing>
          <wp:inline distT="0" distB="0" distL="0" distR="0">
            <wp:extent cx="6081049" cy="681494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7" cstate="print"/>
                    <a:stretch>
                      <a:fillRect/>
                    </a:stretch>
                  </pic:blipFill>
                  <pic:spPr>
                    <a:xfrm>
                      <a:off x="0" y="0"/>
                      <a:ext cx="6081049" cy="6814947"/>
                    </a:xfrm>
                    <a:prstGeom prst="rect">
                      <a:avLst/>
                    </a:prstGeom>
                  </pic:spPr>
                </pic:pic>
              </a:graphicData>
            </a:graphic>
          </wp:inline>
        </w:drawing>
      </w:r>
      <w:r>
        <w:rPr>
          <w:sz w:val="20"/>
        </w:rPr>
      </w:r>
    </w:p>
    <w:p>
      <w:pPr>
        <w:spacing w:before="0"/>
        <w:ind w:left="380" w:right="0" w:firstLine="0"/>
        <w:jc w:val="left"/>
        <w:rPr>
          <w:b/>
          <w:sz w:val="24"/>
        </w:rPr>
      </w:pPr>
      <w:r>
        <w:rPr>
          <w:b/>
          <w:sz w:val="24"/>
        </w:rPr>
        <w:t>Figure</w:t>
      </w:r>
      <w:r>
        <w:rPr>
          <w:b/>
          <w:spacing w:val="-2"/>
          <w:sz w:val="24"/>
        </w:rPr>
        <w:t> </w:t>
      </w:r>
      <w:r>
        <w:rPr>
          <w:b/>
          <w:sz w:val="24"/>
        </w:rPr>
        <w:t>4.3:</w:t>
      </w:r>
      <w:r>
        <w:rPr>
          <w:b/>
          <w:spacing w:val="-2"/>
          <w:sz w:val="24"/>
        </w:rPr>
        <w:t> </w:t>
      </w:r>
      <w:r>
        <w:rPr>
          <w:b/>
          <w:sz w:val="24"/>
        </w:rPr>
        <w:t>UV</w:t>
      </w:r>
      <w:r>
        <w:rPr>
          <w:b/>
          <w:spacing w:val="-2"/>
          <w:sz w:val="24"/>
        </w:rPr>
        <w:t> </w:t>
      </w:r>
      <w:r>
        <w:rPr>
          <w:b/>
          <w:sz w:val="24"/>
        </w:rPr>
        <w:t>spectrum</w:t>
      </w:r>
      <w:r>
        <w:rPr>
          <w:b/>
          <w:spacing w:val="-3"/>
          <w:sz w:val="24"/>
        </w:rPr>
        <w:t> </w:t>
      </w:r>
      <w:r>
        <w:rPr>
          <w:b/>
          <w:sz w:val="24"/>
        </w:rPr>
        <w:t>of</w:t>
      </w:r>
      <w:r>
        <w:rPr>
          <w:b/>
          <w:spacing w:val="1"/>
          <w:sz w:val="24"/>
        </w:rPr>
        <w:t> </w:t>
      </w:r>
      <w:r>
        <w:rPr>
          <w:b/>
          <w:sz w:val="24"/>
        </w:rPr>
        <w:t>tinidazole</w:t>
      </w:r>
      <w:r>
        <w:rPr>
          <w:b/>
          <w:spacing w:val="-1"/>
          <w:sz w:val="24"/>
        </w:rPr>
        <w:t> </w:t>
      </w:r>
      <w:r>
        <w:rPr>
          <w:b/>
          <w:sz w:val="24"/>
        </w:rPr>
        <w:t>in phosphate</w:t>
      </w:r>
      <w:r>
        <w:rPr>
          <w:b/>
          <w:spacing w:val="-2"/>
          <w:sz w:val="24"/>
        </w:rPr>
        <w:t> </w:t>
      </w:r>
      <w:r>
        <w:rPr>
          <w:b/>
          <w:sz w:val="24"/>
        </w:rPr>
        <w:t>buffer</w:t>
      </w:r>
      <w:r>
        <w:rPr>
          <w:b/>
          <w:spacing w:val="-1"/>
          <w:sz w:val="24"/>
        </w:rPr>
        <w:t> </w:t>
      </w:r>
      <w:r>
        <w:rPr>
          <w:b/>
          <w:spacing w:val="-5"/>
          <w:sz w:val="24"/>
        </w:rPr>
        <w:t>7.4</w:t>
      </w:r>
    </w:p>
    <w:p>
      <w:pPr>
        <w:spacing w:after="0"/>
        <w:jc w:val="left"/>
        <w:rPr>
          <w:sz w:val="24"/>
        </w:rPr>
        <w:sectPr>
          <w:pgSz w:w="12240" w:h="15840"/>
          <w:pgMar w:header="0" w:footer="1068" w:top="1620" w:bottom="1260" w:left="1420" w:right="440"/>
        </w:sectPr>
      </w:pPr>
    </w:p>
    <w:p>
      <w:pPr>
        <w:pStyle w:val="Heading2"/>
        <w:numPr>
          <w:ilvl w:val="2"/>
          <w:numId w:val="22"/>
        </w:numPr>
        <w:tabs>
          <w:tab w:pos="860" w:val="left" w:leader="none"/>
        </w:tabs>
        <w:spacing w:line="240" w:lineRule="auto" w:before="77" w:after="0"/>
        <w:ind w:left="860" w:right="0" w:hanging="480"/>
        <w:jc w:val="both"/>
      </w:pPr>
      <w:bookmarkStart w:name="_TOC_250020" w:id="64"/>
      <w:r>
        <w:rPr/>
        <w:t>:</w:t>
      </w:r>
      <w:r>
        <w:rPr>
          <w:spacing w:val="-2"/>
        </w:rPr>
        <w:t> </w:t>
      </w:r>
      <w:r>
        <w:rPr/>
        <w:t>Linearity of the</w:t>
      </w:r>
      <w:r>
        <w:rPr>
          <w:spacing w:val="-1"/>
        </w:rPr>
        <w:t> </w:t>
      </w:r>
      <w:bookmarkEnd w:id="64"/>
      <w:r>
        <w:rPr>
          <w:spacing w:val="-2"/>
        </w:rPr>
        <w:t>methods</w:t>
      </w:r>
    </w:p>
    <w:p>
      <w:pPr>
        <w:pStyle w:val="BodyText"/>
        <w:spacing w:line="360" w:lineRule="auto" w:before="273"/>
        <w:ind w:left="380" w:right="1270"/>
        <w:jc w:val="both"/>
      </w:pPr>
      <w:r>
        <w:rPr/>
        <w:t>The methods were found to obey Beer lamberts’ law within the concentration ranges used for the calibration curve in each dissolution media.</w:t>
      </w:r>
    </w:p>
    <w:p>
      <w:pPr>
        <w:pStyle w:val="ListParagraph"/>
        <w:numPr>
          <w:ilvl w:val="3"/>
          <w:numId w:val="22"/>
        </w:numPr>
        <w:tabs>
          <w:tab w:pos="1159" w:val="left" w:leader="none"/>
        </w:tabs>
        <w:spacing w:line="274" w:lineRule="exact" w:before="0" w:after="0"/>
        <w:ind w:left="1159" w:right="0" w:hanging="719"/>
        <w:jc w:val="left"/>
        <w:rPr>
          <w:i/>
          <w:sz w:val="24"/>
        </w:rPr>
      </w:pPr>
      <w:r>
        <w:rPr>
          <w:i/>
          <w:sz w:val="24"/>
        </w:rPr>
        <w:t>Linearity</w:t>
      </w:r>
      <w:r>
        <w:rPr>
          <w:i/>
          <w:spacing w:val="-2"/>
          <w:sz w:val="24"/>
        </w:rPr>
        <w:t> </w:t>
      </w:r>
      <w:r>
        <w:rPr>
          <w:i/>
          <w:sz w:val="24"/>
        </w:rPr>
        <w:t>of</w:t>
      </w:r>
      <w:r>
        <w:rPr>
          <w:i/>
          <w:spacing w:val="-1"/>
          <w:sz w:val="24"/>
        </w:rPr>
        <w:t> </w:t>
      </w:r>
      <w:r>
        <w:rPr>
          <w:i/>
          <w:sz w:val="24"/>
        </w:rPr>
        <w:t>tinidazole in</w:t>
      </w:r>
      <w:r>
        <w:rPr>
          <w:i/>
          <w:spacing w:val="-1"/>
          <w:sz w:val="24"/>
        </w:rPr>
        <w:t> </w:t>
      </w:r>
      <w:r>
        <w:rPr>
          <w:i/>
          <w:sz w:val="24"/>
        </w:rPr>
        <w:t>0.1N</w:t>
      </w:r>
      <w:r>
        <w:rPr>
          <w:i/>
          <w:spacing w:val="-1"/>
          <w:sz w:val="24"/>
        </w:rPr>
        <w:t> </w:t>
      </w:r>
      <w:r>
        <w:rPr>
          <w:i/>
          <w:sz w:val="24"/>
        </w:rPr>
        <w:t>HCl (simulated</w:t>
      </w:r>
      <w:r>
        <w:rPr>
          <w:i/>
          <w:spacing w:val="-1"/>
          <w:sz w:val="24"/>
        </w:rPr>
        <w:t> </w:t>
      </w:r>
      <w:r>
        <w:rPr>
          <w:i/>
          <w:sz w:val="24"/>
        </w:rPr>
        <w:t>gastric</w:t>
      </w:r>
      <w:r>
        <w:rPr>
          <w:i/>
          <w:spacing w:val="-1"/>
          <w:sz w:val="24"/>
        </w:rPr>
        <w:t> </w:t>
      </w:r>
      <w:r>
        <w:rPr>
          <w:i/>
          <w:spacing w:val="-5"/>
          <w:sz w:val="24"/>
        </w:rPr>
        <w:t>pH)</w:t>
      </w:r>
    </w:p>
    <w:p>
      <w:pPr>
        <w:pStyle w:val="BodyText"/>
        <w:rPr>
          <w:i/>
        </w:rPr>
      </w:pPr>
    </w:p>
    <w:p>
      <w:pPr>
        <w:pStyle w:val="BodyText"/>
        <w:spacing w:line="480" w:lineRule="auto" w:before="1"/>
        <w:ind w:left="380" w:right="1266"/>
        <w:jc w:val="both"/>
      </w:pPr>
      <w:r>
        <w:rPr/>
        <w:t>The calibration curve of tinidazole in 0.1N HCl (figure 4.4) gave a very good linearity in the concentration range of 10-60</w:t>
      </w:r>
      <w:r>
        <w:rPr>
          <w:spacing w:val="-2"/>
        </w:rPr>
        <w:t> </w:t>
      </w:r>
      <w:r>
        <w:rPr>
          <w:rFonts w:ascii="Calibri" w:hAnsi="Calibri"/>
        </w:rPr>
        <w:t>µ</w:t>
      </w:r>
      <w:r>
        <w:rPr/>
        <w:t>g/mL. The regression equation of (y = 0.263x-0.035) and the plot of the concentration against absorbencies gave a correlation coefficient (r) of </w:t>
      </w:r>
      <w:r>
        <w:rPr>
          <w:spacing w:val="-2"/>
        </w:rPr>
        <w:t>0.998.</w:t>
      </w:r>
    </w:p>
    <w:p>
      <w:pPr>
        <w:spacing w:before="6"/>
        <w:ind w:left="380" w:right="0" w:firstLine="0"/>
        <w:jc w:val="both"/>
        <w:rPr>
          <w:b/>
          <w:sz w:val="28"/>
        </w:rPr>
      </w:pPr>
      <w:r>
        <w:rPr>
          <w:sz w:val="24"/>
        </w:rPr>
        <w:t>N.B:</w:t>
      </w:r>
      <w:r>
        <w:rPr>
          <w:spacing w:val="36"/>
          <w:sz w:val="24"/>
        </w:rPr>
        <w:t>  </w:t>
      </w:r>
      <w:r>
        <w:rPr>
          <w:b/>
          <w:sz w:val="28"/>
        </w:rPr>
        <w:t>r </w:t>
      </w:r>
      <w:r>
        <w:rPr>
          <w:b/>
          <w:spacing w:val="-4"/>
          <w:sz w:val="28"/>
        </w:rPr>
        <w:t>=√r</w:t>
      </w:r>
      <w:r>
        <w:rPr>
          <w:b/>
          <w:spacing w:val="-4"/>
          <w:sz w:val="28"/>
          <w:vertAlign w:val="superscript"/>
        </w:rPr>
        <w:t>2</w:t>
      </w:r>
    </w:p>
    <w:p>
      <w:pPr>
        <w:spacing w:after="0"/>
        <w:jc w:val="both"/>
        <w:rPr>
          <w:sz w:val="28"/>
        </w:rPr>
        <w:sectPr>
          <w:pgSz w:w="12240" w:h="15840"/>
          <w:pgMar w:header="0" w:footer="1068" w:top="1540" w:bottom="1260" w:left="1420" w:right="440"/>
        </w:sectPr>
      </w:pPr>
    </w:p>
    <w:p>
      <w:pPr>
        <w:pStyle w:val="BodyText"/>
        <w:spacing w:before="122"/>
        <w:rPr>
          <w:b/>
          <w:sz w:val="20"/>
        </w:rPr>
      </w:pPr>
    </w:p>
    <w:p>
      <w:pPr>
        <w:pStyle w:val="BodyText"/>
        <w:ind w:left="390"/>
        <w:rPr>
          <w:sz w:val="20"/>
        </w:rPr>
      </w:pPr>
      <w:r>
        <w:rPr>
          <w:sz w:val="20"/>
        </w:rPr>
        <w:drawing>
          <wp:inline distT="0" distB="0" distL="0" distR="0">
            <wp:extent cx="5617659" cy="3764661"/>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8" cstate="print"/>
                    <a:stretch>
                      <a:fillRect/>
                    </a:stretch>
                  </pic:blipFill>
                  <pic:spPr>
                    <a:xfrm>
                      <a:off x="0" y="0"/>
                      <a:ext cx="5617659" cy="3764661"/>
                    </a:xfrm>
                    <a:prstGeom prst="rect">
                      <a:avLst/>
                    </a:prstGeom>
                  </pic:spPr>
                </pic:pic>
              </a:graphicData>
            </a:graphic>
          </wp:inline>
        </w:drawing>
      </w:r>
      <w:r>
        <w:rPr>
          <w:sz w:val="20"/>
        </w:rPr>
      </w:r>
    </w:p>
    <w:p>
      <w:pPr>
        <w:pStyle w:val="BodyText"/>
        <w:spacing w:before="33"/>
        <w:rPr>
          <w:b/>
        </w:rPr>
      </w:pPr>
    </w:p>
    <w:p>
      <w:pPr>
        <w:pStyle w:val="Heading2"/>
        <w:ind w:left="750"/>
      </w:pPr>
      <w:r>
        <w:rPr/>
        <w:t>Figure</w:t>
      </w:r>
      <w:r>
        <w:rPr>
          <w:spacing w:val="-2"/>
        </w:rPr>
        <w:t> </w:t>
      </w:r>
      <w:r>
        <w:rPr/>
        <w:t>4.4:</w:t>
      </w:r>
      <w:r>
        <w:rPr>
          <w:spacing w:val="-2"/>
        </w:rPr>
        <w:t> </w:t>
      </w:r>
      <w:r>
        <w:rPr/>
        <w:t>Calibration curve</w:t>
      </w:r>
      <w:r>
        <w:rPr>
          <w:spacing w:val="-2"/>
        </w:rPr>
        <w:t> </w:t>
      </w:r>
      <w:r>
        <w:rPr/>
        <w:t>of tinidazole</w:t>
      </w:r>
      <w:r>
        <w:rPr>
          <w:spacing w:val="-1"/>
        </w:rPr>
        <w:t> </w:t>
      </w:r>
      <w:r>
        <w:rPr/>
        <w:t>in</w:t>
      </w:r>
      <w:r>
        <w:rPr>
          <w:spacing w:val="-1"/>
        </w:rPr>
        <w:t> </w:t>
      </w:r>
      <w:r>
        <w:rPr/>
        <w:t>0.1N</w:t>
      </w:r>
      <w:r>
        <w:rPr>
          <w:spacing w:val="-1"/>
        </w:rPr>
        <w:t> </w:t>
      </w:r>
      <w:r>
        <w:rPr/>
        <w:t>HCl</w:t>
      </w:r>
      <w:r>
        <w:rPr>
          <w:spacing w:val="-1"/>
        </w:rPr>
        <w:t> </w:t>
      </w:r>
      <w:r>
        <w:rPr/>
        <w:t>(Simulated gastric </w:t>
      </w:r>
      <w:r>
        <w:rPr>
          <w:spacing w:val="-5"/>
        </w:rPr>
        <w:t>pH)</w:t>
      </w:r>
    </w:p>
    <w:p>
      <w:pPr>
        <w:spacing w:after="0"/>
        <w:sectPr>
          <w:pgSz w:w="12240" w:h="15840"/>
          <w:pgMar w:header="0" w:footer="1068" w:top="1820" w:bottom="1260" w:left="1420" w:right="440"/>
        </w:sectPr>
      </w:pPr>
    </w:p>
    <w:p>
      <w:pPr>
        <w:pStyle w:val="ListParagraph"/>
        <w:numPr>
          <w:ilvl w:val="3"/>
          <w:numId w:val="22"/>
        </w:numPr>
        <w:tabs>
          <w:tab w:pos="1099" w:val="left" w:leader="none"/>
        </w:tabs>
        <w:spacing w:line="240" w:lineRule="auto" w:before="72" w:after="0"/>
        <w:ind w:left="1099" w:right="0" w:hanging="719"/>
        <w:jc w:val="left"/>
        <w:rPr>
          <w:i/>
          <w:sz w:val="24"/>
        </w:rPr>
      </w:pPr>
      <w:r>
        <w:rPr>
          <w:i/>
          <w:sz w:val="24"/>
        </w:rPr>
        <w:t>Linearity</w:t>
      </w:r>
      <w:r>
        <w:rPr>
          <w:i/>
          <w:spacing w:val="-2"/>
          <w:sz w:val="24"/>
        </w:rPr>
        <w:t> </w:t>
      </w:r>
      <w:r>
        <w:rPr>
          <w:i/>
          <w:sz w:val="24"/>
        </w:rPr>
        <w:t>of</w:t>
      </w:r>
      <w:r>
        <w:rPr>
          <w:i/>
          <w:spacing w:val="-1"/>
          <w:sz w:val="24"/>
        </w:rPr>
        <w:t> </w:t>
      </w:r>
      <w:r>
        <w:rPr>
          <w:i/>
          <w:sz w:val="24"/>
        </w:rPr>
        <w:t>tinidazole</w:t>
      </w:r>
      <w:r>
        <w:rPr>
          <w:i/>
          <w:spacing w:val="-2"/>
          <w:sz w:val="24"/>
        </w:rPr>
        <w:t> </w:t>
      </w:r>
      <w:r>
        <w:rPr>
          <w:i/>
          <w:sz w:val="24"/>
        </w:rPr>
        <w:t>in</w:t>
      </w:r>
      <w:r>
        <w:rPr>
          <w:i/>
          <w:spacing w:val="-1"/>
          <w:sz w:val="24"/>
        </w:rPr>
        <w:t> </w:t>
      </w:r>
      <w:r>
        <w:rPr>
          <w:i/>
          <w:sz w:val="24"/>
        </w:rPr>
        <w:t>phosphate</w:t>
      </w:r>
      <w:r>
        <w:rPr>
          <w:i/>
          <w:spacing w:val="-1"/>
          <w:sz w:val="24"/>
        </w:rPr>
        <w:t> </w:t>
      </w:r>
      <w:r>
        <w:rPr>
          <w:i/>
          <w:sz w:val="24"/>
        </w:rPr>
        <w:t>buffer 6.8</w:t>
      </w:r>
      <w:r>
        <w:rPr>
          <w:i/>
          <w:spacing w:val="-1"/>
          <w:sz w:val="24"/>
        </w:rPr>
        <w:t> </w:t>
      </w:r>
      <w:r>
        <w:rPr>
          <w:i/>
          <w:sz w:val="24"/>
        </w:rPr>
        <w:t>(Simulated</w:t>
      </w:r>
      <w:r>
        <w:rPr>
          <w:i/>
          <w:spacing w:val="-1"/>
          <w:sz w:val="24"/>
        </w:rPr>
        <w:t> </w:t>
      </w:r>
      <w:r>
        <w:rPr>
          <w:i/>
          <w:sz w:val="24"/>
        </w:rPr>
        <w:t>intestinal</w:t>
      </w:r>
      <w:r>
        <w:rPr>
          <w:i/>
          <w:spacing w:val="2"/>
          <w:sz w:val="24"/>
        </w:rPr>
        <w:t> </w:t>
      </w:r>
      <w:r>
        <w:rPr>
          <w:i/>
          <w:spacing w:val="-5"/>
          <w:sz w:val="24"/>
        </w:rPr>
        <w:t>pH)</w:t>
      </w:r>
    </w:p>
    <w:p>
      <w:pPr>
        <w:pStyle w:val="BodyText"/>
        <w:rPr>
          <w:i/>
        </w:rPr>
      </w:pPr>
    </w:p>
    <w:p>
      <w:pPr>
        <w:pStyle w:val="BodyText"/>
        <w:spacing w:line="480" w:lineRule="auto"/>
        <w:ind w:left="380" w:right="1264"/>
        <w:jc w:val="both"/>
      </w:pPr>
      <w:r>
        <w:rPr/>
        <w:t>The calibration curve of tinidazole in phosphate buffer pH 9.0 (figure 4.5) gave a very good linearity</w:t>
      </w:r>
      <w:r>
        <w:rPr>
          <w:spacing w:val="-5"/>
        </w:rPr>
        <w:t> </w:t>
      </w:r>
      <w:r>
        <w:rPr/>
        <w:t>in the</w:t>
      </w:r>
      <w:r>
        <w:rPr>
          <w:spacing w:val="-1"/>
        </w:rPr>
        <w:t> </w:t>
      </w:r>
      <w:r>
        <w:rPr/>
        <w:t>concentration range</w:t>
      </w:r>
      <w:r>
        <w:rPr>
          <w:spacing w:val="-1"/>
        </w:rPr>
        <w:t> </w:t>
      </w:r>
      <w:r>
        <w:rPr/>
        <w:t>of</w:t>
      </w:r>
      <w:r>
        <w:rPr>
          <w:spacing w:val="-1"/>
        </w:rPr>
        <w:t> </w:t>
      </w:r>
      <w:r>
        <w:rPr/>
        <w:t>2.5-40 </w:t>
      </w:r>
      <w:r>
        <w:rPr>
          <w:rFonts w:ascii="Calibri" w:hAnsi="Calibri"/>
        </w:rPr>
        <w:t>µ</w:t>
      </w:r>
      <w:r>
        <w:rPr/>
        <w:t>g/mL. The regression equation of</w:t>
      </w:r>
      <w:r>
        <w:rPr>
          <w:spacing w:val="-1"/>
        </w:rPr>
        <w:t> </w:t>
      </w:r>
      <w:r>
        <w:rPr/>
        <w:t>(y</w:t>
      </w:r>
      <w:r>
        <w:rPr>
          <w:spacing w:val="-3"/>
        </w:rPr>
        <w:t> </w:t>
      </w:r>
      <w:r>
        <w:rPr/>
        <w:t>= 0.27x+0.057) and the plot of the concentration against absorbencies gave a correlation coefficient (r) of 0.998.</w:t>
      </w:r>
    </w:p>
    <w:p>
      <w:pPr>
        <w:spacing w:before="6"/>
        <w:ind w:left="380" w:right="0" w:firstLine="0"/>
        <w:jc w:val="both"/>
        <w:rPr>
          <w:b/>
          <w:sz w:val="28"/>
        </w:rPr>
      </w:pPr>
      <w:r>
        <w:rPr>
          <w:sz w:val="24"/>
        </w:rPr>
        <w:t>N.B:</w:t>
      </w:r>
      <w:r>
        <w:rPr>
          <w:spacing w:val="38"/>
          <w:sz w:val="24"/>
        </w:rPr>
        <w:t>  </w:t>
      </w:r>
      <w:r>
        <w:rPr>
          <w:b/>
          <w:sz w:val="28"/>
        </w:rPr>
        <w:t>r </w:t>
      </w:r>
      <w:r>
        <w:rPr>
          <w:b/>
          <w:spacing w:val="-4"/>
          <w:sz w:val="28"/>
        </w:rPr>
        <w:t>=√r</w:t>
      </w:r>
      <w:r>
        <w:rPr>
          <w:b/>
          <w:spacing w:val="-4"/>
          <w:sz w:val="28"/>
          <w:vertAlign w:val="superscript"/>
        </w:rPr>
        <w:t>2</w:t>
      </w:r>
    </w:p>
    <w:p>
      <w:pPr>
        <w:spacing w:after="0"/>
        <w:jc w:val="both"/>
        <w:rPr>
          <w:sz w:val="28"/>
        </w:rPr>
        <w:sectPr>
          <w:pgSz w:w="12240" w:h="15840"/>
          <w:pgMar w:header="0" w:footer="1068" w:top="1540" w:bottom="1260" w:left="1420" w:right="440"/>
        </w:sectPr>
      </w:pPr>
    </w:p>
    <w:p>
      <w:pPr>
        <w:pStyle w:val="BodyText"/>
        <w:spacing w:before="2"/>
        <w:rPr>
          <w:b/>
          <w:sz w:val="10"/>
        </w:rPr>
      </w:pPr>
    </w:p>
    <w:p>
      <w:pPr>
        <w:pStyle w:val="BodyText"/>
        <w:ind w:left="389"/>
        <w:rPr>
          <w:sz w:val="20"/>
        </w:rPr>
      </w:pPr>
      <w:r>
        <w:rPr>
          <w:sz w:val="20"/>
        </w:rPr>
        <w:drawing>
          <wp:inline distT="0" distB="0" distL="0" distR="0">
            <wp:extent cx="5583067" cy="4328922"/>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9" cstate="print"/>
                    <a:stretch>
                      <a:fillRect/>
                    </a:stretch>
                  </pic:blipFill>
                  <pic:spPr>
                    <a:xfrm>
                      <a:off x="0" y="0"/>
                      <a:ext cx="5583067" cy="4328922"/>
                    </a:xfrm>
                    <a:prstGeom prst="rect">
                      <a:avLst/>
                    </a:prstGeom>
                  </pic:spPr>
                </pic:pic>
              </a:graphicData>
            </a:graphic>
          </wp:inline>
        </w:drawing>
      </w:r>
      <w:r>
        <w:rPr>
          <w:sz w:val="20"/>
        </w:rPr>
      </w:r>
    </w:p>
    <w:p>
      <w:pPr>
        <w:pStyle w:val="BodyText"/>
        <w:rPr>
          <w:b/>
        </w:rPr>
      </w:pPr>
    </w:p>
    <w:p>
      <w:pPr>
        <w:pStyle w:val="BodyText"/>
        <w:spacing w:before="65"/>
        <w:rPr>
          <w:b/>
        </w:rPr>
      </w:pPr>
    </w:p>
    <w:p>
      <w:pPr>
        <w:pStyle w:val="Heading2"/>
        <w:spacing w:line="480" w:lineRule="auto"/>
        <w:ind w:left="4043" w:right="1175" w:hanging="3265"/>
      </w:pPr>
      <w:r>
        <w:rPr/>
        <w:t>Figure</w:t>
      </w:r>
      <w:r>
        <w:rPr>
          <w:spacing w:val="-5"/>
        </w:rPr>
        <w:t> </w:t>
      </w:r>
      <w:r>
        <w:rPr/>
        <w:t>4.5:</w:t>
      </w:r>
      <w:r>
        <w:rPr>
          <w:spacing w:val="-5"/>
        </w:rPr>
        <w:t> </w:t>
      </w:r>
      <w:r>
        <w:rPr/>
        <w:t>Calibration</w:t>
      </w:r>
      <w:r>
        <w:rPr>
          <w:spacing w:val="-3"/>
        </w:rPr>
        <w:t> </w:t>
      </w:r>
      <w:r>
        <w:rPr/>
        <w:t>curve</w:t>
      </w:r>
      <w:r>
        <w:rPr>
          <w:spacing w:val="-5"/>
        </w:rPr>
        <w:t> </w:t>
      </w:r>
      <w:r>
        <w:rPr/>
        <w:t>of</w:t>
      </w:r>
      <w:r>
        <w:rPr>
          <w:spacing w:val="-2"/>
        </w:rPr>
        <w:t> </w:t>
      </w:r>
      <w:r>
        <w:rPr/>
        <w:t>tinidazole</w:t>
      </w:r>
      <w:r>
        <w:rPr>
          <w:spacing w:val="-4"/>
        </w:rPr>
        <w:t> </w:t>
      </w:r>
      <w:r>
        <w:rPr/>
        <w:t>in</w:t>
      </w:r>
      <w:r>
        <w:rPr>
          <w:spacing w:val="-4"/>
        </w:rPr>
        <w:t> </w:t>
      </w:r>
      <w:r>
        <w:rPr/>
        <w:t>phosphate</w:t>
      </w:r>
      <w:r>
        <w:rPr>
          <w:spacing w:val="-5"/>
        </w:rPr>
        <w:t> </w:t>
      </w:r>
      <w:r>
        <w:rPr/>
        <w:t>buffer</w:t>
      </w:r>
      <w:r>
        <w:rPr>
          <w:spacing w:val="-5"/>
        </w:rPr>
        <w:t> </w:t>
      </w:r>
      <w:r>
        <w:rPr/>
        <w:t>6.8</w:t>
      </w:r>
      <w:r>
        <w:rPr>
          <w:spacing w:val="-3"/>
        </w:rPr>
        <w:t> </w:t>
      </w:r>
      <w:r>
        <w:rPr/>
        <w:t>(Simulated intestinal pH)</w:t>
      </w:r>
    </w:p>
    <w:p>
      <w:pPr>
        <w:spacing w:after="0" w:line="480" w:lineRule="auto"/>
        <w:sectPr>
          <w:pgSz w:w="12240" w:h="15840"/>
          <w:pgMar w:header="0" w:footer="1068" w:top="1820" w:bottom="1260" w:left="1420" w:right="440"/>
        </w:sectPr>
      </w:pPr>
    </w:p>
    <w:p>
      <w:pPr>
        <w:pStyle w:val="ListParagraph"/>
        <w:numPr>
          <w:ilvl w:val="3"/>
          <w:numId w:val="22"/>
        </w:numPr>
        <w:tabs>
          <w:tab w:pos="1099" w:val="left" w:leader="none"/>
        </w:tabs>
        <w:spacing w:line="240" w:lineRule="auto" w:before="72" w:after="0"/>
        <w:ind w:left="1099" w:right="0" w:hanging="719"/>
        <w:jc w:val="left"/>
        <w:rPr>
          <w:i/>
          <w:sz w:val="24"/>
        </w:rPr>
      </w:pPr>
      <w:r>
        <w:rPr>
          <w:i/>
          <w:sz w:val="24"/>
        </w:rPr>
        <w:t>Linearity</w:t>
      </w:r>
      <w:r>
        <w:rPr>
          <w:i/>
          <w:spacing w:val="-2"/>
          <w:sz w:val="24"/>
        </w:rPr>
        <w:t> </w:t>
      </w:r>
      <w:r>
        <w:rPr>
          <w:i/>
          <w:sz w:val="24"/>
        </w:rPr>
        <w:t>of tinidazole</w:t>
      </w:r>
      <w:r>
        <w:rPr>
          <w:i/>
          <w:spacing w:val="-1"/>
          <w:sz w:val="24"/>
        </w:rPr>
        <w:t> </w:t>
      </w:r>
      <w:r>
        <w:rPr>
          <w:i/>
          <w:sz w:val="24"/>
        </w:rPr>
        <w:t>in</w:t>
      </w:r>
      <w:r>
        <w:rPr>
          <w:i/>
          <w:spacing w:val="-1"/>
          <w:sz w:val="24"/>
        </w:rPr>
        <w:t> </w:t>
      </w:r>
      <w:r>
        <w:rPr>
          <w:i/>
          <w:sz w:val="24"/>
        </w:rPr>
        <w:t>phosphate buffer</w:t>
      </w:r>
      <w:r>
        <w:rPr>
          <w:i/>
          <w:spacing w:val="-1"/>
          <w:sz w:val="24"/>
        </w:rPr>
        <w:t> </w:t>
      </w:r>
      <w:r>
        <w:rPr>
          <w:i/>
          <w:sz w:val="24"/>
        </w:rPr>
        <w:t>of</w:t>
      </w:r>
      <w:r>
        <w:rPr>
          <w:i/>
          <w:spacing w:val="-1"/>
          <w:sz w:val="24"/>
        </w:rPr>
        <w:t> </w:t>
      </w:r>
      <w:r>
        <w:rPr>
          <w:i/>
          <w:sz w:val="24"/>
        </w:rPr>
        <w:t>pH 7.4</w:t>
      </w:r>
      <w:r>
        <w:rPr>
          <w:i/>
          <w:spacing w:val="-1"/>
          <w:sz w:val="24"/>
        </w:rPr>
        <w:t> </w:t>
      </w:r>
      <w:r>
        <w:rPr>
          <w:i/>
          <w:sz w:val="24"/>
        </w:rPr>
        <w:t>(Blood </w:t>
      </w:r>
      <w:r>
        <w:rPr>
          <w:i/>
          <w:spacing w:val="-5"/>
          <w:sz w:val="24"/>
        </w:rPr>
        <w:t>pH)</w:t>
      </w:r>
    </w:p>
    <w:p>
      <w:pPr>
        <w:pStyle w:val="BodyText"/>
        <w:rPr>
          <w:i/>
        </w:rPr>
      </w:pPr>
    </w:p>
    <w:p>
      <w:pPr>
        <w:pStyle w:val="BodyText"/>
        <w:spacing w:line="480" w:lineRule="auto"/>
        <w:ind w:left="380" w:right="1266"/>
        <w:jc w:val="both"/>
      </w:pPr>
      <w:r>
        <w:rPr/>
        <w:t>The calibration curve of tinidazole in phosphate buffer 7.4 (simulated blood pH) (figure 4.6) gave a very good linearity in the concentration range of 5-50 </w:t>
      </w:r>
      <w:r>
        <w:rPr>
          <w:rFonts w:ascii="Calibri" w:hAnsi="Calibri"/>
        </w:rPr>
        <w:t>µ</w:t>
      </w:r>
      <w:r>
        <w:rPr/>
        <w:t>g/mL. The regression equation of (y = 0.29x-0.014) and the plot of the concentration against absorbencies gave</w:t>
      </w:r>
      <w:r>
        <w:rPr>
          <w:spacing w:val="80"/>
        </w:rPr>
        <w:t> </w:t>
      </w:r>
      <w:r>
        <w:rPr/>
        <w:t>a correlation coefficient (r) of 0.995.</w:t>
      </w:r>
    </w:p>
    <w:p>
      <w:pPr>
        <w:spacing w:before="6"/>
        <w:ind w:left="380" w:right="0" w:firstLine="0"/>
        <w:jc w:val="both"/>
        <w:rPr>
          <w:b/>
          <w:sz w:val="28"/>
        </w:rPr>
      </w:pPr>
      <w:r>
        <w:rPr>
          <w:sz w:val="24"/>
        </w:rPr>
        <w:t>N.B:</w:t>
      </w:r>
      <w:r>
        <w:rPr>
          <w:spacing w:val="38"/>
          <w:sz w:val="24"/>
        </w:rPr>
        <w:t>  </w:t>
      </w:r>
      <w:r>
        <w:rPr>
          <w:b/>
          <w:sz w:val="28"/>
        </w:rPr>
        <w:t>r </w:t>
      </w:r>
      <w:r>
        <w:rPr>
          <w:b/>
          <w:spacing w:val="-4"/>
          <w:sz w:val="28"/>
        </w:rPr>
        <w:t>=√r</w:t>
      </w:r>
      <w:r>
        <w:rPr>
          <w:b/>
          <w:spacing w:val="-4"/>
          <w:sz w:val="28"/>
          <w:vertAlign w:val="superscript"/>
        </w:rPr>
        <w:t>2</w:t>
      </w:r>
    </w:p>
    <w:p>
      <w:pPr>
        <w:spacing w:after="0"/>
        <w:jc w:val="both"/>
        <w:rPr>
          <w:sz w:val="28"/>
        </w:rPr>
        <w:sectPr>
          <w:pgSz w:w="12240" w:h="15840"/>
          <w:pgMar w:header="0" w:footer="1068" w:top="1540" w:bottom="1260" w:left="1420" w:right="440"/>
        </w:sectPr>
      </w:pPr>
    </w:p>
    <w:p>
      <w:pPr>
        <w:pStyle w:val="BodyText"/>
        <w:spacing w:before="122"/>
        <w:rPr>
          <w:b/>
          <w:sz w:val="20"/>
        </w:rPr>
      </w:pPr>
    </w:p>
    <w:p>
      <w:pPr>
        <w:pStyle w:val="BodyText"/>
        <w:ind w:left="389"/>
        <w:rPr>
          <w:sz w:val="20"/>
        </w:rPr>
      </w:pPr>
      <w:r>
        <w:rPr>
          <w:sz w:val="20"/>
        </w:rPr>
        <w:drawing>
          <wp:inline distT="0" distB="0" distL="0" distR="0">
            <wp:extent cx="5684612" cy="4226814"/>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0" cstate="print"/>
                    <a:stretch>
                      <a:fillRect/>
                    </a:stretch>
                  </pic:blipFill>
                  <pic:spPr>
                    <a:xfrm>
                      <a:off x="0" y="0"/>
                      <a:ext cx="5684612" cy="4226814"/>
                    </a:xfrm>
                    <a:prstGeom prst="rect">
                      <a:avLst/>
                    </a:prstGeom>
                  </pic:spPr>
                </pic:pic>
              </a:graphicData>
            </a:graphic>
          </wp:inline>
        </w:drawing>
      </w:r>
      <w:r>
        <w:rPr>
          <w:sz w:val="20"/>
        </w:rPr>
      </w:r>
    </w:p>
    <w:p>
      <w:pPr>
        <w:pStyle w:val="BodyText"/>
        <w:spacing w:before="265"/>
        <w:rPr>
          <w:b/>
        </w:rPr>
      </w:pPr>
    </w:p>
    <w:p>
      <w:pPr>
        <w:pStyle w:val="Heading2"/>
        <w:spacing w:line="480" w:lineRule="auto"/>
        <w:ind w:left="4545" w:right="1175" w:hanging="4083"/>
      </w:pPr>
      <w:r>
        <w:rPr/>
        <w:t>Figure</w:t>
      </w:r>
      <w:r>
        <w:rPr>
          <w:spacing w:val="-5"/>
        </w:rPr>
        <w:t> </w:t>
      </w:r>
      <w:r>
        <w:rPr/>
        <w:t>4.6:</w:t>
      </w:r>
      <w:r>
        <w:rPr>
          <w:spacing w:val="-5"/>
        </w:rPr>
        <w:t> </w:t>
      </w:r>
      <w:r>
        <w:rPr/>
        <w:t>Calibration</w:t>
      </w:r>
      <w:r>
        <w:rPr>
          <w:spacing w:val="-3"/>
        </w:rPr>
        <w:t> </w:t>
      </w:r>
      <w:r>
        <w:rPr/>
        <w:t>curve</w:t>
      </w:r>
      <w:r>
        <w:rPr>
          <w:spacing w:val="-5"/>
        </w:rPr>
        <w:t> </w:t>
      </w:r>
      <w:r>
        <w:rPr/>
        <w:t>of</w:t>
      </w:r>
      <w:r>
        <w:rPr>
          <w:spacing w:val="-1"/>
        </w:rPr>
        <w:t> </w:t>
      </w:r>
      <w:r>
        <w:rPr/>
        <w:t>tinidazole</w:t>
      </w:r>
      <w:r>
        <w:rPr>
          <w:spacing w:val="-4"/>
        </w:rPr>
        <w:t> </w:t>
      </w:r>
      <w:r>
        <w:rPr/>
        <w:t>in</w:t>
      </w:r>
      <w:r>
        <w:rPr>
          <w:spacing w:val="-3"/>
        </w:rPr>
        <w:t> </w:t>
      </w:r>
      <w:r>
        <w:rPr/>
        <w:t>phosphate</w:t>
      </w:r>
      <w:r>
        <w:rPr>
          <w:spacing w:val="-5"/>
        </w:rPr>
        <w:t> </w:t>
      </w:r>
      <w:r>
        <w:rPr/>
        <w:t>buffer</w:t>
      </w:r>
      <w:r>
        <w:rPr>
          <w:spacing w:val="-5"/>
        </w:rPr>
        <w:t> </w:t>
      </w:r>
      <w:r>
        <w:rPr/>
        <w:t>7.4</w:t>
      </w:r>
      <w:r>
        <w:rPr>
          <w:spacing w:val="-4"/>
        </w:rPr>
        <w:t> </w:t>
      </w:r>
      <w:r>
        <w:rPr/>
        <w:t>(Simulated</w:t>
      </w:r>
      <w:r>
        <w:rPr>
          <w:spacing w:val="-4"/>
        </w:rPr>
        <w:t> </w:t>
      </w:r>
      <w:r>
        <w:rPr/>
        <w:t>blood </w:t>
      </w:r>
      <w:r>
        <w:rPr>
          <w:spacing w:val="-4"/>
        </w:rPr>
        <w:t>pH)</w:t>
      </w:r>
    </w:p>
    <w:p>
      <w:pPr>
        <w:spacing w:after="0" w:line="480" w:lineRule="auto"/>
        <w:sectPr>
          <w:pgSz w:w="12240" w:h="15840"/>
          <w:pgMar w:header="0" w:footer="1068" w:top="1820" w:bottom="1260" w:left="1420" w:right="440"/>
        </w:sectPr>
      </w:pPr>
    </w:p>
    <w:p>
      <w:pPr>
        <w:spacing w:before="73"/>
        <w:ind w:left="380" w:right="0" w:firstLine="0"/>
        <w:jc w:val="left"/>
        <w:rPr>
          <w:b/>
          <w:sz w:val="24"/>
        </w:rPr>
      </w:pPr>
      <w:r>
        <w:rPr>
          <w:b/>
          <w:sz w:val="24"/>
        </w:rPr>
        <w:t>Table</w:t>
      </w:r>
      <w:r>
        <w:rPr>
          <w:b/>
          <w:spacing w:val="-4"/>
          <w:sz w:val="24"/>
        </w:rPr>
        <w:t> </w:t>
      </w:r>
      <w:r>
        <w:rPr>
          <w:b/>
          <w:sz w:val="24"/>
        </w:rPr>
        <w:t>4.7:</w:t>
      </w:r>
      <w:r>
        <w:rPr>
          <w:b/>
          <w:spacing w:val="-2"/>
          <w:sz w:val="24"/>
        </w:rPr>
        <w:t> </w:t>
      </w:r>
      <w:r>
        <w:rPr>
          <w:b/>
          <w:sz w:val="24"/>
        </w:rPr>
        <w:t>Validation parameters</w:t>
      </w:r>
      <w:r>
        <w:rPr>
          <w:b/>
          <w:spacing w:val="-1"/>
          <w:sz w:val="24"/>
        </w:rPr>
        <w:t> </w:t>
      </w:r>
      <w:r>
        <w:rPr>
          <w:b/>
          <w:sz w:val="24"/>
        </w:rPr>
        <w:t>for</w:t>
      </w:r>
      <w:r>
        <w:rPr>
          <w:b/>
          <w:spacing w:val="-3"/>
          <w:sz w:val="24"/>
        </w:rPr>
        <w:t> </w:t>
      </w:r>
      <w:r>
        <w:rPr>
          <w:b/>
          <w:sz w:val="24"/>
        </w:rPr>
        <w:t>the</w:t>
      </w:r>
      <w:r>
        <w:rPr>
          <w:b/>
          <w:spacing w:val="-2"/>
          <w:sz w:val="24"/>
        </w:rPr>
        <w:t> </w:t>
      </w:r>
      <w:r>
        <w:rPr>
          <w:b/>
          <w:sz w:val="24"/>
        </w:rPr>
        <w:t>analytical</w:t>
      </w:r>
      <w:r>
        <w:rPr>
          <w:b/>
          <w:spacing w:val="1"/>
          <w:sz w:val="24"/>
        </w:rPr>
        <w:t> </w:t>
      </w:r>
      <w:r>
        <w:rPr>
          <w:b/>
          <w:spacing w:val="-2"/>
          <w:sz w:val="24"/>
        </w:rPr>
        <w:t>methods</w:t>
      </w:r>
    </w:p>
    <w:p>
      <w:pPr>
        <w:pStyle w:val="BodyText"/>
        <w:spacing w:before="49"/>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9"/>
        <w:gridCol w:w="2068"/>
        <w:gridCol w:w="2186"/>
        <w:gridCol w:w="2386"/>
      </w:tblGrid>
      <w:tr>
        <w:trPr>
          <w:trHeight w:val="623" w:hRule="atLeast"/>
        </w:trPr>
        <w:tc>
          <w:tcPr>
            <w:tcW w:w="2199" w:type="dxa"/>
            <w:tcBorders>
              <w:top w:val="single" w:sz="4" w:space="0" w:color="000000"/>
              <w:bottom w:val="single" w:sz="4" w:space="0" w:color="000000"/>
            </w:tcBorders>
          </w:tcPr>
          <w:p>
            <w:pPr>
              <w:pStyle w:val="TableParagraph"/>
              <w:spacing w:line="240" w:lineRule="auto" w:before="253"/>
              <w:ind w:left="108"/>
              <w:rPr>
                <w:b/>
                <w:sz w:val="22"/>
              </w:rPr>
            </w:pPr>
            <w:r>
              <w:rPr>
                <w:b/>
                <w:spacing w:val="-2"/>
                <w:sz w:val="22"/>
              </w:rPr>
              <w:t>Parameters</w:t>
            </w:r>
          </w:p>
        </w:tc>
        <w:tc>
          <w:tcPr>
            <w:tcW w:w="2068" w:type="dxa"/>
            <w:tcBorders>
              <w:top w:val="single" w:sz="4" w:space="0" w:color="000000"/>
              <w:bottom w:val="single" w:sz="4" w:space="0" w:color="000000"/>
            </w:tcBorders>
          </w:tcPr>
          <w:p>
            <w:pPr>
              <w:pStyle w:val="TableParagraph"/>
              <w:spacing w:line="240" w:lineRule="auto" w:before="253"/>
              <w:ind w:left="160"/>
              <w:rPr>
                <w:b/>
                <w:sz w:val="22"/>
              </w:rPr>
            </w:pPr>
            <w:r>
              <w:rPr>
                <w:b/>
                <w:sz w:val="22"/>
              </w:rPr>
              <w:t>0.1N</w:t>
            </w:r>
            <w:r>
              <w:rPr>
                <w:b/>
                <w:spacing w:val="-2"/>
                <w:sz w:val="22"/>
              </w:rPr>
              <w:t> </w:t>
            </w:r>
            <w:r>
              <w:rPr>
                <w:b/>
                <w:sz w:val="22"/>
              </w:rPr>
              <w:t>HCl</w:t>
            </w:r>
            <w:r>
              <w:rPr>
                <w:b/>
                <w:spacing w:val="-3"/>
                <w:sz w:val="22"/>
              </w:rPr>
              <w:t> </w:t>
            </w:r>
            <w:r>
              <w:rPr>
                <w:b/>
                <w:spacing w:val="-2"/>
                <w:sz w:val="22"/>
              </w:rPr>
              <w:t>method</w:t>
            </w:r>
          </w:p>
        </w:tc>
        <w:tc>
          <w:tcPr>
            <w:tcW w:w="2186" w:type="dxa"/>
            <w:tcBorders>
              <w:top w:val="single" w:sz="4" w:space="0" w:color="000000"/>
              <w:bottom w:val="single" w:sz="4" w:space="0" w:color="000000"/>
            </w:tcBorders>
          </w:tcPr>
          <w:p>
            <w:pPr>
              <w:pStyle w:val="TableParagraph"/>
              <w:spacing w:line="240" w:lineRule="auto" w:before="253"/>
              <w:ind w:left="262"/>
              <w:rPr>
                <w:b/>
                <w:sz w:val="22"/>
              </w:rPr>
            </w:pPr>
            <w:r>
              <w:rPr>
                <w:b/>
                <w:sz w:val="22"/>
              </w:rPr>
              <w:t>Po4</w:t>
            </w:r>
            <w:r>
              <w:rPr>
                <w:b/>
                <w:spacing w:val="-5"/>
                <w:sz w:val="22"/>
              </w:rPr>
              <w:t> </w:t>
            </w:r>
            <w:r>
              <w:rPr>
                <w:b/>
                <w:sz w:val="22"/>
              </w:rPr>
              <w:t>buffer</w:t>
            </w:r>
            <w:r>
              <w:rPr>
                <w:b/>
                <w:spacing w:val="-3"/>
                <w:sz w:val="22"/>
              </w:rPr>
              <w:t> </w:t>
            </w:r>
            <w:r>
              <w:rPr>
                <w:b/>
                <w:sz w:val="22"/>
              </w:rPr>
              <w:t>pH</w:t>
            </w:r>
            <w:r>
              <w:rPr>
                <w:b/>
                <w:spacing w:val="-1"/>
                <w:sz w:val="22"/>
              </w:rPr>
              <w:t> </w:t>
            </w:r>
            <w:r>
              <w:rPr>
                <w:b/>
                <w:spacing w:val="-5"/>
                <w:sz w:val="22"/>
              </w:rPr>
              <w:t>6.8</w:t>
            </w:r>
          </w:p>
        </w:tc>
        <w:tc>
          <w:tcPr>
            <w:tcW w:w="2386" w:type="dxa"/>
            <w:tcBorders>
              <w:top w:val="single" w:sz="4" w:space="0" w:color="000000"/>
              <w:bottom w:val="single" w:sz="4" w:space="0" w:color="000000"/>
            </w:tcBorders>
          </w:tcPr>
          <w:p>
            <w:pPr>
              <w:pStyle w:val="TableParagraph"/>
              <w:spacing w:line="240" w:lineRule="auto" w:before="253"/>
              <w:ind w:left="248"/>
              <w:rPr>
                <w:b/>
                <w:sz w:val="22"/>
              </w:rPr>
            </w:pPr>
            <w:r>
              <w:rPr>
                <w:b/>
                <w:sz w:val="22"/>
              </w:rPr>
              <w:t>Po4</w:t>
            </w:r>
            <w:r>
              <w:rPr>
                <w:b/>
                <w:spacing w:val="-5"/>
                <w:sz w:val="22"/>
              </w:rPr>
              <w:t> </w:t>
            </w:r>
            <w:r>
              <w:rPr>
                <w:b/>
                <w:sz w:val="22"/>
              </w:rPr>
              <w:t>buffer</w:t>
            </w:r>
            <w:r>
              <w:rPr>
                <w:b/>
                <w:spacing w:val="-3"/>
                <w:sz w:val="22"/>
              </w:rPr>
              <w:t> </w:t>
            </w:r>
            <w:r>
              <w:rPr>
                <w:b/>
                <w:sz w:val="22"/>
              </w:rPr>
              <w:t>pH</w:t>
            </w:r>
            <w:r>
              <w:rPr>
                <w:b/>
                <w:spacing w:val="-1"/>
                <w:sz w:val="22"/>
              </w:rPr>
              <w:t> </w:t>
            </w:r>
            <w:r>
              <w:rPr>
                <w:b/>
                <w:spacing w:val="-5"/>
                <w:sz w:val="22"/>
              </w:rPr>
              <w:t>7.4</w:t>
            </w:r>
          </w:p>
        </w:tc>
      </w:tr>
      <w:tr>
        <w:trPr>
          <w:trHeight w:val="673" w:hRule="atLeast"/>
        </w:trPr>
        <w:tc>
          <w:tcPr>
            <w:tcW w:w="2199" w:type="dxa"/>
            <w:tcBorders>
              <w:top w:val="single" w:sz="4" w:space="0" w:color="000000"/>
            </w:tcBorders>
          </w:tcPr>
          <w:p>
            <w:pPr>
              <w:pStyle w:val="TableParagraph"/>
              <w:spacing w:line="240" w:lineRule="auto" w:before="253"/>
              <w:ind w:left="108"/>
              <w:rPr>
                <w:b/>
                <w:sz w:val="22"/>
              </w:rPr>
            </w:pPr>
            <w:r>
              <w:rPr>
                <w:b/>
                <w:sz w:val="22"/>
              </w:rPr>
              <w:t>Accuracy</w:t>
            </w:r>
            <w:r>
              <w:rPr>
                <w:b/>
                <w:spacing w:val="-5"/>
                <w:sz w:val="22"/>
              </w:rPr>
              <w:t> </w:t>
            </w:r>
            <w:r>
              <w:rPr>
                <w:b/>
                <w:sz w:val="22"/>
              </w:rPr>
              <w:t>(%</w:t>
            </w:r>
            <w:r>
              <w:rPr>
                <w:b/>
                <w:spacing w:val="-4"/>
                <w:sz w:val="22"/>
              </w:rPr>
              <w:t> </w:t>
            </w:r>
            <w:r>
              <w:rPr>
                <w:b/>
                <w:spacing w:val="-5"/>
                <w:sz w:val="22"/>
              </w:rPr>
              <w:t>E</w:t>
            </w:r>
            <w:r>
              <w:rPr>
                <w:b/>
                <w:spacing w:val="-5"/>
                <w:sz w:val="22"/>
                <w:vertAlign w:val="subscript"/>
              </w:rPr>
              <w:t>r</w:t>
            </w:r>
            <w:r>
              <w:rPr>
                <w:b/>
                <w:spacing w:val="-5"/>
                <w:sz w:val="22"/>
                <w:vertAlign w:val="baseline"/>
              </w:rPr>
              <w:t>)</w:t>
            </w:r>
          </w:p>
        </w:tc>
        <w:tc>
          <w:tcPr>
            <w:tcW w:w="2068" w:type="dxa"/>
            <w:tcBorders>
              <w:top w:val="single" w:sz="4" w:space="0" w:color="000000"/>
            </w:tcBorders>
          </w:tcPr>
          <w:p>
            <w:pPr>
              <w:pStyle w:val="TableParagraph"/>
              <w:spacing w:line="240" w:lineRule="auto" w:before="248"/>
              <w:ind w:left="160"/>
              <w:rPr>
                <w:sz w:val="22"/>
              </w:rPr>
            </w:pPr>
            <w:r>
              <w:rPr>
                <w:spacing w:val="-4"/>
                <w:sz w:val="22"/>
              </w:rPr>
              <w:t>3.80</w:t>
            </w:r>
          </w:p>
        </w:tc>
        <w:tc>
          <w:tcPr>
            <w:tcW w:w="2186" w:type="dxa"/>
            <w:tcBorders>
              <w:top w:val="single" w:sz="4" w:space="0" w:color="000000"/>
            </w:tcBorders>
          </w:tcPr>
          <w:p>
            <w:pPr>
              <w:pStyle w:val="TableParagraph"/>
              <w:spacing w:line="240" w:lineRule="auto" w:before="248"/>
              <w:ind w:left="262"/>
              <w:rPr>
                <w:sz w:val="22"/>
              </w:rPr>
            </w:pPr>
            <w:r>
              <w:rPr>
                <w:spacing w:val="-2"/>
                <w:sz w:val="22"/>
              </w:rPr>
              <w:t>4.165</w:t>
            </w:r>
          </w:p>
        </w:tc>
        <w:tc>
          <w:tcPr>
            <w:tcW w:w="2386" w:type="dxa"/>
            <w:tcBorders>
              <w:top w:val="single" w:sz="4" w:space="0" w:color="000000"/>
            </w:tcBorders>
          </w:tcPr>
          <w:p>
            <w:pPr>
              <w:pStyle w:val="TableParagraph"/>
              <w:spacing w:line="240" w:lineRule="auto" w:before="248"/>
              <w:ind w:left="248"/>
              <w:rPr>
                <w:sz w:val="22"/>
              </w:rPr>
            </w:pPr>
            <w:r>
              <w:rPr>
                <w:spacing w:val="-4"/>
                <w:sz w:val="22"/>
              </w:rPr>
              <w:t>4.14</w:t>
            </w:r>
          </w:p>
        </w:tc>
      </w:tr>
      <w:tr>
        <w:trPr>
          <w:trHeight w:val="1409" w:hRule="atLeast"/>
        </w:trPr>
        <w:tc>
          <w:tcPr>
            <w:tcW w:w="2199" w:type="dxa"/>
          </w:tcPr>
          <w:p>
            <w:pPr>
              <w:pStyle w:val="TableParagraph"/>
              <w:spacing w:line="477" w:lineRule="auto" w:before="145"/>
              <w:ind w:left="108"/>
              <w:rPr>
                <w:b/>
                <w:sz w:val="22"/>
              </w:rPr>
            </w:pPr>
            <w:r>
              <w:rPr>
                <w:b/>
                <w:sz w:val="22"/>
              </w:rPr>
              <w:t>Presicision</w:t>
            </w:r>
            <w:r>
              <w:rPr>
                <w:b/>
                <w:spacing w:val="-14"/>
                <w:sz w:val="22"/>
              </w:rPr>
              <w:t> </w:t>
            </w:r>
            <w:r>
              <w:rPr>
                <w:b/>
                <w:sz w:val="22"/>
              </w:rPr>
              <w:t>(%</w:t>
            </w:r>
            <w:r>
              <w:rPr>
                <w:b/>
                <w:spacing w:val="-14"/>
                <w:sz w:val="22"/>
              </w:rPr>
              <w:t> </w:t>
            </w:r>
            <w:r>
              <w:rPr>
                <w:b/>
                <w:sz w:val="22"/>
              </w:rPr>
              <w:t>RSD) </w:t>
            </w:r>
            <w:r>
              <w:rPr>
                <w:b/>
                <w:spacing w:val="-2"/>
                <w:sz w:val="22"/>
              </w:rPr>
              <w:t>Interday</w:t>
            </w:r>
          </w:p>
          <w:p>
            <w:pPr>
              <w:pStyle w:val="TableParagraph"/>
              <w:spacing w:line="233" w:lineRule="exact" w:before="4"/>
              <w:ind w:left="108"/>
              <w:rPr>
                <w:b/>
                <w:sz w:val="22"/>
              </w:rPr>
            </w:pPr>
            <w:r>
              <w:rPr>
                <w:b/>
                <w:spacing w:val="-2"/>
                <w:sz w:val="22"/>
              </w:rPr>
              <w:t>Intraday</w:t>
            </w:r>
          </w:p>
        </w:tc>
        <w:tc>
          <w:tcPr>
            <w:tcW w:w="2068" w:type="dxa"/>
          </w:tcPr>
          <w:p>
            <w:pPr>
              <w:pStyle w:val="TableParagraph"/>
              <w:spacing w:line="240" w:lineRule="auto"/>
              <w:rPr>
                <w:b/>
                <w:sz w:val="22"/>
              </w:rPr>
            </w:pPr>
          </w:p>
          <w:p>
            <w:pPr>
              <w:pStyle w:val="TableParagraph"/>
              <w:spacing w:line="240" w:lineRule="auto" w:before="138"/>
              <w:rPr>
                <w:b/>
                <w:sz w:val="22"/>
              </w:rPr>
            </w:pPr>
          </w:p>
          <w:p>
            <w:pPr>
              <w:pStyle w:val="TableParagraph"/>
              <w:spacing w:line="240" w:lineRule="auto"/>
              <w:ind w:left="160"/>
              <w:rPr>
                <w:sz w:val="22"/>
              </w:rPr>
            </w:pPr>
            <w:r>
              <w:rPr>
                <w:spacing w:val="-2"/>
                <w:sz w:val="22"/>
              </w:rPr>
              <w:t>0.3205</w:t>
            </w:r>
          </w:p>
          <w:p>
            <w:pPr>
              <w:pStyle w:val="TableParagraph"/>
              <w:spacing w:line="240" w:lineRule="auto" w:before="1"/>
              <w:rPr>
                <w:b/>
                <w:sz w:val="22"/>
              </w:rPr>
            </w:pPr>
          </w:p>
          <w:p>
            <w:pPr>
              <w:pStyle w:val="TableParagraph"/>
              <w:spacing w:line="238" w:lineRule="exact" w:before="1"/>
              <w:ind w:left="160"/>
              <w:rPr>
                <w:sz w:val="22"/>
              </w:rPr>
            </w:pPr>
            <w:r>
              <w:rPr>
                <w:spacing w:val="-2"/>
                <w:sz w:val="22"/>
              </w:rPr>
              <w:t>0.3087</w:t>
            </w:r>
          </w:p>
        </w:tc>
        <w:tc>
          <w:tcPr>
            <w:tcW w:w="2186" w:type="dxa"/>
          </w:tcPr>
          <w:p>
            <w:pPr>
              <w:pStyle w:val="TableParagraph"/>
              <w:spacing w:line="240" w:lineRule="auto"/>
              <w:rPr>
                <w:b/>
                <w:sz w:val="22"/>
              </w:rPr>
            </w:pPr>
          </w:p>
          <w:p>
            <w:pPr>
              <w:pStyle w:val="TableParagraph"/>
              <w:spacing w:line="240" w:lineRule="auto" w:before="138"/>
              <w:rPr>
                <w:b/>
                <w:sz w:val="22"/>
              </w:rPr>
            </w:pPr>
          </w:p>
          <w:p>
            <w:pPr>
              <w:pStyle w:val="TableParagraph"/>
              <w:spacing w:line="240" w:lineRule="auto"/>
              <w:ind w:left="262"/>
              <w:rPr>
                <w:sz w:val="22"/>
              </w:rPr>
            </w:pPr>
            <w:r>
              <w:rPr>
                <w:spacing w:val="-2"/>
                <w:sz w:val="22"/>
              </w:rPr>
              <w:t>0.8899</w:t>
            </w:r>
          </w:p>
          <w:p>
            <w:pPr>
              <w:pStyle w:val="TableParagraph"/>
              <w:spacing w:line="240" w:lineRule="auto" w:before="1"/>
              <w:rPr>
                <w:b/>
                <w:sz w:val="22"/>
              </w:rPr>
            </w:pPr>
          </w:p>
          <w:p>
            <w:pPr>
              <w:pStyle w:val="TableParagraph"/>
              <w:spacing w:line="238" w:lineRule="exact" w:before="1"/>
              <w:ind w:left="262"/>
              <w:rPr>
                <w:sz w:val="22"/>
              </w:rPr>
            </w:pPr>
            <w:r>
              <w:rPr>
                <w:spacing w:val="-2"/>
                <w:sz w:val="22"/>
              </w:rPr>
              <w:t>0.3520</w:t>
            </w:r>
          </w:p>
        </w:tc>
        <w:tc>
          <w:tcPr>
            <w:tcW w:w="2386" w:type="dxa"/>
          </w:tcPr>
          <w:p>
            <w:pPr>
              <w:pStyle w:val="TableParagraph"/>
              <w:spacing w:line="240" w:lineRule="auto"/>
              <w:rPr>
                <w:b/>
                <w:sz w:val="22"/>
              </w:rPr>
            </w:pPr>
          </w:p>
          <w:p>
            <w:pPr>
              <w:pStyle w:val="TableParagraph"/>
              <w:spacing w:line="240" w:lineRule="auto" w:before="138"/>
              <w:rPr>
                <w:b/>
                <w:sz w:val="22"/>
              </w:rPr>
            </w:pPr>
          </w:p>
          <w:p>
            <w:pPr>
              <w:pStyle w:val="TableParagraph"/>
              <w:spacing w:line="240" w:lineRule="auto"/>
              <w:ind w:left="248"/>
              <w:rPr>
                <w:sz w:val="22"/>
              </w:rPr>
            </w:pPr>
            <w:r>
              <w:rPr>
                <w:spacing w:val="-2"/>
                <w:sz w:val="22"/>
              </w:rPr>
              <w:t>1.1445</w:t>
            </w:r>
          </w:p>
          <w:p>
            <w:pPr>
              <w:pStyle w:val="TableParagraph"/>
              <w:spacing w:line="240" w:lineRule="auto" w:before="1"/>
              <w:rPr>
                <w:b/>
                <w:sz w:val="22"/>
              </w:rPr>
            </w:pPr>
          </w:p>
          <w:p>
            <w:pPr>
              <w:pStyle w:val="TableParagraph"/>
              <w:spacing w:line="238" w:lineRule="exact" w:before="1"/>
              <w:ind w:left="248"/>
              <w:rPr>
                <w:sz w:val="22"/>
              </w:rPr>
            </w:pPr>
            <w:r>
              <w:rPr>
                <w:spacing w:val="-2"/>
                <w:sz w:val="22"/>
              </w:rPr>
              <w:t>0.8102</w:t>
            </w:r>
          </w:p>
        </w:tc>
      </w:tr>
    </w:tbl>
    <w:p>
      <w:pPr>
        <w:pStyle w:val="BodyText"/>
        <w:rPr>
          <w:b/>
        </w:rPr>
      </w:pPr>
    </w:p>
    <w:p>
      <w:pPr>
        <w:pStyle w:val="BodyText"/>
        <w:rPr>
          <w:b/>
        </w:rPr>
      </w:pPr>
    </w:p>
    <w:p>
      <w:pPr>
        <w:pStyle w:val="BodyText"/>
        <w:spacing w:before="182"/>
        <w:rPr>
          <w:b/>
        </w:rPr>
      </w:pPr>
    </w:p>
    <w:p>
      <w:pPr>
        <w:pStyle w:val="BodyText"/>
        <w:ind w:left="380"/>
      </w:pPr>
      <w:r>
        <w:rPr/>
        <w:t>N.B:</w:t>
      </w:r>
      <w:r>
        <w:rPr>
          <w:spacing w:val="-1"/>
        </w:rPr>
        <w:t> </w:t>
      </w:r>
      <w:r>
        <w:rPr/>
        <w:t>Accuracy</w:t>
      </w:r>
      <w:r>
        <w:rPr>
          <w:spacing w:val="-5"/>
        </w:rPr>
        <w:t> </w:t>
      </w:r>
      <w:r>
        <w:rPr/>
        <w:t>(% Er)</w:t>
      </w:r>
      <w:r>
        <w:rPr>
          <w:spacing w:val="9"/>
        </w:rPr>
        <w:t> </w:t>
      </w:r>
      <w:r>
        <w:rPr>
          <w:b/>
          <w:sz w:val="28"/>
        </w:rPr>
        <w:t>=</w:t>
      </w:r>
      <w:r>
        <w:rPr>
          <w:b/>
          <w:spacing w:val="1"/>
          <w:sz w:val="28"/>
        </w:rPr>
        <w:t> </w:t>
      </w:r>
      <w:r>
        <w:rPr/>
        <w:t>Percentage</w:t>
      </w:r>
      <w:r>
        <w:rPr>
          <w:spacing w:val="-1"/>
        </w:rPr>
        <w:t> </w:t>
      </w:r>
      <w:r>
        <w:rPr/>
        <w:t>Relative Error</w:t>
      </w:r>
      <w:r>
        <w:rPr>
          <w:spacing w:val="-1"/>
        </w:rPr>
        <w:t> </w:t>
      </w:r>
      <w:r>
        <w:rPr/>
        <w:t>(acceptable</w:t>
      </w:r>
      <w:r>
        <w:rPr>
          <w:spacing w:val="-1"/>
        </w:rPr>
        <w:t> </w:t>
      </w:r>
      <w:r>
        <w:rPr/>
        <w:t>range</w:t>
      </w:r>
      <w:r>
        <w:rPr>
          <w:spacing w:val="-2"/>
        </w:rPr>
        <w:t> </w:t>
      </w:r>
      <w:r>
        <w:rPr/>
        <w:t>&lt;</w:t>
      </w:r>
      <w:r>
        <w:rPr>
          <w:spacing w:val="-1"/>
        </w:rPr>
        <w:t> </w:t>
      </w:r>
      <w:r>
        <w:rPr/>
        <w:t>5</w:t>
      </w:r>
      <w:r>
        <w:rPr>
          <w:spacing w:val="3"/>
        </w:rPr>
        <w:t> </w:t>
      </w:r>
      <w:r>
        <w:rPr>
          <w:spacing w:val="-5"/>
        </w:rPr>
        <w:t>%).</w:t>
      </w:r>
    </w:p>
    <w:p>
      <w:pPr>
        <w:pStyle w:val="BodyText"/>
        <w:spacing w:before="42"/>
      </w:pPr>
    </w:p>
    <w:p>
      <w:pPr>
        <w:pStyle w:val="BodyText"/>
        <w:ind w:left="380"/>
      </w:pPr>
      <w:r>
        <w:rPr/>
        <w:t>%</w:t>
      </w:r>
      <w:r>
        <w:rPr>
          <w:spacing w:val="-4"/>
        </w:rPr>
        <w:t> </w:t>
      </w:r>
      <w:r>
        <w:rPr/>
        <w:t>RSD</w:t>
      </w:r>
      <w:r>
        <w:rPr>
          <w:spacing w:val="-1"/>
        </w:rPr>
        <w:t> </w:t>
      </w:r>
      <w:r>
        <w:rPr/>
        <w:t>=</w:t>
      </w:r>
      <w:r>
        <w:rPr>
          <w:spacing w:val="-3"/>
        </w:rPr>
        <w:t> </w:t>
      </w:r>
      <w:r>
        <w:rPr/>
        <w:t>Percentage</w:t>
      </w:r>
      <w:r>
        <w:rPr>
          <w:spacing w:val="-2"/>
        </w:rPr>
        <w:t> </w:t>
      </w:r>
      <w:r>
        <w:rPr/>
        <w:t>Relative</w:t>
      </w:r>
      <w:r>
        <w:rPr>
          <w:spacing w:val="-1"/>
        </w:rPr>
        <w:t> </w:t>
      </w:r>
      <w:r>
        <w:rPr/>
        <w:t>Standard</w:t>
      </w:r>
      <w:r>
        <w:rPr>
          <w:spacing w:val="1"/>
        </w:rPr>
        <w:t> </w:t>
      </w:r>
      <w:r>
        <w:rPr/>
        <w:t>Deviation</w:t>
      </w:r>
      <w:r>
        <w:rPr>
          <w:spacing w:val="-1"/>
        </w:rPr>
        <w:t> </w:t>
      </w:r>
      <w:r>
        <w:rPr/>
        <w:t>&lt;</w:t>
      </w:r>
      <w:r>
        <w:rPr>
          <w:spacing w:val="-2"/>
        </w:rPr>
        <w:t> </w:t>
      </w:r>
      <w:r>
        <w:rPr/>
        <w:t>2</w:t>
      </w:r>
      <w:r>
        <w:rPr>
          <w:spacing w:val="1"/>
        </w:rPr>
        <w:t> </w:t>
      </w:r>
      <w:r>
        <w:rPr>
          <w:spacing w:val="-5"/>
        </w:rPr>
        <w:t>%.</w:t>
      </w:r>
    </w:p>
    <w:p>
      <w:pPr>
        <w:spacing w:after="0"/>
        <w:sectPr>
          <w:pgSz w:w="12240" w:h="15840"/>
          <w:pgMar w:header="0" w:footer="1068" w:top="1820" w:bottom="1260" w:left="1420" w:right="440"/>
        </w:sectPr>
      </w:pPr>
    </w:p>
    <w:p>
      <w:pPr>
        <w:pStyle w:val="ListParagraph"/>
        <w:numPr>
          <w:ilvl w:val="1"/>
          <w:numId w:val="22"/>
        </w:numPr>
        <w:tabs>
          <w:tab w:pos="3349" w:val="left" w:leader="none"/>
        </w:tabs>
        <w:spacing w:line="240" w:lineRule="auto" w:before="77" w:after="0"/>
        <w:ind w:left="3349" w:right="0" w:hanging="360"/>
        <w:jc w:val="both"/>
        <w:rPr>
          <w:b/>
          <w:sz w:val="24"/>
        </w:rPr>
      </w:pPr>
      <w:r>
        <w:rPr>
          <w:b/>
          <w:i/>
          <w:sz w:val="24"/>
        </w:rPr>
        <w:t>In</w:t>
      </w:r>
      <w:r>
        <w:rPr>
          <w:b/>
          <w:i/>
          <w:spacing w:val="-2"/>
          <w:sz w:val="24"/>
        </w:rPr>
        <w:t> </w:t>
      </w:r>
      <w:r>
        <w:rPr>
          <w:b/>
          <w:i/>
          <w:sz w:val="24"/>
        </w:rPr>
        <w:t>Vitro</w:t>
      </w:r>
      <w:r>
        <w:rPr>
          <w:b/>
          <w:i/>
          <w:spacing w:val="-2"/>
          <w:sz w:val="24"/>
        </w:rPr>
        <w:t> </w:t>
      </w:r>
      <w:r>
        <w:rPr>
          <w:b/>
          <w:sz w:val="24"/>
        </w:rPr>
        <w:t>Bioavailability</w:t>
      </w:r>
      <w:r>
        <w:rPr>
          <w:b/>
          <w:spacing w:val="-2"/>
          <w:sz w:val="24"/>
        </w:rPr>
        <w:t> Studies</w:t>
      </w:r>
    </w:p>
    <w:p>
      <w:pPr>
        <w:pStyle w:val="BodyText"/>
        <w:spacing w:line="480" w:lineRule="auto" w:before="271"/>
        <w:ind w:left="380" w:right="1265"/>
        <w:jc w:val="both"/>
      </w:pPr>
      <w:r>
        <w:rPr/>
        <w:t>The </w:t>
      </w:r>
      <w:r>
        <w:rPr>
          <w:i/>
        </w:rPr>
        <w:t>in-vitro </w:t>
      </w:r>
      <w:r>
        <w:rPr/>
        <w:t>bioavailabilities for each of the tablet samples in simulated gastric, intestinal and blood pH are shown in Table 4.8. All the tablet brands attained an </w:t>
      </w:r>
      <w:r>
        <w:rPr>
          <w:i/>
        </w:rPr>
        <w:t>in vitro </w:t>
      </w:r>
      <w:r>
        <w:rPr/>
        <w:t>bioavailability of 100 % in simulated blood pH. However, in simulated gastric and intestinal pH, varying bioavailabilities were observed (Table 4.8) detail calculations of the bioavailabilities are shown in appendix.</w:t>
      </w:r>
    </w:p>
    <w:p>
      <w:pPr>
        <w:pStyle w:val="BodyText"/>
        <w:spacing w:before="49"/>
      </w:pPr>
    </w:p>
    <w:p>
      <w:pPr>
        <w:pStyle w:val="Heading2"/>
        <w:jc w:val="both"/>
      </w:pPr>
      <w:r>
        <w:rPr/>
        <w:t>Table</w:t>
      </w:r>
      <w:r>
        <w:rPr>
          <w:spacing w:val="-2"/>
        </w:rPr>
        <w:t> </w:t>
      </w:r>
      <w:r>
        <w:rPr/>
        <w:t>4.8:</w:t>
      </w:r>
      <w:r>
        <w:rPr>
          <w:spacing w:val="-3"/>
        </w:rPr>
        <w:t> </w:t>
      </w:r>
      <w:r>
        <w:rPr>
          <w:i/>
        </w:rPr>
        <w:t>In</w:t>
      </w:r>
      <w:r>
        <w:rPr>
          <w:i/>
          <w:spacing w:val="-2"/>
        </w:rPr>
        <w:t> </w:t>
      </w:r>
      <w:r>
        <w:rPr>
          <w:i/>
        </w:rPr>
        <w:t>vitro</w:t>
      </w:r>
      <w:r>
        <w:rPr>
          <w:i/>
          <w:spacing w:val="-2"/>
        </w:rPr>
        <w:t> </w:t>
      </w:r>
      <w:r>
        <w:rPr/>
        <w:t>bioavailability</w:t>
      </w:r>
      <w:r>
        <w:rPr>
          <w:spacing w:val="-2"/>
        </w:rPr>
        <w:t> </w:t>
      </w:r>
      <w:r>
        <w:rPr/>
        <w:t>of</w:t>
      </w:r>
      <w:r>
        <w:rPr>
          <w:spacing w:val="-1"/>
        </w:rPr>
        <w:t> </w:t>
      </w:r>
      <w:r>
        <w:rPr/>
        <w:t>tinidazole</w:t>
      </w:r>
      <w:r>
        <w:rPr>
          <w:spacing w:val="-2"/>
        </w:rPr>
        <w:t> </w:t>
      </w:r>
      <w:r>
        <w:rPr/>
        <w:t>tablets</w:t>
      </w:r>
      <w:r>
        <w:rPr>
          <w:spacing w:val="-2"/>
        </w:rPr>
        <w:t> </w:t>
      </w:r>
      <w:r>
        <w:rPr/>
        <w:t>in</w:t>
      </w:r>
      <w:r>
        <w:rPr>
          <w:spacing w:val="-1"/>
        </w:rPr>
        <w:t> </w:t>
      </w:r>
      <w:r>
        <w:rPr/>
        <w:t>simulated</w:t>
      </w:r>
      <w:r>
        <w:rPr>
          <w:spacing w:val="-2"/>
        </w:rPr>
        <w:t> </w:t>
      </w:r>
      <w:r>
        <w:rPr/>
        <w:t>biological</w:t>
      </w:r>
      <w:r>
        <w:rPr>
          <w:spacing w:val="-1"/>
        </w:rPr>
        <w:t> </w:t>
      </w:r>
      <w:r>
        <w:rPr>
          <w:spacing w:val="-5"/>
        </w:rPr>
        <w:t>pHs</w:t>
      </w:r>
    </w:p>
    <w:p>
      <w:pPr>
        <w:pStyle w:val="BodyText"/>
        <w:rPr>
          <w:b/>
          <w:sz w:val="20"/>
        </w:rPr>
      </w:pPr>
    </w:p>
    <w:p>
      <w:pPr>
        <w:pStyle w:val="BodyText"/>
        <w:spacing w:before="69"/>
        <w:rPr>
          <w:b/>
          <w:sz w:val="20"/>
        </w:rPr>
      </w:pPr>
      <w:r>
        <w:rPr/>
        <mc:AlternateContent>
          <mc:Choice Requires="wps">
            <w:drawing>
              <wp:anchor distT="0" distB="0" distL="0" distR="0" allowOverlap="1" layoutInCell="1" locked="0" behindDoc="1" simplePos="0" relativeHeight="487598080">
                <wp:simplePos x="0" y="0"/>
                <wp:positionH relativeFrom="page">
                  <wp:posOffset>1074724</wp:posOffset>
                </wp:positionH>
                <wp:positionV relativeFrom="paragraph">
                  <wp:posOffset>205183</wp:posOffset>
                </wp:positionV>
                <wp:extent cx="5560695" cy="635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5560695" cy="6350"/>
                        </a:xfrm>
                        <a:custGeom>
                          <a:avLst/>
                          <a:gdLst/>
                          <a:ahLst/>
                          <a:cxnLst/>
                          <a:rect l="l" t="t" r="r" b="b"/>
                          <a:pathLst>
                            <a:path w="5560695" h="6350">
                              <a:moveTo>
                                <a:pt x="2626055" y="0"/>
                              </a:moveTo>
                              <a:lnTo>
                                <a:pt x="1103325" y="0"/>
                              </a:lnTo>
                              <a:lnTo>
                                <a:pt x="1097280" y="0"/>
                              </a:lnTo>
                              <a:lnTo>
                                <a:pt x="0" y="0"/>
                              </a:lnTo>
                              <a:lnTo>
                                <a:pt x="0" y="6096"/>
                              </a:lnTo>
                              <a:lnTo>
                                <a:pt x="1097229" y="6096"/>
                              </a:lnTo>
                              <a:lnTo>
                                <a:pt x="1103325" y="6096"/>
                              </a:lnTo>
                              <a:lnTo>
                                <a:pt x="2626055" y="6096"/>
                              </a:lnTo>
                              <a:lnTo>
                                <a:pt x="2626055" y="0"/>
                              </a:lnTo>
                              <a:close/>
                            </a:path>
                            <a:path w="5560695" h="6350">
                              <a:moveTo>
                                <a:pt x="4176331" y="0"/>
                              </a:moveTo>
                              <a:lnTo>
                                <a:pt x="2632278" y="0"/>
                              </a:lnTo>
                              <a:lnTo>
                                <a:pt x="2626182" y="0"/>
                              </a:lnTo>
                              <a:lnTo>
                                <a:pt x="2626182" y="6096"/>
                              </a:lnTo>
                              <a:lnTo>
                                <a:pt x="2632278" y="6096"/>
                              </a:lnTo>
                              <a:lnTo>
                                <a:pt x="4176331" y="6096"/>
                              </a:lnTo>
                              <a:lnTo>
                                <a:pt x="4176331" y="0"/>
                              </a:lnTo>
                              <a:close/>
                            </a:path>
                            <a:path w="5560695" h="6350">
                              <a:moveTo>
                                <a:pt x="4182427" y="0"/>
                              </a:moveTo>
                              <a:lnTo>
                                <a:pt x="4176344" y="0"/>
                              </a:lnTo>
                              <a:lnTo>
                                <a:pt x="4176344" y="6096"/>
                              </a:lnTo>
                              <a:lnTo>
                                <a:pt x="4182427" y="6096"/>
                              </a:lnTo>
                              <a:lnTo>
                                <a:pt x="4182427" y="0"/>
                              </a:lnTo>
                              <a:close/>
                            </a:path>
                            <a:path w="5560695" h="6350">
                              <a:moveTo>
                                <a:pt x="5560390" y="0"/>
                              </a:moveTo>
                              <a:lnTo>
                                <a:pt x="4182440" y="0"/>
                              </a:lnTo>
                              <a:lnTo>
                                <a:pt x="4182440" y="6096"/>
                              </a:lnTo>
                              <a:lnTo>
                                <a:pt x="5560390" y="6096"/>
                              </a:lnTo>
                              <a:lnTo>
                                <a:pt x="55603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16.156187pt;width:437.85pt;height:.5pt;mso-position-horizontal-relative:page;mso-position-vertical-relative:paragraph;z-index:-15718400;mso-wrap-distance-left:0;mso-wrap-distance-right:0" id="docshape21" coordorigin="1692,323" coordsize="8757,10" path="m5828,323l3430,323,3420,323,3420,323,1692,323,1692,333,3420,333,3420,333,3430,333,5828,333,5828,323xm8269,323l5838,323,5828,323,5828,333,5838,333,8269,333,8269,323xm8279,323l8269,323,8269,333,8279,333,8279,323xm10449,323l8279,323,8279,333,10449,333,10449,323xe" filled="true" fillcolor="#000000" stroked="false">
                <v:path arrowok="t"/>
                <v:fill type="solid"/>
                <w10:wrap type="topAndBottom"/>
              </v:shape>
            </w:pict>
          </mc:Fallback>
        </mc:AlternateContent>
      </w:r>
    </w:p>
    <w:p>
      <w:pPr>
        <w:pStyle w:val="BodyText"/>
        <w:spacing w:before="265"/>
        <w:ind w:right="1221"/>
        <w:jc w:val="center"/>
      </w:pPr>
      <w:r>
        <w:rPr/>
        <w:t>Bioavailability</w:t>
      </w:r>
      <w:r>
        <w:rPr>
          <w:spacing w:val="-5"/>
        </w:rPr>
        <w:t> (%)</w:t>
      </w:r>
    </w:p>
    <w:p>
      <w:pPr>
        <w:pStyle w:val="BodyText"/>
        <w:spacing w:before="6"/>
        <w:rPr>
          <w:sz w:val="1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2699"/>
        <w:gridCol w:w="2513"/>
        <w:gridCol w:w="2180"/>
      </w:tblGrid>
      <w:tr>
        <w:trPr>
          <w:trHeight w:val="246" w:hRule="atLeast"/>
        </w:trPr>
        <w:tc>
          <w:tcPr>
            <w:tcW w:w="1364" w:type="dxa"/>
            <w:tcBorders>
              <w:bottom w:val="single" w:sz="4" w:space="0" w:color="000000"/>
            </w:tcBorders>
          </w:tcPr>
          <w:p>
            <w:pPr>
              <w:pStyle w:val="TableParagraph"/>
              <w:spacing w:line="227" w:lineRule="exact"/>
              <w:ind w:left="108"/>
              <w:rPr>
                <w:b/>
                <w:sz w:val="22"/>
              </w:rPr>
            </w:pPr>
            <w:r>
              <w:rPr>
                <w:b/>
                <w:spacing w:val="-2"/>
                <w:sz w:val="22"/>
              </w:rPr>
              <w:t>Samples</w:t>
            </w:r>
          </w:p>
        </w:tc>
        <w:tc>
          <w:tcPr>
            <w:tcW w:w="2699" w:type="dxa"/>
            <w:tcBorders>
              <w:bottom w:val="single" w:sz="4" w:space="0" w:color="000000"/>
            </w:tcBorders>
          </w:tcPr>
          <w:p>
            <w:pPr>
              <w:pStyle w:val="TableParagraph"/>
              <w:spacing w:line="227" w:lineRule="exact"/>
              <w:ind w:left="471"/>
              <w:rPr>
                <w:b/>
                <w:sz w:val="22"/>
              </w:rPr>
            </w:pPr>
            <w:r>
              <w:rPr>
                <w:b/>
                <w:sz w:val="22"/>
              </w:rPr>
              <w:t>Simulated</w:t>
            </w:r>
            <w:r>
              <w:rPr>
                <w:b/>
                <w:spacing w:val="49"/>
                <w:sz w:val="22"/>
              </w:rPr>
              <w:t> </w:t>
            </w:r>
            <w:r>
              <w:rPr>
                <w:b/>
                <w:sz w:val="22"/>
              </w:rPr>
              <w:t>gastric </w:t>
            </w:r>
            <w:r>
              <w:rPr>
                <w:b/>
                <w:spacing w:val="-5"/>
                <w:sz w:val="22"/>
              </w:rPr>
              <w:t>pH</w:t>
            </w:r>
          </w:p>
        </w:tc>
        <w:tc>
          <w:tcPr>
            <w:tcW w:w="2513" w:type="dxa"/>
            <w:tcBorders>
              <w:bottom w:val="single" w:sz="4" w:space="0" w:color="000000"/>
            </w:tcBorders>
          </w:tcPr>
          <w:p>
            <w:pPr>
              <w:pStyle w:val="TableParagraph"/>
              <w:spacing w:line="227" w:lineRule="exact"/>
              <w:ind w:left="180"/>
              <w:rPr>
                <w:b/>
                <w:sz w:val="22"/>
              </w:rPr>
            </w:pPr>
            <w:r>
              <w:rPr>
                <w:b/>
                <w:sz w:val="22"/>
              </w:rPr>
              <w:t>Simulated</w:t>
            </w:r>
            <w:r>
              <w:rPr>
                <w:b/>
                <w:spacing w:val="-7"/>
                <w:sz w:val="22"/>
              </w:rPr>
              <w:t> </w:t>
            </w:r>
            <w:r>
              <w:rPr>
                <w:b/>
                <w:sz w:val="22"/>
              </w:rPr>
              <w:t>intestinal</w:t>
            </w:r>
            <w:r>
              <w:rPr>
                <w:b/>
                <w:spacing w:val="-4"/>
                <w:sz w:val="22"/>
              </w:rPr>
              <w:t> </w:t>
            </w:r>
            <w:r>
              <w:rPr>
                <w:b/>
                <w:spacing w:val="-5"/>
                <w:sz w:val="22"/>
              </w:rPr>
              <w:t>pH</w:t>
            </w:r>
          </w:p>
        </w:tc>
        <w:tc>
          <w:tcPr>
            <w:tcW w:w="2180" w:type="dxa"/>
            <w:tcBorders>
              <w:bottom w:val="single" w:sz="4" w:space="0" w:color="000000"/>
            </w:tcBorders>
          </w:tcPr>
          <w:p>
            <w:pPr>
              <w:pStyle w:val="TableParagraph"/>
              <w:spacing w:line="227" w:lineRule="exact"/>
              <w:ind w:left="108"/>
              <w:rPr>
                <w:b/>
                <w:sz w:val="22"/>
              </w:rPr>
            </w:pPr>
            <w:r>
              <w:rPr>
                <w:b/>
                <w:sz w:val="22"/>
              </w:rPr>
              <w:t>Simulated</w:t>
            </w:r>
            <w:r>
              <w:rPr>
                <w:b/>
                <w:spacing w:val="-3"/>
                <w:sz w:val="22"/>
              </w:rPr>
              <w:t> </w:t>
            </w:r>
            <w:r>
              <w:rPr>
                <w:b/>
                <w:sz w:val="22"/>
              </w:rPr>
              <w:t>blood</w:t>
            </w:r>
            <w:r>
              <w:rPr>
                <w:b/>
                <w:spacing w:val="-3"/>
                <w:sz w:val="22"/>
              </w:rPr>
              <w:t> </w:t>
            </w:r>
            <w:r>
              <w:rPr>
                <w:b/>
                <w:spacing w:val="-5"/>
                <w:sz w:val="22"/>
              </w:rPr>
              <w:t>pH</w:t>
            </w:r>
          </w:p>
        </w:tc>
      </w:tr>
      <w:tr>
        <w:trPr>
          <w:trHeight w:val="431" w:hRule="atLeast"/>
        </w:trPr>
        <w:tc>
          <w:tcPr>
            <w:tcW w:w="1364" w:type="dxa"/>
            <w:tcBorders>
              <w:top w:val="single" w:sz="4" w:space="0" w:color="000000"/>
            </w:tcBorders>
          </w:tcPr>
          <w:p>
            <w:pPr>
              <w:pStyle w:val="TableParagraph"/>
              <w:spacing w:line="251" w:lineRule="exact"/>
              <w:ind w:left="108"/>
              <w:rPr>
                <w:b/>
                <w:sz w:val="22"/>
              </w:rPr>
            </w:pPr>
            <w:r>
              <w:rPr>
                <w:b/>
                <w:spacing w:val="-10"/>
                <w:sz w:val="22"/>
              </w:rPr>
              <w:t>A</w:t>
            </w:r>
          </w:p>
        </w:tc>
        <w:tc>
          <w:tcPr>
            <w:tcW w:w="2699" w:type="dxa"/>
            <w:tcBorders>
              <w:top w:val="single" w:sz="4" w:space="0" w:color="000000"/>
            </w:tcBorders>
          </w:tcPr>
          <w:p>
            <w:pPr>
              <w:pStyle w:val="TableParagraph"/>
              <w:spacing w:line="247" w:lineRule="exact"/>
              <w:ind w:left="471"/>
              <w:rPr>
                <w:sz w:val="22"/>
              </w:rPr>
            </w:pPr>
            <w:r>
              <w:rPr>
                <w:spacing w:val="-2"/>
                <w:sz w:val="22"/>
              </w:rPr>
              <w:t>66.49</w:t>
            </w:r>
          </w:p>
        </w:tc>
        <w:tc>
          <w:tcPr>
            <w:tcW w:w="2513" w:type="dxa"/>
            <w:tcBorders>
              <w:top w:val="single" w:sz="4" w:space="0" w:color="000000"/>
            </w:tcBorders>
          </w:tcPr>
          <w:p>
            <w:pPr>
              <w:pStyle w:val="TableParagraph"/>
              <w:spacing w:line="247" w:lineRule="exact"/>
              <w:ind w:left="180"/>
              <w:rPr>
                <w:sz w:val="22"/>
              </w:rPr>
            </w:pPr>
            <w:r>
              <w:rPr>
                <w:spacing w:val="-2"/>
                <w:sz w:val="22"/>
              </w:rPr>
              <w:t>79.97</w:t>
            </w:r>
          </w:p>
        </w:tc>
        <w:tc>
          <w:tcPr>
            <w:tcW w:w="2180" w:type="dxa"/>
            <w:tcBorders>
              <w:top w:val="single" w:sz="4" w:space="0" w:color="000000"/>
            </w:tcBorders>
          </w:tcPr>
          <w:p>
            <w:pPr>
              <w:pStyle w:val="TableParagraph"/>
              <w:spacing w:line="247" w:lineRule="exact"/>
              <w:ind w:left="108"/>
              <w:rPr>
                <w:sz w:val="22"/>
              </w:rPr>
            </w:pPr>
            <w:r>
              <w:rPr>
                <w:spacing w:val="-5"/>
                <w:sz w:val="22"/>
              </w:rPr>
              <w:t>100</w:t>
            </w:r>
          </w:p>
        </w:tc>
      </w:tr>
      <w:tr>
        <w:trPr>
          <w:trHeight w:val="611" w:hRule="atLeast"/>
        </w:trPr>
        <w:tc>
          <w:tcPr>
            <w:tcW w:w="1364" w:type="dxa"/>
          </w:tcPr>
          <w:p>
            <w:pPr>
              <w:pStyle w:val="TableParagraph"/>
              <w:spacing w:line="240" w:lineRule="auto" w:before="176"/>
              <w:ind w:left="108"/>
              <w:rPr>
                <w:b/>
                <w:sz w:val="22"/>
              </w:rPr>
            </w:pPr>
            <w:r>
              <w:rPr>
                <w:b/>
                <w:spacing w:val="-10"/>
                <w:sz w:val="22"/>
              </w:rPr>
              <w:t>B</w:t>
            </w:r>
          </w:p>
        </w:tc>
        <w:tc>
          <w:tcPr>
            <w:tcW w:w="2699" w:type="dxa"/>
          </w:tcPr>
          <w:p>
            <w:pPr>
              <w:pStyle w:val="TableParagraph"/>
              <w:spacing w:line="240" w:lineRule="auto" w:before="171"/>
              <w:ind w:left="471"/>
              <w:rPr>
                <w:sz w:val="22"/>
              </w:rPr>
            </w:pPr>
            <w:r>
              <w:rPr>
                <w:spacing w:val="-2"/>
                <w:sz w:val="22"/>
              </w:rPr>
              <w:t>85.80</w:t>
            </w:r>
          </w:p>
        </w:tc>
        <w:tc>
          <w:tcPr>
            <w:tcW w:w="2513" w:type="dxa"/>
          </w:tcPr>
          <w:p>
            <w:pPr>
              <w:pStyle w:val="TableParagraph"/>
              <w:spacing w:line="240" w:lineRule="auto" w:before="171"/>
              <w:ind w:left="180"/>
              <w:rPr>
                <w:sz w:val="22"/>
              </w:rPr>
            </w:pPr>
            <w:r>
              <w:rPr>
                <w:spacing w:val="-2"/>
                <w:sz w:val="22"/>
              </w:rPr>
              <w:t>90.57</w:t>
            </w:r>
          </w:p>
        </w:tc>
        <w:tc>
          <w:tcPr>
            <w:tcW w:w="2180" w:type="dxa"/>
          </w:tcPr>
          <w:p>
            <w:pPr>
              <w:pStyle w:val="TableParagraph"/>
              <w:spacing w:line="240" w:lineRule="auto" w:before="171"/>
              <w:ind w:left="108"/>
              <w:rPr>
                <w:sz w:val="22"/>
              </w:rPr>
            </w:pPr>
            <w:r>
              <w:rPr>
                <w:spacing w:val="-5"/>
                <w:sz w:val="22"/>
              </w:rPr>
              <w:t>100</w:t>
            </w:r>
          </w:p>
        </w:tc>
      </w:tr>
      <w:tr>
        <w:trPr>
          <w:trHeight w:val="769" w:hRule="atLeast"/>
        </w:trPr>
        <w:tc>
          <w:tcPr>
            <w:tcW w:w="1364" w:type="dxa"/>
          </w:tcPr>
          <w:p>
            <w:pPr>
              <w:pStyle w:val="TableParagraph"/>
              <w:spacing w:line="240" w:lineRule="auto" w:before="177"/>
              <w:ind w:left="108"/>
              <w:rPr>
                <w:b/>
                <w:sz w:val="22"/>
              </w:rPr>
            </w:pPr>
            <w:r>
              <w:rPr>
                <w:b/>
                <w:spacing w:val="-10"/>
                <w:sz w:val="22"/>
              </w:rPr>
              <w:t>C</w:t>
            </w:r>
          </w:p>
        </w:tc>
        <w:tc>
          <w:tcPr>
            <w:tcW w:w="2699" w:type="dxa"/>
          </w:tcPr>
          <w:p>
            <w:pPr>
              <w:pStyle w:val="TableParagraph"/>
              <w:spacing w:line="240" w:lineRule="auto" w:before="173"/>
              <w:ind w:left="471"/>
              <w:rPr>
                <w:sz w:val="22"/>
              </w:rPr>
            </w:pPr>
            <w:r>
              <w:rPr>
                <w:spacing w:val="-2"/>
                <w:sz w:val="22"/>
              </w:rPr>
              <w:t>92.69</w:t>
            </w:r>
          </w:p>
        </w:tc>
        <w:tc>
          <w:tcPr>
            <w:tcW w:w="2513" w:type="dxa"/>
          </w:tcPr>
          <w:p>
            <w:pPr>
              <w:pStyle w:val="TableParagraph"/>
              <w:spacing w:line="240" w:lineRule="auto" w:before="173"/>
              <w:ind w:left="180"/>
              <w:rPr>
                <w:sz w:val="22"/>
              </w:rPr>
            </w:pPr>
            <w:r>
              <w:rPr>
                <w:spacing w:val="-2"/>
                <w:sz w:val="22"/>
              </w:rPr>
              <w:t>78.99</w:t>
            </w:r>
          </w:p>
        </w:tc>
        <w:tc>
          <w:tcPr>
            <w:tcW w:w="2180" w:type="dxa"/>
          </w:tcPr>
          <w:p>
            <w:pPr>
              <w:pStyle w:val="TableParagraph"/>
              <w:spacing w:line="240" w:lineRule="auto" w:before="173"/>
              <w:ind w:left="108"/>
              <w:rPr>
                <w:sz w:val="22"/>
              </w:rPr>
            </w:pPr>
            <w:r>
              <w:rPr>
                <w:spacing w:val="-5"/>
                <w:sz w:val="22"/>
              </w:rPr>
              <w:t>100</w:t>
            </w:r>
          </w:p>
        </w:tc>
      </w:tr>
      <w:tr>
        <w:trPr>
          <w:trHeight w:val="587" w:hRule="atLeast"/>
        </w:trPr>
        <w:tc>
          <w:tcPr>
            <w:tcW w:w="1364" w:type="dxa"/>
          </w:tcPr>
          <w:p>
            <w:pPr>
              <w:pStyle w:val="TableParagraph"/>
              <w:spacing w:line="240" w:lineRule="auto" w:before="81"/>
              <w:rPr>
                <w:sz w:val="22"/>
              </w:rPr>
            </w:pPr>
          </w:p>
          <w:p>
            <w:pPr>
              <w:pStyle w:val="TableParagraph"/>
              <w:spacing w:line="233" w:lineRule="exact"/>
              <w:ind w:left="108"/>
              <w:rPr>
                <w:b/>
                <w:sz w:val="22"/>
              </w:rPr>
            </w:pPr>
            <w:r>
              <w:rPr>
                <w:b/>
                <w:spacing w:val="-10"/>
                <w:sz w:val="22"/>
              </w:rPr>
              <w:t>D</w:t>
            </w:r>
          </w:p>
        </w:tc>
        <w:tc>
          <w:tcPr>
            <w:tcW w:w="2699" w:type="dxa"/>
          </w:tcPr>
          <w:p>
            <w:pPr>
              <w:pStyle w:val="TableParagraph"/>
              <w:spacing w:line="240" w:lineRule="auto" w:before="76"/>
              <w:rPr>
                <w:sz w:val="22"/>
              </w:rPr>
            </w:pPr>
          </w:p>
          <w:p>
            <w:pPr>
              <w:pStyle w:val="TableParagraph"/>
              <w:spacing w:line="238" w:lineRule="exact" w:before="1"/>
              <w:ind w:left="471"/>
              <w:rPr>
                <w:sz w:val="22"/>
              </w:rPr>
            </w:pPr>
            <w:r>
              <w:rPr>
                <w:spacing w:val="-2"/>
                <w:sz w:val="22"/>
              </w:rPr>
              <w:t>72.24</w:t>
            </w:r>
          </w:p>
        </w:tc>
        <w:tc>
          <w:tcPr>
            <w:tcW w:w="2513" w:type="dxa"/>
          </w:tcPr>
          <w:p>
            <w:pPr>
              <w:pStyle w:val="TableParagraph"/>
              <w:spacing w:line="240" w:lineRule="auto" w:before="76"/>
              <w:rPr>
                <w:sz w:val="22"/>
              </w:rPr>
            </w:pPr>
          </w:p>
          <w:p>
            <w:pPr>
              <w:pStyle w:val="TableParagraph"/>
              <w:spacing w:line="238" w:lineRule="exact" w:before="1"/>
              <w:ind w:left="180"/>
              <w:rPr>
                <w:sz w:val="22"/>
              </w:rPr>
            </w:pPr>
            <w:r>
              <w:rPr>
                <w:spacing w:val="-2"/>
                <w:sz w:val="22"/>
              </w:rPr>
              <w:t>71.07</w:t>
            </w:r>
          </w:p>
        </w:tc>
        <w:tc>
          <w:tcPr>
            <w:tcW w:w="2180" w:type="dxa"/>
          </w:tcPr>
          <w:p>
            <w:pPr>
              <w:pStyle w:val="TableParagraph"/>
              <w:spacing w:line="240" w:lineRule="auto" w:before="76"/>
              <w:rPr>
                <w:sz w:val="22"/>
              </w:rPr>
            </w:pPr>
          </w:p>
          <w:p>
            <w:pPr>
              <w:pStyle w:val="TableParagraph"/>
              <w:spacing w:line="238" w:lineRule="exact" w:before="1"/>
              <w:ind w:left="108"/>
              <w:rPr>
                <w:sz w:val="22"/>
              </w:rPr>
            </w:pPr>
            <w:r>
              <w:rPr>
                <w:spacing w:val="-5"/>
                <w:sz w:val="22"/>
              </w:rPr>
              <w:t>100</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pStyle w:val="ListParagraph"/>
        <w:numPr>
          <w:ilvl w:val="1"/>
          <w:numId w:val="22"/>
        </w:numPr>
        <w:tabs>
          <w:tab w:pos="2674" w:val="left" w:leader="none"/>
        </w:tabs>
        <w:spacing w:line="240" w:lineRule="auto" w:before="0" w:after="0"/>
        <w:ind w:left="2674" w:right="0" w:hanging="360"/>
        <w:jc w:val="left"/>
        <w:rPr>
          <w:b/>
          <w:sz w:val="24"/>
        </w:rPr>
      </w:pPr>
      <w:r>
        <w:rPr>
          <w:b/>
          <w:i/>
          <w:sz w:val="24"/>
        </w:rPr>
        <w:t>In</w:t>
      </w:r>
      <w:r>
        <w:rPr>
          <w:b/>
          <w:i/>
          <w:spacing w:val="-2"/>
          <w:sz w:val="24"/>
        </w:rPr>
        <w:t> </w:t>
      </w:r>
      <w:r>
        <w:rPr>
          <w:b/>
          <w:i/>
          <w:sz w:val="24"/>
        </w:rPr>
        <w:t>vitro-In</w:t>
      </w:r>
      <w:r>
        <w:rPr>
          <w:b/>
          <w:i/>
          <w:spacing w:val="-1"/>
          <w:sz w:val="24"/>
        </w:rPr>
        <w:t> </w:t>
      </w:r>
      <w:r>
        <w:rPr>
          <w:b/>
          <w:i/>
          <w:sz w:val="24"/>
        </w:rPr>
        <w:t>vivo</w:t>
      </w:r>
      <w:r>
        <w:rPr>
          <w:b/>
          <w:i/>
          <w:spacing w:val="-3"/>
          <w:sz w:val="24"/>
        </w:rPr>
        <w:t> </w:t>
      </w:r>
      <w:r>
        <w:rPr>
          <w:b/>
          <w:sz w:val="24"/>
        </w:rPr>
        <w:t>Correlation</w:t>
      </w:r>
      <w:r>
        <w:rPr>
          <w:b/>
          <w:spacing w:val="-1"/>
          <w:sz w:val="24"/>
        </w:rPr>
        <w:t> </w:t>
      </w:r>
      <w:r>
        <w:rPr>
          <w:b/>
          <w:sz w:val="24"/>
        </w:rPr>
        <w:t>(IVIVC)</w:t>
      </w:r>
      <w:r>
        <w:rPr>
          <w:b/>
          <w:spacing w:val="-1"/>
          <w:sz w:val="24"/>
        </w:rPr>
        <w:t> </w:t>
      </w:r>
      <w:r>
        <w:rPr>
          <w:b/>
          <w:spacing w:val="-2"/>
          <w:sz w:val="24"/>
        </w:rPr>
        <w:t>Studies</w:t>
      </w:r>
    </w:p>
    <w:p>
      <w:pPr>
        <w:pStyle w:val="BodyText"/>
        <w:rPr>
          <w:b/>
        </w:rPr>
      </w:pPr>
    </w:p>
    <w:p>
      <w:pPr>
        <w:pStyle w:val="Heading2"/>
        <w:numPr>
          <w:ilvl w:val="2"/>
          <w:numId w:val="22"/>
        </w:numPr>
        <w:tabs>
          <w:tab w:pos="920" w:val="left" w:leader="none"/>
        </w:tabs>
        <w:spacing w:line="240" w:lineRule="auto" w:before="0" w:after="0"/>
        <w:ind w:left="920" w:right="0" w:hanging="540"/>
        <w:jc w:val="left"/>
      </w:pPr>
      <w:bookmarkStart w:name="_TOC_250019" w:id="65"/>
      <w:r>
        <w:rPr/>
        <w:t>Dissolution</w:t>
      </w:r>
      <w:r>
        <w:rPr>
          <w:spacing w:val="-2"/>
        </w:rPr>
        <w:t> </w:t>
      </w:r>
      <w:r>
        <w:rPr/>
        <w:t>profiles</w:t>
      </w:r>
      <w:r>
        <w:rPr>
          <w:spacing w:val="-2"/>
        </w:rPr>
        <w:t> </w:t>
      </w:r>
      <w:r>
        <w:rPr/>
        <w:t>of</w:t>
      </w:r>
      <w:r>
        <w:rPr>
          <w:spacing w:val="-1"/>
        </w:rPr>
        <w:t> </w:t>
      </w:r>
      <w:r>
        <w:rPr/>
        <w:t>tinidazole</w:t>
      </w:r>
      <w:r>
        <w:rPr>
          <w:spacing w:val="-2"/>
        </w:rPr>
        <w:t> </w:t>
      </w:r>
      <w:r>
        <w:rPr/>
        <w:t>tablets</w:t>
      </w:r>
      <w:r>
        <w:rPr>
          <w:spacing w:val="-2"/>
        </w:rPr>
        <w:t> </w:t>
      </w:r>
      <w:r>
        <w:rPr/>
        <w:t>(samples</w:t>
      </w:r>
      <w:r>
        <w:rPr>
          <w:spacing w:val="-1"/>
        </w:rPr>
        <w:t> </w:t>
      </w:r>
      <w:r>
        <w:rPr/>
        <w:t>A,</w:t>
      </w:r>
      <w:r>
        <w:rPr>
          <w:spacing w:val="-2"/>
        </w:rPr>
        <w:t> </w:t>
      </w:r>
      <w:r>
        <w:rPr/>
        <w:t>B,</w:t>
      </w:r>
      <w:r>
        <w:rPr>
          <w:spacing w:val="-2"/>
        </w:rPr>
        <w:t> </w:t>
      </w:r>
      <w:r>
        <w:rPr/>
        <w:t>C</w:t>
      </w:r>
      <w:r>
        <w:rPr>
          <w:spacing w:val="-2"/>
        </w:rPr>
        <w:t> </w:t>
      </w:r>
      <w:r>
        <w:rPr/>
        <w:t>and</w:t>
      </w:r>
      <w:r>
        <w:rPr>
          <w:spacing w:val="-1"/>
        </w:rPr>
        <w:t> </w:t>
      </w:r>
      <w:bookmarkEnd w:id="65"/>
      <w:r>
        <w:rPr>
          <w:spacing w:val="-5"/>
        </w:rPr>
        <w:t>D)</w:t>
      </w:r>
    </w:p>
    <w:p>
      <w:pPr>
        <w:pStyle w:val="BodyText"/>
        <w:spacing w:line="480" w:lineRule="auto" w:before="272"/>
        <w:ind w:left="380" w:right="1363"/>
      </w:pPr>
      <w:r>
        <w:rPr/>
        <w:t>The</w:t>
      </w:r>
      <w:r>
        <w:rPr>
          <w:spacing w:val="-6"/>
        </w:rPr>
        <w:t> </w:t>
      </w:r>
      <w:r>
        <w:rPr/>
        <w:t>dissolution</w:t>
      </w:r>
      <w:r>
        <w:rPr>
          <w:spacing w:val="-4"/>
        </w:rPr>
        <w:t> </w:t>
      </w:r>
      <w:r>
        <w:rPr/>
        <w:t>profiles</w:t>
      </w:r>
      <w:r>
        <w:rPr>
          <w:spacing w:val="-4"/>
        </w:rPr>
        <w:t> </w:t>
      </w:r>
      <w:r>
        <w:rPr/>
        <w:t>of</w:t>
      </w:r>
      <w:r>
        <w:rPr>
          <w:spacing w:val="-4"/>
        </w:rPr>
        <w:t> </w:t>
      </w:r>
      <w:r>
        <w:rPr/>
        <w:t>tinidazole</w:t>
      </w:r>
      <w:r>
        <w:rPr>
          <w:spacing w:val="-4"/>
        </w:rPr>
        <w:t> </w:t>
      </w:r>
      <w:r>
        <w:rPr/>
        <w:t>tablets</w:t>
      </w:r>
      <w:r>
        <w:rPr>
          <w:spacing w:val="-4"/>
        </w:rPr>
        <w:t> </w:t>
      </w:r>
      <w:r>
        <w:rPr/>
        <w:t>in</w:t>
      </w:r>
      <w:r>
        <w:rPr>
          <w:spacing w:val="-4"/>
        </w:rPr>
        <w:t> </w:t>
      </w:r>
      <w:r>
        <w:rPr/>
        <w:t>the</w:t>
      </w:r>
      <w:r>
        <w:rPr>
          <w:spacing w:val="-5"/>
        </w:rPr>
        <w:t> </w:t>
      </w:r>
      <w:r>
        <w:rPr/>
        <w:t>simulated</w:t>
      </w:r>
      <w:r>
        <w:rPr>
          <w:spacing w:val="-4"/>
        </w:rPr>
        <w:t> </w:t>
      </w:r>
      <w:r>
        <w:rPr/>
        <w:t>gastric,</w:t>
      </w:r>
      <w:r>
        <w:rPr>
          <w:spacing w:val="-4"/>
        </w:rPr>
        <w:t> </w:t>
      </w:r>
      <w:r>
        <w:rPr/>
        <w:t>intestinal</w:t>
      </w:r>
      <w:r>
        <w:rPr>
          <w:spacing w:val="-4"/>
        </w:rPr>
        <w:t> </w:t>
      </w:r>
      <w:r>
        <w:rPr/>
        <w:t>and</w:t>
      </w:r>
      <w:r>
        <w:rPr>
          <w:spacing w:val="-4"/>
        </w:rPr>
        <w:t> </w:t>
      </w:r>
      <w:r>
        <w:rPr/>
        <w:t>blood pH are shown in the figures 4.7 to 4.9</w:t>
      </w:r>
    </w:p>
    <w:p>
      <w:pPr>
        <w:spacing w:after="0" w:line="480" w:lineRule="auto"/>
        <w:sectPr>
          <w:pgSz w:w="12240" w:h="15840"/>
          <w:pgMar w:header="0" w:footer="1068" w:top="1540" w:bottom="1260" w:left="1420" w:right="440"/>
        </w:sectPr>
      </w:pPr>
    </w:p>
    <w:p>
      <w:pPr>
        <w:pStyle w:val="BodyText"/>
        <w:rPr>
          <w:sz w:val="20"/>
        </w:rPr>
      </w:pPr>
    </w:p>
    <w:p>
      <w:pPr>
        <w:pStyle w:val="BodyText"/>
        <w:spacing w:before="168"/>
        <w:rPr>
          <w:sz w:val="20"/>
        </w:rPr>
      </w:pPr>
    </w:p>
    <w:p>
      <w:pPr>
        <w:pStyle w:val="BodyText"/>
        <w:ind w:left="389"/>
        <w:rPr>
          <w:sz w:val="20"/>
        </w:rPr>
      </w:pPr>
      <w:r>
        <w:rPr>
          <w:sz w:val="20"/>
        </w:rPr>
        <mc:AlternateContent>
          <mc:Choice Requires="wps">
            <w:drawing>
              <wp:inline distT="0" distB="0" distL="0" distR="0">
                <wp:extent cx="5718175" cy="3575050"/>
                <wp:effectExtent l="0" t="0" r="0" b="6350"/>
                <wp:docPr id="31" name="Group 31"/>
                <wp:cNvGraphicFramePr>
                  <a:graphicFrameLocks/>
                </wp:cNvGraphicFramePr>
                <a:graphic>
                  <a:graphicData uri="http://schemas.microsoft.com/office/word/2010/wordprocessingGroup">
                    <wpg:wgp>
                      <wpg:cNvPr id="31" name="Group 31"/>
                      <wpg:cNvGrpSpPr/>
                      <wpg:grpSpPr>
                        <a:xfrm>
                          <a:off x="0" y="0"/>
                          <a:ext cx="5718175" cy="3575050"/>
                          <a:chExt cx="5718175" cy="3575050"/>
                        </a:xfrm>
                      </wpg:grpSpPr>
                      <pic:pic>
                        <pic:nvPicPr>
                          <pic:cNvPr id="32" name="Image 32"/>
                          <pic:cNvPicPr/>
                        </pic:nvPicPr>
                        <pic:blipFill>
                          <a:blip r:embed="rId21" cstate="print"/>
                          <a:stretch>
                            <a:fillRect/>
                          </a:stretch>
                        </pic:blipFill>
                        <pic:spPr>
                          <a:xfrm>
                            <a:off x="0" y="0"/>
                            <a:ext cx="5717982" cy="3575050"/>
                          </a:xfrm>
                          <a:prstGeom prst="rect">
                            <a:avLst/>
                          </a:prstGeom>
                        </pic:spPr>
                      </pic:pic>
                      <wps:wsp>
                        <wps:cNvPr id="33" name="Textbox 33"/>
                        <wps:cNvSpPr txBox="1"/>
                        <wps:spPr>
                          <a:xfrm>
                            <a:off x="4882322" y="3354789"/>
                            <a:ext cx="711200" cy="168910"/>
                          </a:xfrm>
                          <a:prstGeom prst="rect">
                            <a:avLst/>
                          </a:prstGeom>
                        </wps:spPr>
                        <wps:txbx>
                          <w:txbxContent>
                            <w:p>
                              <w:pPr>
                                <w:tabs>
                                  <w:tab w:pos="1099" w:val="left" w:leader="none"/>
                                </w:tabs>
                                <w:spacing w:line="266" w:lineRule="exact" w:before="0"/>
                                <w:ind w:left="0" w:right="0" w:firstLine="0"/>
                                <w:jc w:val="left"/>
                                <w:rPr>
                                  <w:sz w:val="24"/>
                                </w:rPr>
                              </w:pPr>
                              <w:r>
                                <w:rPr>
                                  <w:color w:val="000000"/>
                                  <w:spacing w:val="57"/>
                                  <w:w w:val="150"/>
                                  <w:sz w:val="24"/>
                                  <w:shd w:fill="FFFFFF" w:color="auto" w:val="clear"/>
                                </w:rPr>
                                <w:t> </w:t>
                              </w:r>
                              <w:r>
                                <w:rPr>
                                  <w:color w:val="000000"/>
                                  <w:spacing w:val="-4"/>
                                  <w:sz w:val="24"/>
                                  <w:shd w:fill="FFFFFF" w:color="auto" w:val="clear"/>
                                </w:rPr>
                                <w:t>Time</w:t>
                              </w:r>
                              <w:r>
                                <w:rPr>
                                  <w:color w:val="000000"/>
                                  <w:sz w:val="24"/>
                                  <w:shd w:fill="FFFFFF" w:color="auto" w:val="clear"/>
                                </w:rPr>
                                <w:tab/>
                              </w:r>
                            </w:p>
                          </w:txbxContent>
                        </wps:txbx>
                        <wps:bodyPr wrap="square" lIns="0" tIns="0" rIns="0" bIns="0" rtlCol="0">
                          <a:noAutofit/>
                        </wps:bodyPr>
                      </wps:wsp>
                    </wpg:wgp>
                  </a:graphicData>
                </a:graphic>
              </wp:inline>
            </w:drawing>
          </mc:Choice>
          <mc:Fallback>
            <w:pict>
              <v:group style="width:450.25pt;height:281.5pt;mso-position-horizontal-relative:char;mso-position-vertical-relative:line" id="docshapegroup22" coordorigin="0,0" coordsize="9005,5630">
                <v:shape style="position:absolute;left:0;top:0;width:9005;height:5630" type="#_x0000_t75" id="docshape23" stroked="false">
                  <v:imagedata r:id="rId21" o:title=""/>
                </v:shape>
                <v:shape style="position:absolute;left:7688;top:5283;width:1120;height:266" type="#_x0000_t202" id="docshape24" filled="false" stroked="false">
                  <v:textbox inset="0,0,0,0">
                    <w:txbxContent>
                      <w:p>
                        <w:pPr>
                          <w:tabs>
                            <w:tab w:pos="1099" w:val="left" w:leader="none"/>
                          </w:tabs>
                          <w:spacing w:line="266" w:lineRule="exact" w:before="0"/>
                          <w:ind w:left="0" w:right="0" w:firstLine="0"/>
                          <w:jc w:val="left"/>
                          <w:rPr>
                            <w:sz w:val="24"/>
                          </w:rPr>
                        </w:pPr>
                        <w:r>
                          <w:rPr>
                            <w:color w:val="000000"/>
                            <w:spacing w:val="57"/>
                            <w:w w:val="150"/>
                            <w:sz w:val="24"/>
                            <w:shd w:fill="FFFFFF" w:color="auto" w:val="clear"/>
                          </w:rPr>
                          <w:t> </w:t>
                        </w:r>
                        <w:r>
                          <w:rPr>
                            <w:color w:val="000000"/>
                            <w:spacing w:val="-4"/>
                            <w:sz w:val="24"/>
                            <w:shd w:fill="FFFFFF" w:color="auto" w:val="clear"/>
                          </w:rPr>
                          <w:t>Time</w:t>
                        </w:r>
                        <w:r>
                          <w:rPr>
                            <w:color w:val="000000"/>
                            <w:sz w:val="24"/>
                            <w:shd w:fill="FFFFFF" w:color="auto" w:val="clear"/>
                          </w:rPr>
                          <w:tab/>
                        </w:r>
                      </w:p>
                    </w:txbxContent>
                  </v:textbox>
                  <w10:wrap type="none"/>
                </v:shape>
              </v:group>
            </w:pict>
          </mc:Fallback>
        </mc:AlternateContent>
      </w:r>
      <w:r>
        <w:rPr>
          <w:sz w:val="20"/>
        </w:rPr>
      </w:r>
    </w:p>
    <w:p>
      <w:pPr>
        <w:spacing w:line="480" w:lineRule="auto" w:before="264"/>
        <w:ind w:left="380" w:right="1175" w:firstLine="0"/>
        <w:jc w:val="left"/>
        <w:rPr>
          <w:b/>
          <w:sz w:val="24"/>
        </w:rPr>
      </w:pPr>
      <w:r>
        <w:rPr>
          <w:b/>
          <w:sz w:val="24"/>
        </w:rPr>
        <w:t>Figure</w:t>
      </w:r>
      <w:r>
        <w:rPr>
          <w:b/>
          <w:spacing w:val="40"/>
          <w:sz w:val="24"/>
        </w:rPr>
        <w:t> </w:t>
      </w:r>
      <w:r>
        <w:rPr>
          <w:b/>
          <w:sz w:val="24"/>
        </w:rPr>
        <w:t>4.7:</w:t>
      </w:r>
      <w:r>
        <w:rPr>
          <w:b/>
          <w:spacing w:val="72"/>
          <w:sz w:val="24"/>
        </w:rPr>
        <w:t> </w:t>
      </w:r>
      <w:r>
        <w:rPr>
          <w:b/>
          <w:sz w:val="24"/>
        </w:rPr>
        <w:t>Percentage</w:t>
      </w:r>
      <w:r>
        <w:rPr>
          <w:b/>
          <w:spacing w:val="40"/>
          <w:sz w:val="24"/>
        </w:rPr>
        <w:t> </w:t>
      </w:r>
      <w:r>
        <w:rPr>
          <w:b/>
          <w:sz w:val="24"/>
        </w:rPr>
        <w:t>content</w:t>
      </w:r>
      <w:r>
        <w:rPr>
          <w:b/>
          <w:spacing w:val="70"/>
          <w:sz w:val="24"/>
        </w:rPr>
        <w:t> </w:t>
      </w:r>
      <w:r>
        <w:rPr>
          <w:b/>
          <w:sz w:val="24"/>
        </w:rPr>
        <w:t>of</w:t>
      </w:r>
      <w:r>
        <w:rPr>
          <w:b/>
          <w:spacing w:val="71"/>
          <w:sz w:val="24"/>
        </w:rPr>
        <w:t> </w:t>
      </w:r>
      <w:r>
        <w:rPr>
          <w:b/>
          <w:sz w:val="24"/>
        </w:rPr>
        <w:t>tinidazole</w:t>
      </w:r>
      <w:r>
        <w:rPr>
          <w:b/>
          <w:spacing w:val="70"/>
          <w:sz w:val="24"/>
        </w:rPr>
        <w:t> </w:t>
      </w:r>
      <w:r>
        <w:rPr>
          <w:b/>
          <w:sz w:val="24"/>
        </w:rPr>
        <w:t>dissolved</w:t>
      </w:r>
      <w:r>
        <w:rPr>
          <w:b/>
          <w:spacing w:val="40"/>
          <w:sz w:val="24"/>
        </w:rPr>
        <w:t> </w:t>
      </w:r>
      <w:r>
        <w:rPr>
          <w:b/>
          <w:sz w:val="24"/>
        </w:rPr>
        <w:t>from</w:t>
      </w:r>
      <w:r>
        <w:rPr>
          <w:b/>
          <w:spacing w:val="40"/>
          <w:sz w:val="24"/>
        </w:rPr>
        <w:t> </w:t>
      </w:r>
      <w:r>
        <w:rPr>
          <w:b/>
          <w:sz w:val="24"/>
        </w:rPr>
        <w:t>the</w:t>
      </w:r>
      <w:r>
        <w:rPr>
          <w:b/>
          <w:spacing w:val="71"/>
          <w:sz w:val="24"/>
        </w:rPr>
        <w:t> </w:t>
      </w:r>
      <w:r>
        <w:rPr>
          <w:b/>
          <w:sz w:val="24"/>
        </w:rPr>
        <w:t>different</w:t>
      </w:r>
      <w:r>
        <w:rPr>
          <w:b/>
          <w:spacing w:val="40"/>
          <w:sz w:val="24"/>
        </w:rPr>
        <w:t> </w:t>
      </w:r>
      <w:r>
        <w:rPr>
          <w:b/>
          <w:sz w:val="24"/>
        </w:rPr>
        <w:t>tablet samples of tinidazole in simulated gastric pH</w:t>
      </w:r>
    </w:p>
    <w:p>
      <w:pPr>
        <w:spacing w:after="0" w:line="480" w:lineRule="auto"/>
        <w:jc w:val="left"/>
        <w:rPr>
          <w:sz w:val="24"/>
        </w:rPr>
        <w:sectPr>
          <w:pgSz w:w="12240" w:h="15840"/>
          <w:pgMar w:header="0" w:footer="1068" w:top="1820" w:bottom="1260" w:left="1420" w:right="440"/>
        </w:sectPr>
      </w:pPr>
    </w:p>
    <w:p>
      <w:pPr>
        <w:pStyle w:val="BodyText"/>
        <w:spacing w:before="122"/>
        <w:rPr>
          <w:b/>
          <w:sz w:val="20"/>
        </w:rPr>
      </w:pPr>
    </w:p>
    <w:p>
      <w:pPr>
        <w:pStyle w:val="BodyText"/>
        <w:ind w:left="388"/>
        <w:rPr>
          <w:sz w:val="20"/>
        </w:rPr>
      </w:pPr>
      <w:r>
        <w:rPr>
          <w:sz w:val="20"/>
        </w:rPr>
        <mc:AlternateContent>
          <mc:Choice Requires="wps">
            <w:drawing>
              <wp:inline distT="0" distB="0" distL="0" distR="0">
                <wp:extent cx="5429250" cy="3265804"/>
                <wp:effectExtent l="0" t="0" r="0" b="1270"/>
                <wp:docPr id="34" name="Group 34"/>
                <wp:cNvGraphicFramePr>
                  <a:graphicFrameLocks/>
                </wp:cNvGraphicFramePr>
                <a:graphic>
                  <a:graphicData uri="http://schemas.microsoft.com/office/word/2010/wordprocessingGroup">
                    <wpg:wgp>
                      <wpg:cNvPr id="34" name="Group 34"/>
                      <wpg:cNvGrpSpPr/>
                      <wpg:grpSpPr>
                        <a:xfrm>
                          <a:off x="0" y="0"/>
                          <a:ext cx="5429250" cy="3265804"/>
                          <a:chExt cx="5429250" cy="3265804"/>
                        </a:xfrm>
                      </wpg:grpSpPr>
                      <pic:pic>
                        <pic:nvPicPr>
                          <pic:cNvPr id="35" name="Image 35"/>
                          <pic:cNvPicPr/>
                        </pic:nvPicPr>
                        <pic:blipFill>
                          <a:blip r:embed="rId22" cstate="print"/>
                          <a:stretch>
                            <a:fillRect/>
                          </a:stretch>
                        </pic:blipFill>
                        <pic:spPr>
                          <a:xfrm>
                            <a:off x="0" y="0"/>
                            <a:ext cx="5428721" cy="3265804"/>
                          </a:xfrm>
                          <a:prstGeom prst="rect">
                            <a:avLst/>
                          </a:prstGeom>
                        </pic:spPr>
                      </pic:pic>
                      <wps:wsp>
                        <wps:cNvPr id="36" name="Textbox 36"/>
                        <wps:cNvSpPr txBox="1"/>
                        <wps:spPr>
                          <a:xfrm>
                            <a:off x="4820391" y="2752089"/>
                            <a:ext cx="544830" cy="328930"/>
                          </a:xfrm>
                          <a:prstGeom prst="rect">
                            <a:avLst/>
                          </a:prstGeom>
                          <a:solidFill>
                            <a:srgbClr val="FFFFFF"/>
                          </a:solidFill>
                        </wps:spPr>
                        <wps:txbx>
                          <w:txbxContent>
                            <w:p>
                              <w:pPr>
                                <w:spacing w:before="75"/>
                                <w:ind w:left="146" w:right="0" w:firstLine="0"/>
                                <w:jc w:val="left"/>
                                <w:rPr>
                                  <w:color w:val="000000"/>
                                  <w:sz w:val="24"/>
                                </w:rPr>
                              </w:pPr>
                              <w:r>
                                <w:rPr>
                                  <w:color w:val="000000"/>
                                  <w:spacing w:val="-4"/>
                                  <w:sz w:val="24"/>
                                </w:rPr>
                                <w:t>Time</w:t>
                              </w:r>
                            </w:p>
                          </w:txbxContent>
                        </wps:txbx>
                        <wps:bodyPr wrap="square" lIns="0" tIns="0" rIns="0" bIns="0" rtlCol="0">
                          <a:noAutofit/>
                        </wps:bodyPr>
                      </wps:wsp>
                    </wpg:wgp>
                  </a:graphicData>
                </a:graphic>
              </wp:inline>
            </w:drawing>
          </mc:Choice>
          <mc:Fallback>
            <w:pict>
              <v:group style="width:427.5pt;height:257.1500pt;mso-position-horizontal-relative:char;mso-position-vertical-relative:line" id="docshapegroup25" coordorigin="0,0" coordsize="8550,5143">
                <v:shape style="position:absolute;left:0;top:0;width:8550;height:5143" type="#_x0000_t75" id="docshape26" stroked="false">
                  <v:imagedata r:id="rId22" o:title=""/>
                </v:shape>
                <v:shape style="position:absolute;left:7591;top:4334;width:858;height:518" type="#_x0000_t202" id="docshape27" filled="true" fillcolor="#ffffff" stroked="false">
                  <v:textbox inset="0,0,0,0">
                    <w:txbxContent>
                      <w:p>
                        <w:pPr>
                          <w:spacing w:before="75"/>
                          <w:ind w:left="146" w:right="0" w:firstLine="0"/>
                          <w:jc w:val="left"/>
                          <w:rPr>
                            <w:color w:val="000000"/>
                            <w:sz w:val="24"/>
                          </w:rPr>
                        </w:pPr>
                        <w:r>
                          <w:rPr>
                            <w:color w:val="000000"/>
                            <w:spacing w:val="-4"/>
                            <w:sz w:val="24"/>
                          </w:rPr>
                          <w:t>Time</w:t>
                        </w:r>
                      </w:p>
                    </w:txbxContent>
                  </v:textbox>
                  <v:fill type="solid"/>
                  <w10:wrap type="none"/>
                </v:shape>
              </v:group>
            </w:pict>
          </mc:Fallback>
        </mc:AlternateContent>
      </w:r>
      <w:r>
        <w:rPr>
          <w:sz w:val="20"/>
        </w:rPr>
      </w:r>
    </w:p>
    <w:p>
      <w:pPr>
        <w:pStyle w:val="BodyText"/>
        <w:spacing w:before="227"/>
        <w:rPr>
          <w:b/>
        </w:rPr>
      </w:pPr>
    </w:p>
    <w:p>
      <w:pPr>
        <w:spacing w:line="480" w:lineRule="auto" w:before="1"/>
        <w:ind w:left="380" w:right="1267" w:firstLine="0"/>
        <w:jc w:val="left"/>
        <w:rPr>
          <w:b/>
          <w:sz w:val="24"/>
        </w:rPr>
      </w:pPr>
      <w:r>
        <w:rPr>
          <w:b/>
          <w:sz w:val="24"/>
        </w:rPr>
        <w:t>Figure</w:t>
      </w:r>
      <w:r>
        <w:rPr>
          <w:b/>
          <w:spacing w:val="-4"/>
          <w:sz w:val="24"/>
        </w:rPr>
        <w:t> </w:t>
      </w:r>
      <w:r>
        <w:rPr>
          <w:b/>
          <w:sz w:val="24"/>
        </w:rPr>
        <w:t>4.8:</w:t>
      </w:r>
      <w:r>
        <w:rPr>
          <w:b/>
          <w:spacing w:val="-3"/>
          <w:sz w:val="24"/>
        </w:rPr>
        <w:t> </w:t>
      </w:r>
      <w:r>
        <w:rPr>
          <w:b/>
          <w:sz w:val="24"/>
        </w:rPr>
        <w:t>Percentage</w:t>
      </w:r>
      <w:r>
        <w:rPr>
          <w:b/>
          <w:spacing w:val="-2"/>
          <w:sz w:val="24"/>
        </w:rPr>
        <w:t> </w:t>
      </w:r>
      <w:r>
        <w:rPr>
          <w:b/>
          <w:sz w:val="24"/>
        </w:rPr>
        <w:t>content</w:t>
      </w:r>
      <w:r>
        <w:rPr>
          <w:b/>
          <w:spacing w:val="-4"/>
          <w:sz w:val="24"/>
        </w:rPr>
        <w:t> </w:t>
      </w:r>
      <w:r>
        <w:rPr>
          <w:b/>
          <w:sz w:val="24"/>
        </w:rPr>
        <w:t>of</w:t>
      </w:r>
      <w:r>
        <w:rPr>
          <w:b/>
          <w:spacing w:val="-3"/>
          <w:sz w:val="24"/>
        </w:rPr>
        <w:t> </w:t>
      </w:r>
      <w:r>
        <w:rPr>
          <w:b/>
          <w:sz w:val="24"/>
        </w:rPr>
        <w:t>tinidazole</w:t>
      </w:r>
      <w:r>
        <w:rPr>
          <w:b/>
          <w:spacing w:val="-4"/>
          <w:sz w:val="24"/>
        </w:rPr>
        <w:t> </w:t>
      </w:r>
      <w:r>
        <w:rPr>
          <w:b/>
          <w:sz w:val="24"/>
        </w:rPr>
        <w:t>dissolved</w:t>
      </w:r>
      <w:r>
        <w:rPr>
          <w:b/>
          <w:spacing w:val="-4"/>
          <w:sz w:val="24"/>
        </w:rPr>
        <w:t> </w:t>
      </w:r>
      <w:r>
        <w:rPr>
          <w:b/>
          <w:sz w:val="24"/>
        </w:rPr>
        <w:t>for</w:t>
      </w:r>
      <w:r>
        <w:rPr>
          <w:b/>
          <w:spacing w:val="-4"/>
          <w:sz w:val="24"/>
        </w:rPr>
        <w:t> </w:t>
      </w:r>
      <w:r>
        <w:rPr>
          <w:b/>
          <w:sz w:val="24"/>
        </w:rPr>
        <w:t>the</w:t>
      </w:r>
      <w:r>
        <w:rPr>
          <w:b/>
          <w:spacing w:val="-4"/>
          <w:sz w:val="24"/>
        </w:rPr>
        <w:t> </w:t>
      </w:r>
      <w:r>
        <w:rPr>
          <w:b/>
          <w:sz w:val="24"/>
        </w:rPr>
        <w:t>different</w:t>
      </w:r>
      <w:r>
        <w:rPr>
          <w:b/>
          <w:spacing w:val="-4"/>
          <w:sz w:val="24"/>
        </w:rPr>
        <w:t> </w:t>
      </w:r>
      <w:r>
        <w:rPr>
          <w:b/>
          <w:sz w:val="24"/>
        </w:rPr>
        <w:t>tablet</w:t>
      </w:r>
      <w:r>
        <w:rPr>
          <w:b/>
          <w:spacing w:val="-5"/>
          <w:sz w:val="24"/>
        </w:rPr>
        <w:t> </w:t>
      </w:r>
      <w:r>
        <w:rPr>
          <w:b/>
          <w:sz w:val="24"/>
        </w:rPr>
        <w:t>samples of tinidazole in phosphate buffer 6.8 (Simulated intestinal pH)</w:t>
      </w:r>
    </w:p>
    <w:p>
      <w:pPr>
        <w:spacing w:after="0" w:line="480" w:lineRule="auto"/>
        <w:jc w:val="left"/>
        <w:rPr>
          <w:sz w:val="24"/>
        </w:rPr>
        <w:sectPr>
          <w:pgSz w:w="12240" w:h="15840"/>
          <w:pgMar w:header="0" w:footer="1068" w:top="1820" w:bottom="1260" w:left="1420" w:right="440"/>
        </w:sectPr>
      </w:pPr>
    </w:p>
    <w:p>
      <w:pPr>
        <w:pStyle w:val="BodyText"/>
        <w:ind w:left="390"/>
        <w:rPr>
          <w:sz w:val="20"/>
        </w:rPr>
      </w:pPr>
      <w:r>
        <w:rPr>
          <w:sz w:val="20"/>
        </w:rPr>
        <mc:AlternateContent>
          <mc:Choice Requires="wps">
            <w:drawing>
              <wp:inline distT="0" distB="0" distL="0" distR="0">
                <wp:extent cx="5816600" cy="4069079"/>
                <wp:effectExtent l="0" t="0" r="0" b="7620"/>
                <wp:docPr id="37" name="Group 37"/>
                <wp:cNvGraphicFramePr>
                  <a:graphicFrameLocks/>
                </wp:cNvGraphicFramePr>
                <a:graphic>
                  <a:graphicData uri="http://schemas.microsoft.com/office/word/2010/wordprocessingGroup">
                    <wpg:wgp>
                      <wpg:cNvPr id="37" name="Group 37"/>
                      <wpg:cNvGrpSpPr/>
                      <wpg:grpSpPr>
                        <a:xfrm>
                          <a:off x="0" y="0"/>
                          <a:ext cx="5816600" cy="4069079"/>
                          <a:chExt cx="5816600" cy="4069079"/>
                        </a:xfrm>
                      </wpg:grpSpPr>
                      <pic:pic>
                        <pic:nvPicPr>
                          <pic:cNvPr id="38" name="Image 38"/>
                          <pic:cNvPicPr/>
                        </pic:nvPicPr>
                        <pic:blipFill>
                          <a:blip r:embed="rId23" cstate="print"/>
                          <a:stretch>
                            <a:fillRect/>
                          </a:stretch>
                        </pic:blipFill>
                        <pic:spPr>
                          <a:xfrm>
                            <a:off x="0" y="0"/>
                            <a:ext cx="5808599" cy="4069079"/>
                          </a:xfrm>
                          <a:prstGeom prst="rect">
                            <a:avLst/>
                          </a:prstGeom>
                        </pic:spPr>
                      </pic:pic>
                      <wps:wsp>
                        <wps:cNvPr id="39" name="Textbox 39"/>
                        <wps:cNvSpPr txBox="1"/>
                        <wps:spPr>
                          <a:xfrm>
                            <a:off x="5230749" y="3770629"/>
                            <a:ext cx="585470" cy="287655"/>
                          </a:xfrm>
                          <a:prstGeom prst="rect">
                            <a:avLst/>
                          </a:prstGeom>
                          <a:solidFill>
                            <a:srgbClr val="FFFFFF"/>
                          </a:solidFill>
                        </wps:spPr>
                        <wps:txbx>
                          <w:txbxContent>
                            <w:p>
                              <w:pPr>
                                <w:spacing w:before="71"/>
                                <w:ind w:left="146" w:right="0" w:firstLine="0"/>
                                <w:jc w:val="left"/>
                                <w:rPr>
                                  <w:color w:val="000000"/>
                                  <w:sz w:val="24"/>
                                </w:rPr>
                              </w:pPr>
                              <w:r>
                                <w:rPr>
                                  <w:color w:val="000000"/>
                                  <w:spacing w:val="-4"/>
                                  <w:sz w:val="24"/>
                                </w:rPr>
                                <w:t>Time</w:t>
                              </w:r>
                            </w:p>
                          </w:txbxContent>
                        </wps:txbx>
                        <wps:bodyPr wrap="square" lIns="0" tIns="0" rIns="0" bIns="0" rtlCol="0">
                          <a:noAutofit/>
                        </wps:bodyPr>
                      </wps:wsp>
                      <wps:wsp>
                        <wps:cNvPr id="40" name="Textbox 40"/>
                        <wps:cNvSpPr txBox="1"/>
                        <wps:spPr>
                          <a:xfrm>
                            <a:off x="21209" y="20320"/>
                            <a:ext cx="236854" cy="4037965"/>
                          </a:xfrm>
                          <a:prstGeom prst="rect">
                            <a:avLst/>
                          </a:prstGeom>
                          <a:solidFill>
                            <a:srgbClr val="FFFFFF"/>
                          </a:solidFill>
                        </wps:spPr>
                        <wps:txbx>
                          <w:txbxContent>
                            <w:p>
                              <w:pPr>
                                <w:spacing w:before="63"/>
                                <w:ind w:left="143" w:right="0" w:firstLine="0"/>
                                <w:jc w:val="left"/>
                                <w:rPr>
                                  <w:color w:val="000000"/>
                                  <w:sz w:val="24"/>
                                </w:rPr>
                              </w:pPr>
                              <w:r>
                                <w:rPr>
                                  <w:color w:val="000000"/>
                                  <w:spacing w:val="-10"/>
                                  <w:sz w:val="24"/>
                                </w:rPr>
                                <w:t>P</w:t>
                              </w:r>
                            </w:p>
                            <w:p>
                              <w:pPr>
                                <w:spacing w:before="0"/>
                                <w:ind w:left="143" w:right="107" w:firstLine="0"/>
                                <w:jc w:val="both"/>
                                <w:rPr>
                                  <w:color w:val="000000"/>
                                  <w:sz w:val="24"/>
                                </w:rPr>
                              </w:pPr>
                              <w:r>
                                <w:rPr>
                                  <w:color w:val="000000"/>
                                  <w:spacing w:val="-10"/>
                                  <w:sz w:val="24"/>
                                </w:rPr>
                                <w:t>e r c e n t a g e</w:t>
                              </w:r>
                            </w:p>
                            <w:p>
                              <w:pPr>
                                <w:spacing w:line="240" w:lineRule="auto" w:before="0"/>
                                <w:rPr>
                                  <w:color w:val="000000"/>
                                  <w:sz w:val="24"/>
                                </w:rPr>
                              </w:pPr>
                            </w:p>
                            <w:p>
                              <w:pPr>
                                <w:spacing w:line="240" w:lineRule="auto" w:before="0"/>
                                <w:ind w:left="143" w:right="107" w:firstLine="0"/>
                                <w:jc w:val="both"/>
                                <w:rPr>
                                  <w:color w:val="000000"/>
                                  <w:sz w:val="24"/>
                                </w:rPr>
                              </w:pPr>
                              <w:r>
                                <w:rPr>
                                  <w:color w:val="000000"/>
                                  <w:spacing w:val="-10"/>
                                  <w:sz w:val="24"/>
                                </w:rPr>
                                <w:t>d i s s o v l e d</w:t>
                              </w:r>
                            </w:p>
                          </w:txbxContent>
                        </wps:txbx>
                        <wps:bodyPr wrap="square" lIns="0" tIns="0" rIns="0" bIns="0" rtlCol="0">
                          <a:noAutofit/>
                        </wps:bodyPr>
                      </wps:wsp>
                    </wpg:wgp>
                  </a:graphicData>
                </a:graphic>
              </wp:inline>
            </w:drawing>
          </mc:Choice>
          <mc:Fallback>
            <w:pict>
              <v:group style="width:458pt;height:320.4pt;mso-position-horizontal-relative:char;mso-position-vertical-relative:line" id="docshapegroup28" coordorigin="0,0" coordsize="9160,6408">
                <v:shape style="position:absolute;left:0;top:0;width:9148;height:6408" type="#_x0000_t75" id="docshape29" stroked="false">
                  <v:imagedata r:id="rId23" o:title=""/>
                </v:shape>
                <v:shape style="position:absolute;left:8237;top:5938;width:922;height:453" type="#_x0000_t202" id="docshape30" filled="true" fillcolor="#ffffff" stroked="false">
                  <v:textbox inset="0,0,0,0">
                    <w:txbxContent>
                      <w:p>
                        <w:pPr>
                          <w:spacing w:before="71"/>
                          <w:ind w:left="146" w:right="0" w:firstLine="0"/>
                          <w:jc w:val="left"/>
                          <w:rPr>
                            <w:color w:val="000000"/>
                            <w:sz w:val="24"/>
                          </w:rPr>
                        </w:pPr>
                        <w:r>
                          <w:rPr>
                            <w:color w:val="000000"/>
                            <w:spacing w:val="-4"/>
                            <w:sz w:val="24"/>
                          </w:rPr>
                          <w:t>Time</w:t>
                        </w:r>
                      </w:p>
                    </w:txbxContent>
                  </v:textbox>
                  <v:fill type="solid"/>
                  <w10:wrap type="none"/>
                </v:shape>
                <v:shape style="position:absolute;left:33;top:32;width:373;height:6359" type="#_x0000_t202" id="docshape31" filled="true" fillcolor="#ffffff" stroked="false">
                  <v:textbox inset="0,0,0,0">
                    <w:txbxContent>
                      <w:p>
                        <w:pPr>
                          <w:spacing w:before="63"/>
                          <w:ind w:left="143" w:right="0" w:firstLine="0"/>
                          <w:jc w:val="left"/>
                          <w:rPr>
                            <w:color w:val="000000"/>
                            <w:sz w:val="24"/>
                          </w:rPr>
                        </w:pPr>
                        <w:r>
                          <w:rPr>
                            <w:color w:val="000000"/>
                            <w:spacing w:val="-10"/>
                            <w:sz w:val="24"/>
                          </w:rPr>
                          <w:t>P</w:t>
                        </w:r>
                      </w:p>
                      <w:p>
                        <w:pPr>
                          <w:spacing w:before="0"/>
                          <w:ind w:left="143" w:right="107" w:firstLine="0"/>
                          <w:jc w:val="both"/>
                          <w:rPr>
                            <w:color w:val="000000"/>
                            <w:sz w:val="24"/>
                          </w:rPr>
                        </w:pPr>
                        <w:r>
                          <w:rPr>
                            <w:color w:val="000000"/>
                            <w:spacing w:val="-10"/>
                            <w:sz w:val="24"/>
                          </w:rPr>
                          <w:t>e r c e n t a g e</w:t>
                        </w:r>
                      </w:p>
                      <w:p>
                        <w:pPr>
                          <w:spacing w:line="240" w:lineRule="auto" w:before="0"/>
                          <w:rPr>
                            <w:color w:val="000000"/>
                            <w:sz w:val="24"/>
                          </w:rPr>
                        </w:pPr>
                      </w:p>
                      <w:p>
                        <w:pPr>
                          <w:spacing w:line="240" w:lineRule="auto" w:before="0"/>
                          <w:ind w:left="143" w:right="107" w:firstLine="0"/>
                          <w:jc w:val="both"/>
                          <w:rPr>
                            <w:color w:val="000000"/>
                            <w:sz w:val="24"/>
                          </w:rPr>
                        </w:pPr>
                        <w:r>
                          <w:rPr>
                            <w:color w:val="000000"/>
                            <w:spacing w:val="-10"/>
                            <w:sz w:val="24"/>
                          </w:rPr>
                          <w:t>d i s s o v l e d</w:t>
                        </w:r>
                      </w:p>
                    </w:txbxContent>
                  </v:textbox>
                  <v:fill type="solid"/>
                  <w10:wrap type="none"/>
                </v:shape>
              </v:group>
            </w:pict>
          </mc:Fallback>
        </mc:AlternateContent>
      </w:r>
      <w:r>
        <w:rPr>
          <w:sz w:val="20"/>
        </w:rPr>
      </w:r>
    </w:p>
    <w:p>
      <w:pPr>
        <w:spacing w:line="477" w:lineRule="auto" w:before="228"/>
        <w:ind w:left="380" w:right="1267" w:firstLine="0"/>
        <w:jc w:val="left"/>
        <w:rPr>
          <w:b/>
          <w:sz w:val="24"/>
        </w:rPr>
      </w:pPr>
      <w:r>
        <w:rPr>
          <w:b/>
          <w:sz w:val="24"/>
        </w:rPr>
        <w:t>Figure</w:t>
      </w:r>
      <w:r>
        <w:rPr>
          <w:b/>
          <w:spacing w:val="-4"/>
          <w:sz w:val="24"/>
        </w:rPr>
        <w:t> </w:t>
      </w:r>
      <w:r>
        <w:rPr>
          <w:b/>
          <w:sz w:val="24"/>
        </w:rPr>
        <w:t>4.9:</w:t>
      </w:r>
      <w:r>
        <w:rPr>
          <w:b/>
          <w:spacing w:val="-2"/>
          <w:sz w:val="24"/>
        </w:rPr>
        <w:t> </w:t>
      </w:r>
      <w:r>
        <w:rPr>
          <w:b/>
          <w:sz w:val="24"/>
        </w:rPr>
        <w:t>Percentage</w:t>
      </w:r>
      <w:r>
        <w:rPr>
          <w:b/>
          <w:spacing w:val="-2"/>
          <w:sz w:val="24"/>
        </w:rPr>
        <w:t> </w:t>
      </w:r>
      <w:r>
        <w:rPr>
          <w:b/>
          <w:sz w:val="24"/>
        </w:rPr>
        <w:t>content</w:t>
      </w:r>
      <w:r>
        <w:rPr>
          <w:b/>
          <w:spacing w:val="-3"/>
          <w:sz w:val="24"/>
        </w:rPr>
        <w:t> </w:t>
      </w:r>
      <w:r>
        <w:rPr>
          <w:b/>
          <w:sz w:val="24"/>
        </w:rPr>
        <w:t>of</w:t>
      </w:r>
      <w:r>
        <w:rPr>
          <w:b/>
          <w:spacing w:val="-3"/>
          <w:sz w:val="24"/>
        </w:rPr>
        <w:t> </w:t>
      </w:r>
      <w:r>
        <w:rPr>
          <w:b/>
          <w:sz w:val="24"/>
        </w:rPr>
        <w:t>tinidazole</w:t>
      </w:r>
      <w:r>
        <w:rPr>
          <w:b/>
          <w:spacing w:val="-3"/>
          <w:sz w:val="24"/>
        </w:rPr>
        <w:t> </w:t>
      </w:r>
      <w:r>
        <w:rPr>
          <w:b/>
          <w:sz w:val="24"/>
        </w:rPr>
        <w:t>dissolved</w:t>
      </w:r>
      <w:r>
        <w:rPr>
          <w:b/>
          <w:spacing w:val="-3"/>
          <w:sz w:val="24"/>
        </w:rPr>
        <w:t> </w:t>
      </w:r>
      <w:r>
        <w:rPr>
          <w:b/>
          <w:sz w:val="24"/>
        </w:rPr>
        <w:t>for</w:t>
      </w:r>
      <w:r>
        <w:rPr>
          <w:b/>
          <w:spacing w:val="-4"/>
          <w:sz w:val="24"/>
        </w:rPr>
        <w:t> </w:t>
      </w:r>
      <w:r>
        <w:rPr>
          <w:b/>
          <w:sz w:val="24"/>
        </w:rPr>
        <w:t>the</w:t>
      </w:r>
      <w:r>
        <w:rPr>
          <w:b/>
          <w:spacing w:val="-4"/>
          <w:sz w:val="24"/>
        </w:rPr>
        <w:t> </w:t>
      </w:r>
      <w:r>
        <w:rPr>
          <w:b/>
          <w:sz w:val="24"/>
        </w:rPr>
        <w:t>different</w:t>
      </w:r>
      <w:r>
        <w:rPr>
          <w:b/>
          <w:spacing w:val="-3"/>
          <w:sz w:val="24"/>
        </w:rPr>
        <w:t> </w:t>
      </w:r>
      <w:r>
        <w:rPr>
          <w:b/>
          <w:sz w:val="24"/>
        </w:rPr>
        <w:t>tablet</w:t>
      </w:r>
      <w:r>
        <w:rPr>
          <w:b/>
          <w:spacing w:val="-5"/>
          <w:sz w:val="24"/>
        </w:rPr>
        <w:t> </w:t>
      </w:r>
      <w:r>
        <w:rPr>
          <w:b/>
          <w:sz w:val="24"/>
        </w:rPr>
        <w:t>samples of tinidazole in phosphate buffer 7.4 (Simulated blood pH)</w:t>
      </w:r>
    </w:p>
    <w:p>
      <w:pPr>
        <w:spacing w:after="0" w:line="477" w:lineRule="auto"/>
        <w:jc w:val="left"/>
        <w:rPr>
          <w:sz w:val="24"/>
        </w:rPr>
        <w:sectPr>
          <w:pgSz w:w="12240" w:h="15840"/>
          <w:pgMar w:header="0" w:footer="1068" w:top="1620" w:bottom="1260" w:left="1420" w:right="440"/>
        </w:sectPr>
      </w:pPr>
    </w:p>
    <w:p>
      <w:pPr>
        <w:pStyle w:val="Heading2"/>
        <w:numPr>
          <w:ilvl w:val="2"/>
          <w:numId w:val="22"/>
        </w:numPr>
        <w:tabs>
          <w:tab w:pos="1035" w:val="left" w:leader="none"/>
        </w:tabs>
        <w:spacing w:line="480" w:lineRule="auto" w:before="210" w:after="0"/>
        <w:ind w:left="380" w:right="1263" w:firstLine="0"/>
        <w:jc w:val="left"/>
      </w:pPr>
      <w:bookmarkStart w:name="_TOC_250018" w:id="66"/>
      <w:r>
        <w:rPr/>
        <w:t>Determination</w:t>
      </w:r>
      <w:r>
        <w:rPr>
          <w:spacing w:val="80"/>
        </w:rPr>
        <w:t> </w:t>
      </w:r>
      <w:r>
        <w:rPr/>
        <w:t>of</w:t>
      </w:r>
      <w:r>
        <w:rPr>
          <w:spacing w:val="80"/>
        </w:rPr>
        <w:t> </w:t>
      </w:r>
      <w:r>
        <w:rPr/>
        <w:t>bioequivalence</w:t>
      </w:r>
      <w:r>
        <w:rPr>
          <w:spacing w:val="80"/>
        </w:rPr>
        <w:t> </w:t>
      </w:r>
      <w:r>
        <w:rPr/>
        <w:t>among</w:t>
      </w:r>
      <w:r>
        <w:rPr>
          <w:spacing w:val="80"/>
        </w:rPr>
        <w:t> </w:t>
      </w:r>
      <w:r>
        <w:rPr/>
        <w:t>tinidazole</w:t>
      </w:r>
      <w:r>
        <w:rPr>
          <w:spacing w:val="80"/>
        </w:rPr>
        <w:t> </w:t>
      </w:r>
      <w:r>
        <w:rPr/>
        <w:t>tablet</w:t>
      </w:r>
      <w:r>
        <w:rPr>
          <w:spacing w:val="80"/>
        </w:rPr>
        <w:t> </w:t>
      </w:r>
      <w:r>
        <w:rPr/>
        <w:t>samples</w:t>
      </w:r>
      <w:r>
        <w:rPr>
          <w:spacing w:val="80"/>
        </w:rPr>
        <w:t> </w:t>
      </w:r>
      <w:r>
        <w:rPr/>
        <w:t>using</w:t>
      </w:r>
      <w:r>
        <w:rPr>
          <w:spacing w:val="40"/>
        </w:rPr>
        <w:t> </w:t>
      </w:r>
      <w:bookmarkEnd w:id="66"/>
      <w:r>
        <w:rPr/>
        <w:t>similarity factor of samples A, B, and D when compared to sample C</w:t>
      </w:r>
    </w:p>
    <w:p>
      <w:pPr>
        <w:pStyle w:val="ListParagraph"/>
        <w:numPr>
          <w:ilvl w:val="3"/>
          <w:numId w:val="22"/>
        </w:numPr>
        <w:tabs>
          <w:tab w:pos="1100" w:val="left" w:leader="none"/>
        </w:tabs>
        <w:spacing w:line="271" w:lineRule="exact" w:before="0" w:after="0"/>
        <w:ind w:left="1100" w:right="0" w:hanging="720"/>
        <w:jc w:val="left"/>
        <w:rPr>
          <w:i/>
          <w:sz w:val="24"/>
        </w:rPr>
      </w:pPr>
      <w:r>
        <w:rPr>
          <w:i/>
          <w:sz w:val="24"/>
        </w:rPr>
        <w:t>In</w:t>
      </w:r>
      <w:r>
        <w:rPr>
          <w:i/>
          <w:spacing w:val="-1"/>
          <w:sz w:val="24"/>
        </w:rPr>
        <w:t> </w:t>
      </w:r>
      <w:r>
        <w:rPr>
          <w:i/>
          <w:sz w:val="24"/>
        </w:rPr>
        <w:t>simulated</w:t>
      </w:r>
      <w:r>
        <w:rPr>
          <w:i/>
          <w:spacing w:val="-2"/>
          <w:sz w:val="24"/>
        </w:rPr>
        <w:t> </w:t>
      </w:r>
      <w:r>
        <w:rPr>
          <w:i/>
          <w:sz w:val="24"/>
        </w:rPr>
        <w:t>gastric</w:t>
      </w:r>
      <w:r>
        <w:rPr>
          <w:i/>
          <w:spacing w:val="-1"/>
          <w:sz w:val="24"/>
        </w:rPr>
        <w:t> </w:t>
      </w:r>
      <w:r>
        <w:rPr>
          <w:i/>
          <w:sz w:val="24"/>
        </w:rPr>
        <w:t>pH</w:t>
      </w:r>
      <w:r>
        <w:rPr>
          <w:i/>
          <w:spacing w:val="1"/>
          <w:sz w:val="24"/>
        </w:rPr>
        <w:t> </w:t>
      </w:r>
      <w:r>
        <w:rPr>
          <w:i/>
          <w:sz w:val="24"/>
        </w:rPr>
        <w:t>(0.1N</w:t>
      </w:r>
      <w:r>
        <w:rPr>
          <w:i/>
          <w:spacing w:val="-1"/>
          <w:sz w:val="24"/>
        </w:rPr>
        <w:t> </w:t>
      </w:r>
      <w:r>
        <w:rPr>
          <w:i/>
          <w:spacing w:val="-2"/>
          <w:sz w:val="24"/>
        </w:rPr>
        <w:t>HCl).</w:t>
      </w:r>
    </w:p>
    <w:p>
      <w:pPr>
        <w:pStyle w:val="BodyText"/>
        <w:spacing w:before="4"/>
        <w:rPr>
          <w:i/>
        </w:rPr>
      </w:pPr>
    </w:p>
    <w:p>
      <w:pPr>
        <w:pStyle w:val="Heading2"/>
        <w:spacing w:line="480" w:lineRule="auto" w:after="4"/>
        <w:ind w:right="1175"/>
      </w:pPr>
      <w:r>
        <w:rPr/>
        <w:t>Table</w:t>
      </w:r>
      <w:r>
        <w:rPr>
          <w:spacing w:val="-3"/>
        </w:rPr>
        <w:t> </w:t>
      </w:r>
      <w:r>
        <w:rPr/>
        <w:t>4.9:</w:t>
      </w:r>
      <w:r>
        <w:rPr>
          <w:spacing w:val="-4"/>
        </w:rPr>
        <w:t> </w:t>
      </w:r>
      <w:r>
        <w:rPr/>
        <w:t>Similarity</w:t>
      </w:r>
      <w:r>
        <w:rPr>
          <w:spacing w:val="-3"/>
        </w:rPr>
        <w:t> </w:t>
      </w:r>
      <w:r>
        <w:rPr/>
        <w:t>factor</w:t>
      </w:r>
      <w:r>
        <w:rPr>
          <w:spacing w:val="-5"/>
        </w:rPr>
        <w:t> </w:t>
      </w:r>
      <w:r>
        <w:rPr/>
        <w:t>of</w:t>
      </w:r>
      <w:r>
        <w:rPr>
          <w:spacing w:val="-2"/>
        </w:rPr>
        <w:t> </w:t>
      </w:r>
      <w:r>
        <w:rPr/>
        <w:t>samples</w:t>
      </w:r>
      <w:r>
        <w:rPr>
          <w:spacing w:val="-3"/>
        </w:rPr>
        <w:t> </w:t>
      </w:r>
      <w:r>
        <w:rPr/>
        <w:t>A,</w:t>
      </w:r>
      <w:r>
        <w:rPr>
          <w:spacing w:val="-3"/>
        </w:rPr>
        <w:t> </w:t>
      </w:r>
      <w:r>
        <w:rPr/>
        <w:t>B</w:t>
      </w:r>
      <w:r>
        <w:rPr>
          <w:spacing w:val="-3"/>
        </w:rPr>
        <w:t> </w:t>
      </w:r>
      <w:r>
        <w:rPr/>
        <w:t>and</w:t>
      </w:r>
      <w:r>
        <w:rPr>
          <w:spacing w:val="-3"/>
        </w:rPr>
        <w:t> </w:t>
      </w:r>
      <w:r>
        <w:rPr/>
        <w:t>D</w:t>
      </w:r>
      <w:r>
        <w:rPr>
          <w:spacing w:val="-3"/>
        </w:rPr>
        <w:t> </w:t>
      </w:r>
      <w:r>
        <w:rPr/>
        <w:t>when</w:t>
      </w:r>
      <w:r>
        <w:rPr>
          <w:spacing w:val="-3"/>
        </w:rPr>
        <w:t> </w:t>
      </w:r>
      <w:r>
        <w:rPr/>
        <w:t>compared</w:t>
      </w:r>
      <w:r>
        <w:rPr>
          <w:spacing w:val="-3"/>
        </w:rPr>
        <w:t> </w:t>
      </w:r>
      <w:r>
        <w:rPr/>
        <w:t>to</w:t>
      </w:r>
      <w:r>
        <w:rPr>
          <w:spacing w:val="-1"/>
        </w:rPr>
        <w:t> </w:t>
      </w:r>
      <w:r>
        <w:rPr/>
        <w:t>sample C</w:t>
      </w:r>
      <w:r>
        <w:rPr>
          <w:spacing w:val="-3"/>
        </w:rPr>
        <w:t> </w:t>
      </w:r>
      <w:r>
        <w:rPr/>
        <w:t>in simulated gastric pH</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9"/>
        <w:gridCol w:w="2547"/>
        <w:gridCol w:w="4824"/>
      </w:tblGrid>
      <w:tr>
        <w:trPr>
          <w:trHeight w:val="369" w:hRule="atLeast"/>
        </w:trPr>
        <w:tc>
          <w:tcPr>
            <w:tcW w:w="1019" w:type="dxa"/>
            <w:tcBorders>
              <w:top w:val="single" w:sz="4" w:space="0" w:color="000000"/>
              <w:bottom w:val="single" w:sz="4" w:space="0" w:color="000000"/>
            </w:tcBorders>
          </w:tcPr>
          <w:p>
            <w:pPr>
              <w:pStyle w:val="TableParagraph"/>
              <w:spacing w:line="240" w:lineRule="auto" w:before="1"/>
              <w:ind w:left="108"/>
              <w:rPr>
                <w:b/>
                <w:sz w:val="22"/>
              </w:rPr>
            </w:pPr>
            <w:r>
              <w:rPr>
                <w:b/>
                <w:spacing w:val="-4"/>
                <w:sz w:val="22"/>
              </w:rPr>
              <w:t>S/No</w:t>
            </w:r>
          </w:p>
        </w:tc>
        <w:tc>
          <w:tcPr>
            <w:tcW w:w="2547" w:type="dxa"/>
            <w:tcBorders>
              <w:top w:val="single" w:sz="4" w:space="0" w:color="000000"/>
              <w:bottom w:val="single" w:sz="4" w:space="0" w:color="000000"/>
            </w:tcBorders>
          </w:tcPr>
          <w:p>
            <w:pPr>
              <w:pStyle w:val="TableParagraph"/>
              <w:spacing w:line="240" w:lineRule="auto" w:before="1"/>
              <w:ind w:left="456"/>
              <w:rPr>
                <w:b/>
                <w:sz w:val="22"/>
              </w:rPr>
            </w:pPr>
            <w:r>
              <w:rPr>
                <w:b/>
                <w:spacing w:val="-2"/>
                <w:sz w:val="22"/>
              </w:rPr>
              <w:t>Sample</w:t>
            </w:r>
          </w:p>
        </w:tc>
        <w:tc>
          <w:tcPr>
            <w:tcW w:w="4824" w:type="dxa"/>
            <w:tcBorders>
              <w:top w:val="single" w:sz="4" w:space="0" w:color="000000"/>
              <w:bottom w:val="single" w:sz="4" w:space="0" w:color="000000"/>
            </w:tcBorders>
          </w:tcPr>
          <w:p>
            <w:pPr>
              <w:pStyle w:val="TableParagraph"/>
              <w:spacing w:line="240" w:lineRule="auto" w:before="1"/>
              <w:ind w:right="130"/>
              <w:jc w:val="center"/>
              <w:rPr>
                <w:b/>
                <w:sz w:val="22"/>
              </w:rPr>
            </w:pPr>
            <w:r>
              <w:rPr>
                <w:b/>
                <w:sz w:val="22"/>
              </w:rPr>
              <w:t>Similarity</w:t>
            </w:r>
            <w:r>
              <w:rPr>
                <w:b/>
                <w:spacing w:val="-9"/>
                <w:sz w:val="22"/>
              </w:rPr>
              <w:t> </w:t>
            </w:r>
            <w:r>
              <w:rPr>
                <w:b/>
                <w:spacing w:val="-2"/>
                <w:sz w:val="22"/>
              </w:rPr>
              <w:t>Factor(</w:t>
            </w:r>
            <w:r>
              <w:rPr>
                <w:b/>
                <w:i/>
                <w:spacing w:val="-2"/>
                <w:sz w:val="22"/>
              </w:rPr>
              <w:t>f</w:t>
            </w:r>
            <w:r>
              <w:rPr>
                <w:b/>
                <w:i/>
                <w:spacing w:val="-2"/>
                <w:sz w:val="22"/>
                <w:vertAlign w:val="subscript"/>
              </w:rPr>
              <w:t>2</w:t>
            </w:r>
            <w:r>
              <w:rPr>
                <w:b/>
                <w:spacing w:val="-2"/>
                <w:sz w:val="22"/>
                <w:vertAlign w:val="baseline"/>
              </w:rPr>
              <w:t>)</w:t>
            </w:r>
          </w:p>
        </w:tc>
      </w:tr>
      <w:tr>
        <w:trPr>
          <w:trHeight w:val="782" w:hRule="atLeast"/>
        </w:trPr>
        <w:tc>
          <w:tcPr>
            <w:tcW w:w="1019" w:type="dxa"/>
            <w:tcBorders>
              <w:top w:val="single" w:sz="4" w:space="0" w:color="000000"/>
            </w:tcBorders>
          </w:tcPr>
          <w:p>
            <w:pPr>
              <w:pStyle w:val="TableParagraph"/>
              <w:spacing w:line="240" w:lineRule="auto" w:before="250"/>
              <w:ind w:left="108"/>
              <w:rPr>
                <w:b/>
                <w:sz w:val="22"/>
              </w:rPr>
            </w:pPr>
            <w:r>
              <w:rPr>
                <w:b/>
                <w:spacing w:val="-10"/>
                <w:sz w:val="22"/>
              </w:rPr>
              <w:t>1</w:t>
            </w:r>
          </w:p>
        </w:tc>
        <w:tc>
          <w:tcPr>
            <w:tcW w:w="2547" w:type="dxa"/>
            <w:tcBorders>
              <w:top w:val="single" w:sz="4" w:space="0" w:color="000000"/>
            </w:tcBorders>
          </w:tcPr>
          <w:p>
            <w:pPr>
              <w:pStyle w:val="TableParagraph"/>
              <w:spacing w:line="240" w:lineRule="auto" w:before="245"/>
              <w:ind w:left="456"/>
              <w:rPr>
                <w:sz w:val="22"/>
              </w:rPr>
            </w:pPr>
            <w:r>
              <w:rPr>
                <w:spacing w:val="-10"/>
                <w:sz w:val="22"/>
              </w:rPr>
              <w:t>A</w:t>
            </w:r>
          </w:p>
        </w:tc>
        <w:tc>
          <w:tcPr>
            <w:tcW w:w="4824" w:type="dxa"/>
            <w:tcBorders>
              <w:top w:val="single" w:sz="4" w:space="0" w:color="000000"/>
            </w:tcBorders>
          </w:tcPr>
          <w:p>
            <w:pPr>
              <w:pStyle w:val="TableParagraph"/>
              <w:spacing w:line="240" w:lineRule="auto" w:before="245"/>
              <w:ind w:left="1" w:right="130"/>
              <w:jc w:val="center"/>
              <w:rPr>
                <w:sz w:val="22"/>
              </w:rPr>
            </w:pPr>
            <w:r>
              <w:rPr>
                <w:spacing w:val="-5"/>
                <w:sz w:val="22"/>
              </w:rPr>
              <w:t>24</w:t>
            </w:r>
          </w:p>
        </w:tc>
      </w:tr>
      <w:tr>
        <w:trPr>
          <w:trHeight w:val="759" w:hRule="atLeast"/>
        </w:trPr>
        <w:tc>
          <w:tcPr>
            <w:tcW w:w="1019" w:type="dxa"/>
          </w:tcPr>
          <w:p>
            <w:pPr>
              <w:pStyle w:val="TableParagraph"/>
              <w:spacing w:line="240" w:lineRule="auto" w:before="21"/>
              <w:rPr>
                <w:b/>
                <w:sz w:val="22"/>
              </w:rPr>
            </w:pPr>
          </w:p>
          <w:p>
            <w:pPr>
              <w:pStyle w:val="TableParagraph"/>
              <w:spacing w:line="240" w:lineRule="auto"/>
              <w:ind w:left="108"/>
              <w:rPr>
                <w:b/>
                <w:sz w:val="22"/>
              </w:rPr>
            </w:pPr>
            <w:r>
              <w:rPr>
                <w:b/>
                <w:spacing w:val="-10"/>
                <w:sz w:val="22"/>
              </w:rPr>
              <w:t>2</w:t>
            </w:r>
          </w:p>
        </w:tc>
        <w:tc>
          <w:tcPr>
            <w:tcW w:w="2547" w:type="dxa"/>
          </w:tcPr>
          <w:p>
            <w:pPr>
              <w:pStyle w:val="TableParagraph"/>
              <w:spacing w:line="240" w:lineRule="auto" w:before="16"/>
              <w:rPr>
                <w:b/>
                <w:sz w:val="22"/>
              </w:rPr>
            </w:pPr>
          </w:p>
          <w:p>
            <w:pPr>
              <w:pStyle w:val="TableParagraph"/>
              <w:spacing w:line="240" w:lineRule="auto" w:before="1"/>
              <w:ind w:left="456"/>
              <w:rPr>
                <w:sz w:val="22"/>
              </w:rPr>
            </w:pPr>
            <w:r>
              <w:rPr>
                <w:spacing w:val="-10"/>
                <w:sz w:val="22"/>
              </w:rPr>
              <w:t>B</w:t>
            </w:r>
          </w:p>
        </w:tc>
        <w:tc>
          <w:tcPr>
            <w:tcW w:w="4824" w:type="dxa"/>
          </w:tcPr>
          <w:p>
            <w:pPr>
              <w:pStyle w:val="TableParagraph"/>
              <w:spacing w:line="240" w:lineRule="auto" w:before="16"/>
              <w:rPr>
                <w:b/>
                <w:sz w:val="22"/>
              </w:rPr>
            </w:pPr>
          </w:p>
          <w:p>
            <w:pPr>
              <w:pStyle w:val="TableParagraph"/>
              <w:spacing w:line="240" w:lineRule="auto" w:before="1"/>
              <w:ind w:left="1" w:right="130"/>
              <w:jc w:val="center"/>
              <w:rPr>
                <w:sz w:val="22"/>
              </w:rPr>
            </w:pPr>
            <w:r>
              <w:rPr>
                <w:spacing w:val="-5"/>
                <w:sz w:val="22"/>
              </w:rPr>
              <w:t>20</w:t>
            </w:r>
          </w:p>
        </w:tc>
      </w:tr>
      <w:tr>
        <w:trPr>
          <w:trHeight w:val="481" w:hRule="atLeast"/>
        </w:trPr>
        <w:tc>
          <w:tcPr>
            <w:tcW w:w="1019" w:type="dxa"/>
          </w:tcPr>
          <w:p>
            <w:pPr>
              <w:pStyle w:val="TableParagraph"/>
              <w:spacing w:line="233" w:lineRule="exact" w:before="228"/>
              <w:ind w:left="108"/>
              <w:rPr>
                <w:b/>
                <w:sz w:val="22"/>
              </w:rPr>
            </w:pPr>
            <w:r>
              <w:rPr>
                <w:b/>
                <w:spacing w:val="-10"/>
                <w:sz w:val="22"/>
              </w:rPr>
              <w:t>3</w:t>
            </w:r>
          </w:p>
        </w:tc>
        <w:tc>
          <w:tcPr>
            <w:tcW w:w="2547" w:type="dxa"/>
          </w:tcPr>
          <w:p>
            <w:pPr>
              <w:pStyle w:val="TableParagraph"/>
              <w:spacing w:line="238" w:lineRule="exact" w:before="223"/>
              <w:ind w:left="456"/>
              <w:rPr>
                <w:sz w:val="22"/>
              </w:rPr>
            </w:pPr>
            <w:r>
              <w:rPr>
                <w:spacing w:val="-10"/>
                <w:sz w:val="22"/>
              </w:rPr>
              <w:t>D</w:t>
            </w:r>
          </w:p>
        </w:tc>
        <w:tc>
          <w:tcPr>
            <w:tcW w:w="4824" w:type="dxa"/>
          </w:tcPr>
          <w:p>
            <w:pPr>
              <w:pStyle w:val="TableParagraph"/>
              <w:spacing w:line="238" w:lineRule="exact" w:before="223"/>
              <w:ind w:left="1" w:right="130"/>
              <w:jc w:val="center"/>
              <w:rPr>
                <w:sz w:val="22"/>
              </w:rPr>
            </w:pPr>
            <w:r>
              <w:rPr>
                <w:spacing w:val="-5"/>
                <w:sz w:val="22"/>
              </w:rPr>
              <w:t>37</w:t>
            </w:r>
          </w:p>
        </w:tc>
      </w:tr>
    </w:tbl>
    <w:p>
      <w:pPr>
        <w:pStyle w:val="BodyText"/>
        <w:rPr>
          <w:b/>
        </w:rPr>
      </w:pPr>
    </w:p>
    <w:p>
      <w:pPr>
        <w:pStyle w:val="BodyText"/>
        <w:spacing w:before="159"/>
        <w:rPr>
          <w:b/>
        </w:rPr>
      </w:pPr>
    </w:p>
    <w:p>
      <w:pPr>
        <w:pStyle w:val="BodyText"/>
        <w:spacing w:line="480" w:lineRule="auto"/>
        <w:ind w:left="380" w:right="1175"/>
      </w:pPr>
      <w:r>
        <w:rPr>
          <w:b/>
        </w:rPr>
        <w:t>Note:</w:t>
      </w:r>
      <w:r>
        <w:rPr>
          <w:b/>
          <w:spacing w:val="-4"/>
        </w:rPr>
        <w:t> </w:t>
      </w:r>
      <w:r>
        <w:rPr/>
        <w:t>Samples</w:t>
      </w:r>
      <w:r>
        <w:rPr>
          <w:spacing w:val="-4"/>
        </w:rPr>
        <w:t> </w:t>
      </w:r>
      <w:r>
        <w:rPr/>
        <w:t>with</w:t>
      </w:r>
      <w:r>
        <w:rPr>
          <w:spacing w:val="-3"/>
        </w:rPr>
        <w:t> </w:t>
      </w:r>
      <w:r>
        <w:rPr>
          <w:i/>
        </w:rPr>
        <w:t>f</w:t>
      </w:r>
      <w:r>
        <w:rPr>
          <w:i/>
          <w:vertAlign w:val="subscript"/>
        </w:rPr>
        <w:t>2</w:t>
      </w:r>
      <w:r>
        <w:rPr>
          <w:i/>
          <w:spacing w:val="-3"/>
          <w:vertAlign w:val="baseline"/>
        </w:rPr>
        <w:t> </w:t>
      </w:r>
      <w:r>
        <w:rPr>
          <w:vertAlign w:val="baseline"/>
        </w:rPr>
        <w:t>value</w:t>
      </w:r>
      <w:r>
        <w:rPr>
          <w:spacing w:val="-4"/>
          <w:vertAlign w:val="baseline"/>
        </w:rPr>
        <w:t> </w:t>
      </w:r>
      <w:r>
        <w:rPr>
          <w:vertAlign w:val="baseline"/>
        </w:rPr>
        <w:t>≥</w:t>
      </w:r>
      <w:r>
        <w:rPr>
          <w:spacing w:val="-4"/>
          <w:vertAlign w:val="baseline"/>
        </w:rPr>
        <w:t> </w:t>
      </w:r>
      <w:r>
        <w:rPr>
          <w:vertAlign w:val="baseline"/>
        </w:rPr>
        <w:t>50</w:t>
      </w:r>
      <w:r>
        <w:rPr>
          <w:spacing w:val="-4"/>
          <w:vertAlign w:val="baseline"/>
        </w:rPr>
        <w:t> </w:t>
      </w:r>
      <w:r>
        <w:rPr>
          <w:vertAlign w:val="baseline"/>
        </w:rPr>
        <w:t>are</w:t>
      </w:r>
      <w:r>
        <w:rPr>
          <w:spacing w:val="-4"/>
          <w:vertAlign w:val="baseline"/>
        </w:rPr>
        <w:t> </w:t>
      </w:r>
      <w:r>
        <w:rPr>
          <w:vertAlign w:val="baseline"/>
        </w:rPr>
        <w:t>considered</w:t>
      </w:r>
      <w:r>
        <w:rPr>
          <w:spacing w:val="-4"/>
          <w:vertAlign w:val="baseline"/>
        </w:rPr>
        <w:t> </w:t>
      </w:r>
      <w:r>
        <w:rPr>
          <w:vertAlign w:val="baseline"/>
        </w:rPr>
        <w:t>bioequivalent</w:t>
      </w:r>
      <w:r>
        <w:rPr>
          <w:spacing w:val="-4"/>
          <w:vertAlign w:val="baseline"/>
        </w:rPr>
        <w:t> </w:t>
      </w:r>
      <w:r>
        <w:rPr>
          <w:vertAlign w:val="baseline"/>
        </w:rPr>
        <w:t>to</w:t>
      </w:r>
      <w:r>
        <w:rPr>
          <w:spacing w:val="-4"/>
          <w:vertAlign w:val="baseline"/>
        </w:rPr>
        <w:t> </w:t>
      </w:r>
      <w:r>
        <w:rPr>
          <w:vertAlign w:val="baseline"/>
        </w:rPr>
        <w:t>the</w:t>
      </w:r>
      <w:r>
        <w:rPr>
          <w:spacing w:val="-4"/>
          <w:vertAlign w:val="baseline"/>
        </w:rPr>
        <w:t> </w:t>
      </w:r>
      <w:r>
        <w:rPr>
          <w:vertAlign w:val="baseline"/>
        </w:rPr>
        <w:t>innovator</w:t>
      </w:r>
      <w:r>
        <w:rPr>
          <w:spacing w:val="-4"/>
          <w:vertAlign w:val="baseline"/>
        </w:rPr>
        <w:t> </w:t>
      </w:r>
      <w:r>
        <w:rPr>
          <w:vertAlign w:val="baseline"/>
        </w:rPr>
        <w:t>product (sample C)</w:t>
      </w:r>
    </w:p>
    <w:p>
      <w:pPr>
        <w:spacing w:after="0" w:line="480" w:lineRule="auto"/>
        <w:sectPr>
          <w:pgSz w:w="12240" w:h="15840"/>
          <w:pgMar w:header="0" w:footer="1068" w:top="1820" w:bottom="1260" w:left="1420" w:right="440"/>
        </w:sectPr>
      </w:pPr>
    </w:p>
    <w:p>
      <w:pPr>
        <w:pStyle w:val="ListParagraph"/>
        <w:numPr>
          <w:ilvl w:val="3"/>
          <w:numId w:val="22"/>
        </w:numPr>
        <w:tabs>
          <w:tab w:pos="1099" w:val="left" w:leader="none"/>
        </w:tabs>
        <w:spacing w:line="240" w:lineRule="auto" w:before="78" w:after="0"/>
        <w:ind w:left="1099" w:right="0" w:hanging="719"/>
        <w:jc w:val="left"/>
        <w:rPr>
          <w:i/>
          <w:sz w:val="24"/>
        </w:rPr>
      </w:pPr>
      <w:r>
        <w:rPr>
          <w:i/>
          <w:sz w:val="24"/>
        </w:rPr>
        <w:t>In</w:t>
      </w:r>
      <w:r>
        <w:rPr>
          <w:i/>
          <w:spacing w:val="-1"/>
          <w:sz w:val="24"/>
        </w:rPr>
        <w:t> </w:t>
      </w:r>
      <w:r>
        <w:rPr>
          <w:i/>
          <w:sz w:val="24"/>
        </w:rPr>
        <w:t>simulated</w:t>
      </w:r>
      <w:r>
        <w:rPr>
          <w:i/>
          <w:spacing w:val="-1"/>
          <w:sz w:val="24"/>
        </w:rPr>
        <w:t> </w:t>
      </w:r>
      <w:r>
        <w:rPr>
          <w:i/>
          <w:sz w:val="24"/>
        </w:rPr>
        <w:t>intestinal pH</w:t>
      </w:r>
      <w:r>
        <w:rPr>
          <w:i/>
          <w:spacing w:val="-1"/>
          <w:sz w:val="24"/>
        </w:rPr>
        <w:t> </w:t>
      </w:r>
      <w:r>
        <w:rPr>
          <w:i/>
          <w:sz w:val="24"/>
        </w:rPr>
        <w:t>(phosphate</w:t>
      </w:r>
      <w:r>
        <w:rPr>
          <w:i/>
          <w:spacing w:val="-1"/>
          <w:sz w:val="24"/>
        </w:rPr>
        <w:t> </w:t>
      </w:r>
      <w:r>
        <w:rPr>
          <w:i/>
          <w:sz w:val="24"/>
        </w:rPr>
        <w:t>buffer</w:t>
      </w:r>
      <w:r>
        <w:rPr>
          <w:i/>
          <w:spacing w:val="-1"/>
          <w:sz w:val="24"/>
        </w:rPr>
        <w:t> </w:t>
      </w:r>
      <w:r>
        <w:rPr>
          <w:i/>
          <w:sz w:val="24"/>
        </w:rPr>
        <w:t>pH</w:t>
      </w:r>
      <w:r>
        <w:rPr>
          <w:i/>
          <w:spacing w:val="-1"/>
          <w:sz w:val="24"/>
        </w:rPr>
        <w:t> </w:t>
      </w:r>
      <w:r>
        <w:rPr>
          <w:i/>
          <w:spacing w:val="-4"/>
          <w:sz w:val="24"/>
        </w:rPr>
        <w:t>6.8)</w:t>
      </w:r>
    </w:p>
    <w:p>
      <w:pPr>
        <w:pStyle w:val="BodyText"/>
        <w:spacing w:before="4"/>
        <w:rPr>
          <w:i/>
        </w:rPr>
      </w:pPr>
    </w:p>
    <w:p>
      <w:pPr>
        <w:pStyle w:val="Heading2"/>
        <w:spacing w:line="480" w:lineRule="auto"/>
        <w:ind w:right="1175"/>
      </w:pPr>
      <w:r>
        <w:rPr/>
        <w:t>Table</w:t>
      </w:r>
      <w:r>
        <w:rPr>
          <w:spacing w:val="-3"/>
        </w:rPr>
        <w:t> </w:t>
      </w:r>
      <w:r>
        <w:rPr/>
        <w:t>4.10:</w:t>
      </w:r>
      <w:r>
        <w:rPr>
          <w:spacing w:val="-4"/>
        </w:rPr>
        <w:t> </w:t>
      </w:r>
      <w:r>
        <w:rPr/>
        <w:t>Similarity</w:t>
      </w:r>
      <w:r>
        <w:rPr>
          <w:spacing w:val="-3"/>
        </w:rPr>
        <w:t> </w:t>
      </w:r>
      <w:r>
        <w:rPr/>
        <w:t>factor</w:t>
      </w:r>
      <w:r>
        <w:rPr>
          <w:spacing w:val="-5"/>
        </w:rPr>
        <w:t> </w:t>
      </w:r>
      <w:r>
        <w:rPr/>
        <w:t>of</w:t>
      </w:r>
      <w:r>
        <w:rPr>
          <w:spacing w:val="-2"/>
        </w:rPr>
        <w:t> </w:t>
      </w:r>
      <w:r>
        <w:rPr/>
        <w:t>samples</w:t>
      </w:r>
      <w:r>
        <w:rPr>
          <w:spacing w:val="-3"/>
        </w:rPr>
        <w:t> </w:t>
      </w:r>
      <w:r>
        <w:rPr/>
        <w:t>A,</w:t>
      </w:r>
      <w:r>
        <w:rPr>
          <w:spacing w:val="-3"/>
        </w:rPr>
        <w:t> </w:t>
      </w:r>
      <w:r>
        <w:rPr/>
        <w:t>B</w:t>
      </w:r>
      <w:r>
        <w:rPr>
          <w:spacing w:val="-3"/>
        </w:rPr>
        <w:t> </w:t>
      </w:r>
      <w:r>
        <w:rPr/>
        <w:t>and</w:t>
      </w:r>
      <w:r>
        <w:rPr>
          <w:spacing w:val="-3"/>
        </w:rPr>
        <w:t> </w:t>
      </w:r>
      <w:r>
        <w:rPr/>
        <w:t>D</w:t>
      </w:r>
      <w:r>
        <w:rPr>
          <w:spacing w:val="-3"/>
        </w:rPr>
        <w:t> </w:t>
      </w:r>
      <w:r>
        <w:rPr/>
        <w:t>when</w:t>
      </w:r>
      <w:r>
        <w:rPr>
          <w:spacing w:val="-3"/>
        </w:rPr>
        <w:t> </w:t>
      </w:r>
      <w:r>
        <w:rPr/>
        <w:t>compared</w:t>
      </w:r>
      <w:r>
        <w:rPr>
          <w:spacing w:val="-3"/>
        </w:rPr>
        <w:t> </w:t>
      </w:r>
      <w:r>
        <w:rPr/>
        <w:t>to</w:t>
      </w:r>
      <w:r>
        <w:rPr>
          <w:spacing w:val="-1"/>
        </w:rPr>
        <w:t> </w:t>
      </w:r>
      <w:r>
        <w:rPr/>
        <w:t>sample</w:t>
      </w:r>
      <w:r>
        <w:rPr>
          <w:spacing w:val="-3"/>
        </w:rPr>
        <w:t> </w:t>
      </w:r>
      <w:r>
        <w:rPr/>
        <w:t>C</w:t>
      </w:r>
      <w:r>
        <w:rPr>
          <w:spacing w:val="-4"/>
        </w:rPr>
        <w:t> </w:t>
      </w:r>
      <w:r>
        <w:rPr/>
        <w:t>in simulated intestinal pH</w:t>
      </w:r>
    </w:p>
    <w:p>
      <w:pPr>
        <w:pStyle w:val="BodyText"/>
        <w:spacing w:before="50"/>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9"/>
        <w:gridCol w:w="2467"/>
        <w:gridCol w:w="4636"/>
      </w:tblGrid>
      <w:tr>
        <w:trPr>
          <w:trHeight w:val="505" w:hRule="atLeast"/>
        </w:trPr>
        <w:tc>
          <w:tcPr>
            <w:tcW w:w="1019" w:type="dxa"/>
            <w:tcBorders>
              <w:top w:val="single" w:sz="4" w:space="0" w:color="000000"/>
              <w:bottom w:val="single" w:sz="4" w:space="0" w:color="000000"/>
            </w:tcBorders>
          </w:tcPr>
          <w:p>
            <w:pPr>
              <w:pStyle w:val="TableParagraph"/>
              <w:spacing w:line="251" w:lineRule="exact"/>
              <w:ind w:left="108"/>
              <w:rPr>
                <w:b/>
                <w:sz w:val="22"/>
              </w:rPr>
            </w:pPr>
            <w:r>
              <w:rPr>
                <w:b/>
                <w:spacing w:val="-4"/>
                <w:sz w:val="22"/>
              </w:rPr>
              <w:t>S/No</w:t>
            </w:r>
          </w:p>
        </w:tc>
        <w:tc>
          <w:tcPr>
            <w:tcW w:w="2467" w:type="dxa"/>
            <w:tcBorders>
              <w:top w:val="single" w:sz="4" w:space="0" w:color="000000"/>
              <w:bottom w:val="single" w:sz="4" w:space="0" w:color="000000"/>
            </w:tcBorders>
          </w:tcPr>
          <w:p>
            <w:pPr>
              <w:pStyle w:val="TableParagraph"/>
              <w:spacing w:line="251" w:lineRule="exact"/>
              <w:ind w:left="456"/>
              <w:rPr>
                <w:b/>
                <w:sz w:val="22"/>
              </w:rPr>
            </w:pPr>
            <w:r>
              <w:rPr>
                <w:b/>
                <w:spacing w:val="-2"/>
                <w:sz w:val="22"/>
              </w:rPr>
              <w:t>Sample</w:t>
            </w:r>
          </w:p>
        </w:tc>
        <w:tc>
          <w:tcPr>
            <w:tcW w:w="4636" w:type="dxa"/>
            <w:tcBorders>
              <w:top w:val="single" w:sz="4" w:space="0" w:color="000000"/>
              <w:bottom w:val="single" w:sz="4" w:space="0" w:color="000000"/>
            </w:tcBorders>
          </w:tcPr>
          <w:p>
            <w:pPr>
              <w:pStyle w:val="TableParagraph"/>
              <w:spacing w:line="251" w:lineRule="exact"/>
              <w:ind w:left="1" w:right="50"/>
              <w:jc w:val="center"/>
              <w:rPr>
                <w:b/>
                <w:sz w:val="22"/>
              </w:rPr>
            </w:pPr>
            <w:r>
              <w:rPr>
                <w:b/>
                <w:sz w:val="22"/>
              </w:rPr>
              <w:t>Similarity</w:t>
            </w:r>
            <w:r>
              <w:rPr>
                <w:b/>
                <w:spacing w:val="-9"/>
                <w:sz w:val="22"/>
              </w:rPr>
              <w:t> </w:t>
            </w:r>
            <w:r>
              <w:rPr>
                <w:b/>
                <w:sz w:val="22"/>
              </w:rPr>
              <w:t>Factor</w:t>
            </w:r>
            <w:r>
              <w:rPr>
                <w:b/>
                <w:spacing w:val="-4"/>
                <w:sz w:val="22"/>
              </w:rPr>
              <w:t> (</w:t>
            </w:r>
            <w:r>
              <w:rPr>
                <w:b/>
                <w:i/>
                <w:spacing w:val="-4"/>
                <w:sz w:val="22"/>
              </w:rPr>
              <w:t>f</w:t>
            </w:r>
            <w:r>
              <w:rPr>
                <w:b/>
                <w:i/>
                <w:spacing w:val="-4"/>
                <w:sz w:val="22"/>
                <w:vertAlign w:val="subscript"/>
              </w:rPr>
              <w:t>2</w:t>
            </w:r>
            <w:r>
              <w:rPr>
                <w:b/>
                <w:spacing w:val="-4"/>
                <w:sz w:val="22"/>
                <w:vertAlign w:val="baseline"/>
              </w:rPr>
              <w:t>)</w:t>
            </w:r>
          </w:p>
        </w:tc>
      </w:tr>
      <w:tr>
        <w:trPr>
          <w:trHeight w:val="1033" w:hRule="atLeast"/>
        </w:trPr>
        <w:tc>
          <w:tcPr>
            <w:tcW w:w="1019" w:type="dxa"/>
            <w:tcBorders>
              <w:top w:val="single" w:sz="4" w:space="0" w:color="000000"/>
            </w:tcBorders>
          </w:tcPr>
          <w:p>
            <w:pPr>
              <w:pStyle w:val="TableParagraph"/>
              <w:spacing w:line="240" w:lineRule="auto" w:before="251"/>
              <w:rPr>
                <w:b/>
                <w:sz w:val="22"/>
              </w:rPr>
            </w:pPr>
          </w:p>
          <w:p>
            <w:pPr>
              <w:pStyle w:val="TableParagraph"/>
              <w:spacing w:line="240" w:lineRule="auto" w:before="1"/>
              <w:ind w:left="108"/>
              <w:rPr>
                <w:b/>
                <w:sz w:val="22"/>
              </w:rPr>
            </w:pPr>
            <w:r>
              <w:rPr>
                <w:b/>
                <w:spacing w:val="-10"/>
                <w:sz w:val="22"/>
              </w:rPr>
              <w:t>1</w:t>
            </w:r>
          </w:p>
        </w:tc>
        <w:tc>
          <w:tcPr>
            <w:tcW w:w="2467" w:type="dxa"/>
            <w:tcBorders>
              <w:top w:val="single" w:sz="4" w:space="0" w:color="000000"/>
            </w:tcBorders>
          </w:tcPr>
          <w:p>
            <w:pPr>
              <w:pStyle w:val="TableParagraph"/>
              <w:spacing w:line="240" w:lineRule="auto" w:before="247"/>
              <w:rPr>
                <w:b/>
                <w:sz w:val="22"/>
              </w:rPr>
            </w:pPr>
          </w:p>
          <w:p>
            <w:pPr>
              <w:pStyle w:val="TableParagraph"/>
              <w:spacing w:line="240" w:lineRule="auto"/>
              <w:ind w:left="456"/>
              <w:rPr>
                <w:sz w:val="22"/>
              </w:rPr>
            </w:pPr>
            <w:r>
              <w:rPr>
                <w:spacing w:val="-10"/>
                <w:sz w:val="22"/>
              </w:rPr>
              <w:t>A</w:t>
            </w:r>
          </w:p>
        </w:tc>
        <w:tc>
          <w:tcPr>
            <w:tcW w:w="4636" w:type="dxa"/>
            <w:tcBorders>
              <w:top w:val="single" w:sz="4" w:space="0" w:color="000000"/>
            </w:tcBorders>
          </w:tcPr>
          <w:p>
            <w:pPr>
              <w:pStyle w:val="TableParagraph"/>
              <w:spacing w:line="240" w:lineRule="auto" w:before="247"/>
              <w:rPr>
                <w:b/>
                <w:sz w:val="22"/>
              </w:rPr>
            </w:pPr>
          </w:p>
          <w:p>
            <w:pPr>
              <w:pStyle w:val="TableParagraph"/>
              <w:spacing w:line="240" w:lineRule="auto"/>
              <w:ind w:right="50"/>
              <w:jc w:val="center"/>
              <w:rPr>
                <w:sz w:val="22"/>
              </w:rPr>
            </w:pPr>
            <w:r>
              <w:rPr>
                <w:spacing w:val="-5"/>
                <w:sz w:val="22"/>
              </w:rPr>
              <w:t>19</w:t>
            </w:r>
          </w:p>
        </w:tc>
      </w:tr>
      <w:tr>
        <w:trPr>
          <w:trHeight w:val="759" w:hRule="atLeast"/>
        </w:trPr>
        <w:tc>
          <w:tcPr>
            <w:tcW w:w="1019" w:type="dxa"/>
          </w:tcPr>
          <w:p>
            <w:pPr>
              <w:pStyle w:val="TableParagraph"/>
              <w:spacing w:line="240" w:lineRule="auto" w:before="18"/>
              <w:rPr>
                <w:b/>
                <w:sz w:val="22"/>
              </w:rPr>
            </w:pPr>
          </w:p>
          <w:p>
            <w:pPr>
              <w:pStyle w:val="TableParagraph"/>
              <w:spacing w:line="240" w:lineRule="auto"/>
              <w:ind w:left="108"/>
              <w:rPr>
                <w:b/>
                <w:sz w:val="22"/>
              </w:rPr>
            </w:pPr>
            <w:r>
              <w:rPr>
                <w:b/>
                <w:spacing w:val="-10"/>
                <w:sz w:val="22"/>
              </w:rPr>
              <w:t>2</w:t>
            </w:r>
          </w:p>
        </w:tc>
        <w:tc>
          <w:tcPr>
            <w:tcW w:w="2467" w:type="dxa"/>
          </w:tcPr>
          <w:p>
            <w:pPr>
              <w:pStyle w:val="TableParagraph"/>
              <w:spacing w:line="240" w:lineRule="auto" w:before="13"/>
              <w:rPr>
                <w:b/>
                <w:sz w:val="22"/>
              </w:rPr>
            </w:pPr>
          </w:p>
          <w:p>
            <w:pPr>
              <w:pStyle w:val="TableParagraph"/>
              <w:spacing w:line="240" w:lineRule="auto"/>
              <w:ind w:left="456"/>
              <w:rPr>
                <w:sz w:val="22"/>
              </w:rPr>
            </w:pPr>
            <w:r>
              <w:rPr>
                <w:spacing w:val="-10"/>
                <w:sz w:val="22"/>
              </w:rPr>
              <w:t>B</w:t>
            </w:r>
          </w:p>
        </w:tc>
        <w:tc>
          <w:tcPr>
            <w:tcW w:w="4636" w:type="dxa"/>
          </w:tcPr>
          <w:p>
            <w:pPr>
              <w:pStyle w:val="TableParagraph"/>
              <w:spacing w:line="240" w:lineRule="auto" w:before="13"/>
              <w:rPr>
                <w:b/>
                <w:sz w:val="22"/>
              </w:rPr>
            </w:pPr>
          </w:p>
          <w:p>
            <w:pPr>
              <w:pStyle w:val="TableParagraph"/>
              <w:spacing w:line="240" w:lineRule="auto"/>
              <w:ind w:right="50"/>
              <w:jc w:val="center"/>
              <w:rPr>
                <w:sz w:val="22"/>
              </w:rPr>
            </w:pPr>
            <w:r>
              <w:rPr>
                <w:spacing w:val="-5"/>
                <w:sz w:val="22"/>
              </w:rPr>
              <w:t>29</w:t>
            </w:r>
          </w:p>
        </w:tc>
      </w:tr>
      <w:tr>
        <w:trPr>
          <w:trHeight w:val="484" w:hRule="atLeast"/>
        </w:trPr>
        <w:tc>
          <w:tcPr>
            <w:tcW w:w="1019" w:type="dxa"/>
          </w:tcPr>
          <w:p>
            <w:pPr>
              <w:pStyle w:val="TableParagraph"/>
              <w:spacing w:line="233" w:lineRule="exact" w:before="231"/>
              <w:ind w:left="108"/>
              <w:rPr>
                <w:b/>
                <w:sz w:val="22"/>
              </w:rPr>
            </w:pPr>
            <w:r>
              <w:rPr>
                <w:b/>
                <w:spacing w:val="-10"/>
                <w:sz w:val="22"/>
              </w:rPr>
              <w:t>3</w:t>
            </w:r>
          </w:p>
        </w:tc>
        <w:tc>
          <w:tcPr>
            <w:tcW w:w="2467" w:type="dxa"/>
          </w:tcPr>
          <w:p>
            <w:pPr>
              <w:pStyle w:val="TableParagraph"/>
              <w:spacing w:line="238" w:lineRule="exact" w:before="226"/>
              <w:ind w:left="456"/>
              <w:rPr>
                <w:sz w:val="22"/>
              </w:rPr>
            </w:pPr>
            <w:r>
              <w:rPr>
                <w:spacing w:val="-10"/>
                <w:sz w:val="22"/>
              </w:rPr>
              <w:t>D</w:t>
            </w:r>
          </w:p>
        </w:tc>
        <w:tc>
          <w:tcPr>
            <w:tcW w:w="4636" w:type="dxa"/>
          </w:tcPr>
          <w:p>
            <w:pPr>
              <w:pStyle w:val="TableParagraph"/>
              <w:spacing w:line="238" w:lineRule="exact" w:before="226"/>
              <w:ind w:right="50"/>
              <w:jc w:val="center"/>
              <w:rPr>
                <w:sz w:val="22"/>
              </w:rPr>
            </w:pPr>
            <w:r>
              <w:rPr>
                <w:spacing w:val="-5"/>
                <w:sz w:val="22"/>
              </w:rPr>
              <w:t>30</w:t>
            </w:r>
          </w:p>
        </w:tc>
      </w:tr>
    </w:tbl>
    <w:p>
      <w:pPr>
        <w:pStyle w:val="BodyText"/>
        <w:rPr>
          <w:b/>
        </w:rPr>
      </w:pPr>
    </w:p>
    <w:p>
      <w:pPr>
        <w:pStyle w:val="BodyText"/>
        <w:spacing w:before="136"/>
        <w:rPr>
          <w:b/>
        </w:rPr>
      </w:pPr>
    </w:p>
    <w:p>
      <w:pPr>
        <w:pStyle w:val="BodyText"/>
        <w:spacing w:line="480" w:lineRule="auto"/>
        <w:ind w:left="380" w:right="1175"/>
      </w:pPr>
      <w:r>
        <w:rPr>
          <w:b/>
        </w:rPr>
        <w:t>Note:</w:t>
      </w:r>
      <w:r>
        <w:rPr>
          <w:b/>
          <w:spacing w:val="-4"/>
        </w:rPr>
        <w:t> </w:t>
      </w:r>
      <w:r>
        <w:rPr/>
        <w:t>samples</w:t>
      </w:r>
      <w:r>
        <w:rPr>
          <w:spacing w:val="-3"/>
        </w:rPr>
        <w:t> </w:t>
      </w:r>
      <w:r>
        <w:rPr/>
        <w:t>with</w:t>
      </w:r>
      <w:r>
        <w:rPr>
          <w:spacing w:val="-2"/>
        </w:rPr>
        <w:t> </w:t>
      </w:r>
      <w:r>
        <w:rPr>
          <w:i/>
        </w:rPr>
        <w:t>f</w:t>
      </w:r>
      <w:r>
        <w:rPr>
          <w:vertAlign w:val="subscript"/>
        </w:rPr>
        <w:t>2</w:t>
      </w:r>
      <w:r>
        <w:rPr>
          <w:spacing w:val="-2"/>
          <w:vertAlign w:val="baseline"/>
        </w:rPr>
        <w:t> </w:t>
      </w:r>
      <w:r>
        <w:rPr>
          <w:vertAlign w:val="baseline"/>
        </w:rPr>
        <w:t>value</w:t>
      </w:r>
      <w:r>
        <w:rPr>
          <w:spacing w:val="-3"/>
          <w:vertAlign w:val="baseline"/>
        </w:rPr>
        <w:t> </w:t>
      </w:r>
      <w:r>
        <w:rPr>
          <w:vertAlign w:val="baseline"/>
        </w:rPr>
        <w:t>≥</w:t>
      </w:r>
      <w:r>
        <w:rPr>
          <w:spacing w:val="-3"/>
          <w:vertAlign w:val="baseline"/>
        </w:rPr>
        <w:t> </w:t>
      </w:r>
      <w:r>
        <w:rPr>
          <w:vertAlign w:val="baseline"/>
        </w:rPr>
        <w:t>50</w:t>
      </w:r>
      <w:r>
        <w:rPr>
          <w:spacing w:val="-3"/>
          <w:vertAlign w:val="baseline"/>
        </w:rPr>
        <w:t> </w:t>
      </w:r>
      <w:r>
        <w:rPr>
          <w:vertAlign w:val="baseline"/>
        </w:rPr>
        <w:t>are</w:t>
      </w:r>
      <w:r>
        <w:rPr>
          <w:spacing w:val="-3"/>
          <w:vertAlign w:val="baseline"/>
        </w:rPr>
        <w:t> </w:t>
      </w:r>
      <w:r>
        <w:rPr>
          <w:vertAlign w:val="baseline"/>
        </w:rPr>
        <w:t>considered</w:t>
      </w:r>
      <w:r>
        <w:rPr>
          <w:spacing w:val="-3"/>
          <w:vertAlign w:val="baseline"/>
        </w:rPr>
        <w:t> </w:t>
      </w:r>
      <w:r>
        <w:rPr>
          <w:vertAlign w:val="baseline"/>
        </w:rPr>
        <w:t>bioequivalent</w:t>
      </w:r>
      <w:r>
        <w:rPr>
          <w:spacing w:val="-3"/>
          <w:vertAlign w:val="baseline"/>
        </w:rPr>
        <w:t> </w:t>
      </w:r>
      <w:r>
        <w:rPr>
          <w:vertAlign w:val="baseline"/>
        </w:rPr>
        <w:t>to</w:t>
      </w:r>
      <w:r>
        <w:rPr>
          <w:spacing w:val="-3"/>
          <w:vertAlign w:val="baseline"/>
        </w:rPr>
        <w:t> </w:t>
      </w:r>
      <w:r>
        <w:rPr>
          <w:vertAlign w:val="baseline"/>
        </w:rPr>
        <w:t>the</w:t>
      </w:r>
      <w:r>
        <w:rPr>
          <w:spacing w:val="-4"/>
          <w:vertAlign w:val="baseline"/>
        </w:rPr>
        <w:t> </w:t>
      </w:r>
      <w:r>
        <w:rPr>
          <w:vertAlign w:val="baseline"/>
        </w:rPr>
        <w:t>innovator</w:t>
      </w:r>
      <w:r>
        <w:rPr>
          <w:spacing w:val="-3"/>
          <w:vertAlign w:val="baseline"/>
        </w:rPr>
        <w:t> </w:t>
      </w:r>
      <w:r>
        <w:rPr>
          <w:vertAlign w:val="baseline"/>
        </w:rPr>
        <w:t>product (sample C)</w:t>
      </w:r>
    </w:p>
    <w:p>
      <w:pPr>
        <w:spacing w:after="0" w:line="480" w:lineRule="auto"/>
        <w:sectPr>
          <w:pgSz w:w="12240" w:h="15840"/>
          <w:pgMar w:header="0" w:footer="1068" w:top="1580" w:bottom="1260" w:left="1420" w:right="440"/>
        </w:sectPr>
      </w:pPr>
    </w:p>
    <w:p>
      <w:pPr>
        <w:pStyle w:val="ListParagraph"/>
        <w:numPr>
          <w:ilvl w:val="3"/>
          <w:numId w:val="22"/>
        </w:numPr>
        <w:tabs>
          <w:tab w:pos="1100" w:val="left" w:leader="none"/>
        </w:tabs>
        <w:spacing w:line="240" w:lineRule="auto" w:before="78" w:after="0"/>
        <w:ind w:left="1100" w:right="0" w:hanging="720"/>
        <w:jc w:val="left"/>
        <w:rPr>
          <w:i/>
          <w:sz w:val="24"/>
        </w:rPr>
      </w:pPr>
      <w:r>
        <w:rPr>
          <w:i/>
          <w:sz w:val="24"/>
        </w:rPr>
        <w:t>In</w:t>
      </w:r>
      <w:r>
        <w:rPr>
          <w:i/>
          <w:spacing w:val="-1"/>
          <w:sz w:val="24"/>
        </w:rPr>
        <w:t> </w:t>
      </w:r>
      <w:r>
        <w:rPr>
          <w:i/>
          <w:sz w:val="24"/>
        </w:rPr>
        <w:t>simulated</w:t>
      </w:r>
      <w:r>
        <w:rPr>
          <w:i/>
          <w:spacing w:val="-1"/>
          <w:sz w:val="24"/>
        </w:rPr>
        <w:t> </w:t>
      </w:r>
      <w:r>
        <w:rPr>
          <w:i/>
          <w:sz w:val="24"/>
        </w:rPr>
        <w:t>blood</w:t>
      </w:r>
      <w:r>
        <w:rPr>
          <w:i/>
          <w:spacing w:val="-1"/>
          <w:sz w:val="24"/>
        </w:rPr>
        <w:t> </w:t>
      </w:r>
      <w:r>
        <w:rPr>
          <w:i/>
          <w:sz w:val="24"/>
        </w:rPr>
        <w:t>pH</w:t>
      </w:r>
      <w:r>
        <w:rPr>
          <w:i/>
          <w:spacing w:val="2"/>
          <w:sz w:val="24"/>
        </w:rPr>
        <w:t> </w:t>
      </w:r>
      <w:r>
        <w:rPr>
          <w:i/>
          <w:sz w:val="24"/>
        </w:rPr>
        <w:t>(phosphate</w:t>
      </w:r>
      <w:r>
        <w:rPr>
          <w:i/>
          <w:spacing w:val="-2"/>
          <w:sz w:val="24"/>
        </w:rPr>
        <w:t> </w:t>
      </w:r>
      <w:r>
        <w:rPr>
          <w:i/>
          <w:sz w:val="24"/>
        </w:rPr>
        <w:t>buffer pH</w:t>
      </w:r>
      <w:r>
        <w:rPr>
          <w:i/>
          <w:spacing w:val="-1"/>
          <w:sz w:val="24"/>
        </w:rPr>
        <w:t> </w:t>
      </w:r>
      <w:r>
        <w:rPr>
          <w:i/>
          <w:spacing w:val="-4"/>
          <w:sz w:val="24"/>
        </w:rPr>
        <w:t>7.4)</w:t>
      </w:r>
    </w:p>
    <w:p>
      <w:pPr>
        <w:pStyle w:val="BodyText"/>
        <w:spacing w:before="4"/>
        <w:rPr>
          <w:i/>
        </w:rPr>
      </w:pPr>
    </w:p>
    <w:p>
      <w:pPr>
        <w:pStyle w:val="Heading2"/>
        <w:spacing w:line="480" w:lineRule="auto" w:after="4"/>
        <w:ind w:right="1175"/>
      </w:pPr>
      <w:r>
        <w:rPr/>
        <w:t>Table</w:t>
      </w:r>
      <w:r>
        <w:rPr>
          <w:spacing w:val="-3"/>
        </w:rPr>
        <w:t> </w:t>
      </w:r>
      <w:r>
        <w:rPr/>
        <w:t>4.11:</w:t>
      </w:r>
      <w:r>
        <w:rPr>
          <w:spacing w:val="-4"/>
        </w:rPr>
        <w:t> </w:t>
      </w:r>
      <w:r>
        <w:rPr/>
        <w:t>Similarity</w:t>
      </w:r>
      <w:r>
        <w:rPr>
          <w:spacing w:val="-3"/>
        </w:rPr>
        <w:t> </w:t>
      </w:r>
      <w:r>
        <w:rPr/>
        <w:t>factor</w:t>
      </w:r>
      <w:r>
        <w:rPr>
          <w:spacing w:val="-5"/>
        </w:rPr>
        <w:t> </w:t>
      </w:r>
      <w:r>
        <w:rPr/>
        <w:t>of</w:t>
      </w:r>
      <w:r>
        <w:rPr>
          <w:spacing w:val="-2"/>
        </w:rPr>
        <w:t> </w:t>
      </w:r>
      <w:r>
        <w:rPr/>
        <w:t>samples</w:t>
      </w:r>
      <w:r>
        <w:rPr>
          <w:spacing w:val="-3"/>
        </w:rPr>
        <w:t> </w:t>
      </w:r>
      <w:r>
        <w:rPr/>
        <w:t>A,</w:t>
      </w:r>
      <w:r>
        <w:rPr>
          <w:spacing w:val="-3"/>
        </w:rPr>
        <w:t> </w:t>
      </w:r>
      <w:r>
        <w:rPr/>
        <w:t>B</w:t>
      </w:r>
      <w:r>
        <w:rPr>
          <w:spacing w:val="-3"/>
        </w:rPr>
        <w:t> </w:t>
      </w:r>
      <w:r>
        <w:rPr/>
        <w:t>and</w:t>
      </w:r>
      <w:r>
        <w:rPr>
          <w:spacing w:val="-3"/>
        </w:rPr>
        <w:t> </w:t>
      </w:r>
      <w:r>
        <w:rPr/>
        <w:t>D</w:t>
      </w:r>
      <w:r>
        <w:rPr>
          <w:spacing w:val="-3"/>
        </w:rPr>
        <w:t> </w:t>
      </w:r>
      <w:r>
        <w:rPr/>
        <w:t>when</w:t>
      </w:r>
      <w:r>
        <w:rPr>
          <w:spacing w:val="-3"/>
        </w:rPr>
        <w:t> </w:t>
      </w:r>
      <w:r>
        <w:rPr/>
        <w:t>compared</w:t>
      </w:r>
      <w:r>
        <w:rPr>
          <w:spacing w:val="-3"/>
        </w:rPr>
        <w:t> </w:t>
      </w:r>
      <w:r>
        <w:rPr/>
        <w:t>to</w:t>
      </w:r>
      <w:r>
        <w:rPr>
          <w:spacing w:val="-1"/>
        </w:rPr>
        <w:t> </w:t>
      </w:r>
      <w:r>
        <w:rPr/>
        <w:t>sample</w:t>
      </w:r>
      <w:r>
        <w:rPr>
          <w:spacing w:val="-3"/>
        </w:rPr>
        <w:t> </w:t>
      </w:r>
      <w:r>
        <w:rPr/>
        <w:t>C</w:t>
      </w:r>
      <w:r>
        <w:rPr>
          <w:spacing w:val="-4"/>
        </w:rPr>
        <w:t> </w:t>
      </w:r>
      <w:r>
        <w:rPr/>
        <w:t>in simulated blood pH</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9"/>
        <w:gridCol w:w="2291"/>
        <w:gridCol w:w="4811"/>
      </w:tblGrid>
      <w:tr>
        <w:trPr>
          <w:trHeight w:val="505" w:hRule="atLeast"/>
        </w:trPr>
        <w:tc>
          <w:tcPr>
            <w:tcW w:w="1019" w:type="dxa"/>
            <w:tcBorders>
              <w:top w:val="single" w:sz="4" w:space="0" w:color="000000"/>
              <w:bottom w:val="single" w:sz="4" w:space="0" w:color="000000"/>
            </w:tcBorders>
          </w:tcPr>
          <w:p>
            <w:pPr>
              <w:pStyle w:val="TableParagraph"/>
              <w:spacing w:line="251" w:lineRule="exact"/>
              <w:ind w:left="108"/>
              <w:rPr>
                <w:b/>
                <w:sz w:val="22"/>
              </w:rPr>
            </w:pPr>
            <w:r>
              <w:rPr>
                <w:b/>
                <w:spacing w:val="-4"/>
                <w:sz w:val="22"/>
              </w:rPr>
              <w:t>S/No</w:t>
            </w:r>
          </w:p>
        </w:tc>
        <w:tc>
          <w:tcPr>
            <w:tcW w:w="2291" w:type="dxa"/>
            <w:tcBorders>
              <w:top w:val="single" w:sz="4" w:space="0" w:color="000000"/>
              <w:bottom w:val="single" w:sz="4" w:space="0" w:color="000000"/>
            </w:tcBorders>
          </w:tcPr>
          <w:p>
            <w:pPr>
              <w:pStyle w:val="TableParagraph"/>
              <w:spacing w:line="251" w:lineRule="exact"/>
              <w:ind w:left="456"/>
              <w:rPr>
                <w:b/>
                <w:sz w:val="22"/>
              </w:rPr>
            </w:pPr>
            <w:r>
              <w:rPr>
                <w:b/>
                <w:spacing w:val="-2"/>
                <w:sz w:val="22"/>
              </w:rPr>
              <w:t>Sample</w:t>
            </w:r>
          </w:p>
        </w:tc>
        <w:tc>
          <w:tcPr>
            <w:tcW w:w="4811" w:type="dxa"/>
            <w:tcBorders>
              <w:top w:val="single" w:sz="4" w:space="0" w:color="000000"/>
              <w:bottom w:val="single" w:sz="4" w:space="0" w:color="000000"/>
            </w:tcBorders>
          </w:tcPr>
          <w:p>
            <w:pPr>
              <w:pStyle w:val="TableParagraph"/>
              <w:spacing w:line="251" w:lineRule="exact"/>
              <w:ind w:left="1135"/>
              <w:rPr>
                <w:b/>
                <w:sz w:val="22"/>
              </w:rPr>
            </w:pPr>
            <w:r>
              <w:rPr>
                <w:b/>
                <w:sz w:val="22"/>
              </w:rPr>
              <w:t>Similarity</w:t>
            </w:r>
            <w:r>
              <w:rPr>
                <w:b/>
                <w:spacing w:val="-8"/>
                <w:sz w:val="22"/>
              </w:rPr>
              <w:t> </w:t>
            </w:r>
            <w:r>
              <w:rPr>
                <w:b/>
                <w:sz w:val="22"/>
              </w:rPr>
              <w:t>Factor</w:t>
            </w:r>
            <w:r>
              <w:rPr>
                <w:b/>
                <w:spacing w:val="-5"/>
                <w:sz w:val="22"/>
              </w:rPr>
              <w:t> </w:t>
            </w:r>
            <w:r>
              <w:rPr>
                <w:b/>
                <w:spacing w:val="-4"/>
                <w:sz w:val="22"/>
              </w:rPr>
              <w:t>(</w:t>
            </w:r>
            <w:r>
              <w:rPr>
                <w:b/>
                <w:i/>
                <w:spacing w:val="-4"/>
                <w:sz w:val="22"/>
              </w:rPr>
              <w:t>f</w:t>
            </w:r>
            <w:r>
              <w:rPr>
                <w:b/>
                <w:spacing w:val="-4"/>
                <w:sz w:val="22"/>
                <w:vertAlign w:val="subscript"/>
              </w:rPr>
              <w:t>2</w:t>
            </w:r>
            <w:r>
              <w:rPr>
                <w:b/>
                <w:spacing w:val="-4"/>
                <w:sz w:val="22"/>
                <w:vertAlign w:val="baseline"/>
              </w:rPr>
              <w:t>)</w:t>
            </w:r>
          </w:p>
        </w:tc>
      </w:tr>
      <w:tr>
        <w:trPr>
          <w:trHeight w:val="1069" w:hRule="atLeast"/>
        </w:trPr>
        <w:tc>
          <w:tcPr>
            <w:tcW w:w="1019" w:type="dxa"/>
            <w:tcBorders>
              <w:top w:val="single" w:sz="4" w:space="0" w:color="000000"/>
            </w:tcBorders>
          </w:tcPr>
          <w:p>
            <w:pPr>
              <w:pStyle w:val="TableParagraph"/>
              <w:spacing w:line="240" w:lineRule="auto" w:before="251"/>
              <w:rPr>
                <w:b/>
                <w:sz w:val="22"/>
              </w:rPr>
            </w:pPr>
          </w:p>
          <w:p>
            <w:pPr>
              <w:pStyle w:val="TableParagraph"/>
              <w:spacing w:line="240" w:lineRule="auto" w:before="1"/>
              <w:ind w:left="108"/>
              <w:rPr>
                <w:b/>
                <w:sz w:val="22"/>
              </w:rPr>
            </w:pPr>
            <w:r>
              <w:rPr>
                <w:b/>
                <w:spacing w:val="-10"/>
                <w:sz w:val="22"/>
              </w:rPr>
              <w:t>1</w:t>
            </w:r>
          </w:p>
        </w:tc>
        <w:tc>
          <w:tcPr>
            <w:tcW w:w="2291" w:type="dxa"/>
            <w:tcBorders>
              <w:top w:val="single" w:sz="4" w:space="0" w:color="000000"/>
            </w:tcBorders>
          </w:tcPr>
          <w:p>
            <w:pPr>
              <w:pStyle w:val="TableParagraph"/>
              <w:spacing w:line="240" w:lineRule="auto" w:before="247"/>
              <w:rPr>
                <w:b/>
                <w:sz w:val="22"/>
              </w:rPr>
            </w:pPr>
          </w:p>
          <w:p>
            <w:pPr>
              <w:pStyle w:val="TableParagraph"/>
              <w:spacing w:line="240" w:lineRule="auto"/>
              <w:ind w:left="456"/>
              <w:rPr>
                <w:sz w:val="22"/>
              </w:rPr>
            </w:pPr>
            <w:r>
              <w:rPr>
                <w:spacing w:val="-10"/>
                <w:sz w:val="22"/>
              </w:rPr>
              <w:t>A</w:t>
            </w:r>
          </w:p>
        </w:tc>
        <w:tc>
          <w:tcPr>
            <w:tcW w:w="4811" w:type="dxa"/>
            <w:tcBorders>
              <w:top w:val="single" w:sz="4" w:space="0" w:color="000000"/>
            </w:tcBorders>
          </w:tcPr>
          <w:p>
            <w:pPr>
              <w:pStyle w:val="TableParagraph"/>
              <w:spacing w:line="240" w:lineRule="auto" w:before="247"/>
              <w:rPr>
                <w:b/>
                <w:sz w:val="22"/>
              </w:rPr>
            </w:pPr>
          </w:p>
          <w:p>
            <w:pPr>
              <w:pStyle w:val="TableParagraph"/>
              <w:spacing w:line="240" w:lineRule="auto"/>
              <w:ind w:left="1135"/>
              <w:rPr>
                <w:sz w:val="22"/>
              </w:rPr>
            </w:pPr>
            <w:r>
              <w:rPr>
                <w:spacing w:val="-5"/>
                <w:sz w:val="22"/>
              </w:rPr>
              <w:t>41</w:t>
            </w:r>
          </w:p>
        </w:tc>
      </w:tr>
      <w:tr>
        <w:trPr>
          <w:trHeight w:val="773" w:hRule="atLeast"/>
        </w:trPr>
        <w:tc>
          <w:tcPr>
            <w:tcW w:w="1019" w:type="dxa"/>
          </w:tcPr>
          <w:p>
            <w:pPr>
              <w:pStyle w:val="TableParagraph"/>
              <w:spacing w:line="240" w:lineRule="auto" w:before="54"/>
              <w:rPr>
                <w:b/>
                <w:sz w:val="22"/>
              </w:rPr>
            </w:pPr>
          </w:p>
          <w:p>
            <w:pPr>
              <w:pStyle w:val="TableParagraph"/>
              <w:spacing w:line="240" w:lineRule="auto"/>
              <w:ind w:left="108"/>
              <w:rPr>
                <w:b/>
                <w:sz w:val="22"/>
              </w:rPr>
            </w:pPr>
            <w:r>
              <w:rPr>
                <w:b/>
                <w:spacing w:val="-10"/>
                <w:sz w:val="22"/>
              </w:rPr>
              <w:t>2</w:t>
            </w:r>
          </w:p>
        </w:tc>
        <w:tc>
          <w:tcPr>
            <w:tcW w:w="2291" w:type="dxa"/>
          </w:tcPr>
          <w:p>
            <w:pPr>
              <w:pStyle w:val="TableParagraph"/>
              <w:spacing w:line="240" w:lineRule="auto" w:before="49"/>
              <w:rPr>
                <w:b/>
                <w:sz w:val="22"/>
              </w:rPr>
            </w:pPr>
          </w:p>
          <w:p>
            <w:pPr>
              <w:pStyle w:val="TableParagraph"/>
              <w:spacing w:line="240" w:lineRule="auto"/>
              <w:ind w:left="456"/>
              <w:rPr>
                <w:sz w:val="22"/>
              </w:rPr>
            </w:pPr>
            <w:r>
              <w:rPr>
                <w:spacing w:val="-10"/>
                <w:sz w:val="22"/>
              </w:rPr>
              <w:t>B</w:t>
            </w:r>
          </w:p>
        </w:tc>
        <w:tc>
          <w:tcPr>
            <w:tcW w:w="4811" w:type="dxa"/>
          </w:tcPr>
          <w:p>
            <w:pPr>
              <w:pStyle w:val="TableParagraph"/>
              <w:spacing w:line="240" w:lineRule="auto" w:before="49"/>
              <w:rPr>
                <w:b/>
                <w:sz w:val="22"/>
              </w:rPr>
            </w:pPr>
          </w:p>
          <w:p>
            <w:pPr>
              <w:pStyle w:val="TableParagraph"/>
              <w:spacing w:line="240" w:lineRule="auto"/>
              <w:ind w:left="1135"/>
              <w:rPr>
                <w:sz w:val="22"/>
              </w:rPr>
            </w:pPr>
            <w:r>
              <w:rPr>
                <w:spacing w:val="-5"/>
                <w:sz w:val="22"/>
              </w:rPr>
              <w:t>23</w:t>
            </w:r>
          </w:p>
        </w:tc>
      </w:tr>
      <w:tr>
        <w:trPr>
          <w:trHeight w:val="461" w:hRule="atLeast"/>
        </w:trPr>
        <w:tc>
          <w:tcPr>
            <w:tcW w:w="1019" w:type="dxa"/>
          </w:tcPr>
          <w:p>
            <w:pPr>
              <w:pStyle w:val="TableParagraph"/>
              <w:spacing w:line="233" w:lineRule="exact" w:before="208"/>
              <w:ind w:left="108"/>
              <w:rPr>
                <w:b/>
                <w:sz w:val="22"/>
              </w:rPr>
            </w:pPr>
            <w:r>
              <w:rPr>
                <w:b/>
                <w:spacing w:val="-10"/>
                <w:sz w:val="22"/>
              </w:rPr>
              <w:t>3</w:t>
            </w:r>
          </w:p>
        </w:tc>
        <w:tc>
          <w:tcPr>
            <w:tcW w:w="2291" w:type="dxa"/>
          </w:tcPr>
          <w:p>
            <w:pPr>
              <w:pStyle w:val="TableParagraph"/>
              <w:spacing w:line="238" w:lineRule="exact" w:before="204"/>
              <w:ind w:left="456"/>
              <w:rPr>
                <w:sz w:val="22"/>
              </w:rPr>
            </w:pPr>
            <w:r>
              <w:rPr>
                <w:spacing w:val="-10"/>
                <w:sz w:val="22"/>
              </w:rPr>
              <w:t>D</w:t>
            </w:r>
          </w:p>
        </w:tc>
        <w:tc>
          <w:tcPr>
            <w:tcW w:w="4811" w:type="dxa"/>
          </w:tcPr>
          <w:p>
            <w:pPr>
              <w:pStyle w:val="TableParagraph"/>
              <w:spacing w:line="238" w:lineRule="exact" w:before="204"/>
              <w:ind w:left="1135"/>
              <w:rPr>
                <w:sz w:val="22"/>
              </w:rPr>
            </w:pPr>
            <w:r>
              <w:rPr>
                <w:spacing w:val="-5"/>
                <w:sz w:val="22"/>
              </w:rPr>
              <w:t>30</w:t>
            </w:r>
          </w:p>
        </w:tc>
      </w:tr>
    </w:tbl>
    <w:p>
      <w:pPr>
        <w:pStyle w:val="BodyText"/>
        <w:rPr>
          <w:b/>
        </w:rPr>
      </w:pPr>
    </w:p>
    <w:p>
      <w:pPr>
        <w:pStyle w:val="BodyText"/>
        <w:spacing w:before="111"/>
        <w:rPr>
          <w:b/>
        </w:rPr>
      </w:pPr>
    </w:p>
    <w:p>
      <w:pPr>
        <w:pStyle w:val="BodyText"/>
        <w:spacing w:line="480" w:lineRule="auto"/>
        <w:ind w:left="380" w:right="1175"/>
      </w:pPr>
      <w:r>
        <w:rPr>
          <w:b/>
        </w:rPr>
        <w:t>Note:</w:t>
      </w:r>
      <w:r>
        <w:rPr>
          <w:b/>
          <w:spacing w:val="-4"/>
        </w:rPr>
        <w:t> </w:t>
      </w:r>
      <w:r>
        <w:rPr/>
        <w:t>samples</w:t>
      </w:r>
      <w:r>
        <w:rPr>
          <w:spacing w:val="-3"/>
        </w:rPr>
        <w:t> </w:t>
      </w:r>
      <w:r>
        <w:rPr/>
        <w:t>with</w:t>
      </w:r>
      <w:r>
        <w:rPr>
          <w:spacing w:val="-2"/>
        </w:rPr>
        <w:t> </w:t>
      </w:r>
      <w:r>
        <w:rPr>
          <w:i/>
        </w:rPr>
        <w:t>f</w:t>
      </w:r>
      <w:r>
        <w:rPr>
          <w:vertAlign w:val="subscript"/>
        </w:rPr>
        <w:t>2</w:t>
      </w:r>
      <w:r>
        <w:rPr>
          <w:spacing w:val="-2"/>
          <w:vertAlign w:val="baseline"/>
        </w:rPr>
        <w:t> </w:t>
      </w:r>
      <w:r>
        <w:rPr>
          <w:vertAlign w:val="baseline"/>
        </w:rPr>
        <w:t>value</w:t>
      </w:r>
      <w:r>
        <w:rPr>
          <w:spacing w:val="-3"/>
          <w:vertAlign w:val="baseline"/>
        </w:rPr>
        <w:t> </w:t>
      </w:r>
      <w:r>
        <w:rPr>
          <w:vertAlign w:val="baseline"/>
        </w:rPr>
        <w:t>≥</w:t>
      </w:r>
      <w:r>
        <w:rPr>
          <w:spacing w:val="-3"/>
          <w:vertAlign w:val="baseline"/>
        </w:rPr>
        <w:t> </w:t>
      </w:r>
      <w:r>
        <w:rPr>
          <w:vertAlign w:val="baseline"/>
        </w:rPr>
        <w:t>50</w:t>
      </w:r>
      <w:r>
        <w:rPr>
          <w:spacing w:val="-3"/>
          <w:vertAlign w:val="baseline"/>
        </w:rPr>
        <w:t> </w:t>
      </w:r>
      <w:r>
        <w:rPr>
          <w:vertAlign w:val="baseline"/>
        </w:rPr>
        <w:t>are</w:t>
      </w:r>
      <w:r>
        <w:rPr>
          <w:spacing w:val="-3"/>
          <w:vertAlign w:val="baseline"/>
        </w:rPr>
        <w:t> </w:t>
      </w:r>
      <w:r>
        <w:rPr>
          <w:vertAlign w:val="baseline"/>
        </w:rPr>
        <w:t>considered</w:t>
      </w:r>
      <w:r>
        <w:rPr>
          <w:spacing w:val="-3"/>
          <w:vertAlign w:val="baseline"/>
        </w:rPr>
        <w:t> </w:t>
      </w:r>
      <w:r>
        <w:rPr>
          <w:vertAlign w:val="baseline"/>
        </w:rPr>
        <w:t>bioequivalent</w:t>
      </w:r>
      <w:r>
        <w:rPr>
          <w:spacing w:val="-3"/>
          <w:vertAlign w:val="baseline"/>
        </w:rPr>
        <w:t> </w:t>
      </w:r>
      <w:r>
        <w:rPr>
          <w:vertAlign w:val="baseline"/>
        </w:rPr>
        <w:t>to</w:t>
      </w:r>
      <w:r>
        <w:rPr>
          <w:spacing w:val="-3"/>
          <w:vertAlign w:val="baseline"/>
        </w:rPr>
        <w:t> </w:t>
      </w:r>
      <w:r>
        <w:rPr>
          <w:vertAlign w:val="baseline"/>
        </w:rPr>
        <w:t>the</w:t>
      </w:r>
      <w:r>
        <w:rPr>
          <w:spacing w:val="-4"/>
          <w:vertAlign w:val="baseline"/>
        </w:rPr>
        <w:t> </w:t>
      </w:r>
      <w:r>
        <w:rPr>
          <w:vertAlign w:val="baseline"/>
        </w:rPr>
        <w:t>innovator</w:t>
      </w:r>
      <w:r>
        <w:rPr>
          <w:spacing w:val="-3"/>
          <w:vertAlign w:val="baseline"/>
        </w:rPr>
        <w:t> </w:t>
      </w:r>
      <w:r>
        <w:rPr>
          <w:vertAlign w:val="baseline"/>
        </w:rPr>
        <w:t>product (sample C).</w:t>
      </w:r>
    </w:p>
    <w:p>
      <w:pPr>
        <w:spacing w:after="0" w:line="480" w:lineRule="auto"/>
        <w:sectPr>
          <w:pgSz w:w="12240" w:h="15840"/>
          <w:pgMar w:header="0" w:footer="1068" w:top="1580" w:bottom="1260" w:left="1420" w:right="440"/>
        </w:sectPr>
      </w:pPr>
    </w:p>
    <w:p>
      <w:pPr>
        <w:pStyle w:val="Heading1"/>
        <w:spacing w:before="77"/>
        <w:ind w:right="708"/>
      </w:pPr>
      <w:bookmarkStart w:name="_TOC_250017" w:id="67"/>
      <w:r>
        <w:rPr/>
        <w:t>CHAPTER</w:t>
      </w:r>
      <w:r>
        <w:rPr>
          <w:spacing w:val="-5"/>
        </w:rPr>
        <w:t> </w:t>
      </w:r>
      <w:bookmarkEnd w:id="67"/>
      <w:r>
        <w:rPr>
          <w:spacing w:val="-4"/>
        </w:rPr>
        <w:t>FIVE</w:t>
      </w:r>
    </w:p>
    <w:p>
      <w:pPr>
        <w:pStyle w:val="BodyText"/>
        <w:spacing w:before="120"/>
        <w:rPr>
          <w:b/>
        </w:rPr>
      </w:pPr>
    </w:p>
    <w:p>
      <w:pPr>
        <w:pStyle w:val="Heading1"/>
        <w:numPr>
          <w:ilvl w:val="1"/>
          <w:numId w:val="24"/>
        </w:numPr>
        <w:tabs>
          <w:tab w:pos="4283" w:val="left" w:leader="none"/>
        </w:tabs>
        <w:spacing w:line="240" w:lineRule="auto" w:before="0" w:after="0"/>
        <w:ind w:left="4283" w:right="0" w:hanging="360"/>
        <w:jc w:val="left"/>
      </w:pPr>
      <w:bookmarkStart w:name="_TOC_250016" w:id="68"/>
      <w:bookmarkEnd w:id="68"/>
      <w:r>
        <w:rPr>
          <w:spacing w:val="-2"/>
        </w:rPr>
        <w:t>DISCUSSION</w:t>
      </w:r>
    </w:p>
    <w:p>
      <w:pPr>
        <w:pStyle w:val="BodyText"/>
        <w:spacing w:before="120"/>
        <w:rPr>
          <w:b/>
        </w:rPr>
      </w:pPr>
    </w:p>
    <w:p>
      <w:pPr>
        <w:pStyle w:val="Heading2"/>
        <w:numPr>
          <w:ilvl w:val="1"/>
          <w:numId w:val="24"/>
        </w:numPr>
        <w:tabs>
          <w:tab w:pos="4108" w:val="left" w:leader="none"/>
        </w:tabs>
        <w:spacing w:line="240" w:lineRule="auto" w:before="0" w:after="0"/>
        <w:ind w:left="4108" w:right="0" w:hanging="360"/>
        <w:jc w:val="both"/>
      </w:pPr>
      <w:bookmarkStart w:name="_TOC_250015" w:id="69"/>
      <w:r>
        <w:rPr/>
        <w:t>Quality </w:t>
      </w:r>
      <w:bookmarkEnd w:id="69"/>
      <w:r>
        <w:rPr>
          <w:spacing w:val="-2"/>
        </w:rPr>
        <w:t>Control</w:t>
      </w:r>
    </w:p>
    <w:p>
      <w:pPr>
        <w:pStyle w:val="BodyText"/>
        <w:spacing w:line="480" w:lineRule="auto" w:before="271"/>
        <w:ind w:left="380" w:right="1263"/>
        <w:jc w:val="both"/>
      </w:pPr>
      <w:r>
        <w:rPr/>
        <w:t>Quality</w:t>
      </w:r>
      <w:r>
        <w:rPr>
          <w:spacing w:val="-2"/>
        </w:rPr>
        <w:t> </w:t>
      </w:r>
      <w:r>
        <w:rPr/>
        <w:t>control assessments are often conducted based on the general assumption that ―if the physical and chemical integrity of a drug product was assured, satisfactory pharmacologic or therapeutic performance will be obtained‖ (Shargel </w:t>
      </w:r>
      <w:r>
        <w:rPr>
          <w:i/>
        </w:rPr>
        <w:t>et al</w:t>
      </w:r>
      <w:r>
        <w:rPr/>
        <w:t>., 2007).</w:t>
      </w:r>
      <w:r>
        <w:rPr>
          <w:spacing w:val="80"/>
        </w:rPr>
        <w:t> </w:t>
      </w:r>
      <w:r>
        <w:rPr/>
        <w:t>Melting</w:t>
      </w:r>
      <w:r>
        <w:rPr>
          <w:spacing w:val="-3"/>
        </w:rPr>
        <w:t> </w:t>
      </w:r>
      <w:r>
        <w:rPr/>
        <w:t>point, IR spectra and the UV spectra</w:t>
      </w:r>
      <w:r>
        <w:rPr>
          <w:spacing w:val="-1"/>
        </w:rPr>
        <w:t> </w:t>
      </w:r>
      <w:r>
        <w:rPr/>
        <w:t>for</w:t>
      </w:r>
      <w:r>
        <w:rPr>
          <w:spacing w:val="-1"/>
        </w:rPr>
        <w:t> </w:t>
      </w:r>
      <w:r>
        <w:rPr/>
        <w:t>standard</w:t>
      </w:r>
      <w:r>
        <w:rPr>
          <w:spacing w:val="-1"/>
        </w:rPr>
        <w:t> </w:t>
      </w:r>
      <w:r>
        <w:rPr/>
        <w:t>tinidazole</w:t>
      </w:r>
      <w:r>
        <w:rPr>
          <w:spacing w:val="-1"/>
        </w:rPr>
        <w:t> </w:t>
      </w:r>
      <w:r>
        <w:rPr/>
        <w:t>powder</w:t>
      </w:r>
      <w:r>
        <w:rPr>
          <w:spacing w:val="-1"/>
        </w:rPr>
        <w:t> </w:t>
      </w:r>
      <w:r>
        <w:rPr/>
        <w:t>and the</w:t>
      </w:r>
      <w:r>
        <w:rPr>
          <w:spacing w:val="-1"/>
        </w:rPr>
        <w:t> </w:t>
      </w:r>
      <w:r>
        <w:rPr/>
        <w:t>entire test samples under studies were similar to those of tinidazole as specified by B.P 2009. Similar findings were also reported by Okunrobo, (2007).</w:t>
      </w:r>
      <w:r>
        <w:rPr>
          <w:spacing w:val="40"/>
        </w:rPr>
        <w:t> </w:t>
      </w:r>
      <w:r>
        <w:rPr/>
        <w:t>The result of the assay conducted was slightly greater or less than the normal range. Although, the changes were not significant since the difference is small but Okunrobo (2007) suggested that excipients may or may not have direct effect on the assay method. Sequel to that, he suggested that the extracted powder and the tablet equivalent should be recrystalized before the assay is conducted. All the samples passed the weight uniformity test as none deviated from the mean weight by more than 5 % specified in the British Pharmacopoeia (BP, 2009). This indicates that good manufacturing practice (GMP) was adhered to during granulation and compression stages of the tabulating. Similarly, the percentage friability of all the brands which should be less than 1 % according to BP 2009 was also attained; this indicates that the tablets will be capable of withstanding the rigors of transportation without undergoing chipping at the edges. The disintegration test for all tablets which should be less than 15 minutes</w:t>
      </w:r>
      <w:r>
        <w:rPr>
          <w:spacing w:val="-2"/>
        </w:rPr>
        <w:t> </w:t>
      </w:r>
      <w:r>
        <w:rPr/>
        <w:t>as</w:t>
      </w:r>
      <w:r>
        <w:rPr>
          <w:spacing w:val="-1"/>
        </w:rPr>
        <w:t> </w:t>
      </w:r>
      <w:r>
        <w:rPr/>
        <w:t>prescribed</w:t>
      </w:r>
      <w:r>
        <w:rPr>
          <w:spacing w:val="-1"/>
        </w:rPr>
        <w:t> </w:t>
      </w:r>
      <w:r>
        <w:rPr/>
        <w:t>in</w:t>
      </w:r>
      <w:r>
        <w:rPr>
          <w:spacing w:val="-1"/>
        </w:rPr>
        <w:t> </w:t>
      </w:r>
      <w:r>
        <w:rPr/>
        <w:t>BP, 2009</w:t>
      </w:r>
      <w:r>
        <w:rPr>
          <w:spacing w:val="-1"/>
        </w:rPr>
        <w:t> </w:t>
      </w:r>
      <w:r>
        <w:rPr/>
        <w:t>revealed</w:t>
      </w:r>
      <w:r>
        <w:rPr>
          <w:spacing w:val="-2"/>
        </w:rPr>
        <w:t> </w:t>
      </w:r>
      <w:r>
        <w:rPr/>
        <w:t>that three</w:t>
      </w:r>
      <w:r>
        <w:rPr>
          <w:spacing w:val="-2"/>
        </w:rPr>
        <w:t> </w:t>
      </w:r>
      <w:r>
        <w:rPr/>
        <w:t>out of</w:t>
      </w:r>
      <w:r>
        <w:rPr>
          <w:spacing w:val="-2"/>
        </w:rPr>
        <w:t> </w:t>
      </w:r>
      <w:r>
        <w:rPr/>
        <w:t>the</w:t>
      </w:r>
      <w:r>
        <w:rPr>
          <w:spacing w:val="-2"/>
        </w:rPr>
        <w:t> </w:t>
      </w:r>
      <w:r>
        <w:rPr/>
        <w:t>four</w:t>
      </w:r>
      <w:r>
        <w:rPr>
          <w:spacing w:val="-3"/>
        </w:rPr>
        <w:t> </w:t>
      </w:r>
      <w:r>
        <w:rPr/>
        <w:t>samples</w:t>
      </w:r>
      <w:r>
        <w:rPr>
          <w:spacing w:val="-1"/>
        </w:rPr>
        <w:t> </w:t>
      </w:r>
      <w:r>
        <w:rPr/>
        <w:t>including</w:t>
      </w:r>
      <w:r>
        <w:rPr>
          <w:spacing w:val="-3"/>
        </w:rPr>
        <w:t> </w:t>
      </w:r>
      <w:r>
        <w:rPr/>
        <w:t>the innovator product (sample C) disintegrated in less than 15 minutes. However, sample B showed</w:t>
      </w:r>
      <w:r>
        <w:rPr>
          <w:spacing w:val="7"/>
        </w:rPr>
        <w:t> </w:t>
      </w:r>
      <w:r>
        <w:rPr/>
        <w:t>a</w:t>
      </w:r>
      <w:r>
        <w:rPr>
          <w:spacing w:val="6"/>
        </w:rPr>
        <w:t> </w:t>
      </w:r>
      <w:r>
        <w:rPr/>
        <w:t>non</w:t>
      </w:r>
      <w:r>
        <w:rPr>
          <w:spacing w:val="6"/>
        </w:rPr>
        <w:t> </w:t>
      </w:r>
      <w:r>
        <w:rPr/>
        <w:t>uniform</w:t>
      </w:r>
      <w:r>
        <w:rPr>
          <w:spacing w:val="6"/>
        </w:rPr>
        <w:t> </w:t>
      </w:r>
      <w:r>
        <w:rPr/>
        <w:t>pattern</w:t>
      </w:r>
      <w:r>
        <w:rPr>
          <w:spacing w:val="6"/>
        </w:rPr>
        <w:t> </w:t>
      </w:r>
      <w:r>
        <w:rPr/>
        <w:t>of</w:t>
      </w:r>
      <w:r>
        <w:rPr>
          <w:spacing w:val="9"/>
        </w:rPr>
        <w:t> </w:t>
      </w:r>
      <w:r>
        <w:rPr/>
        <w:t>disintegration</w:t>
      </w:r>
      <w:r>
        <w:rPr>
          <w:spacing w:val="6"/>
        </w:rPr>
        <w:t> </w:t>
      </w:r>
      <w:r>
        <w:rPr/>
        <w:t>with</w:t>
      </w:r>
      <w:r>
        <w:rPr>
          <w:spacing w:val="9"/>
        </w:rPr>
        <w:t> </w:t>
      </w:r>
      <w:r>
        <w:rPr/>
        <w:t>only</w:t>
      </w:r>
      <w:r>
        <w:rPr>
          <w:spacing w:val="2"/>
        </w:rPr>
        <w:t> </w:t>
      </w:r>
      <w:r>
        <w:rPr/>
        <w:t>one</w:t>
      </w:r>
      <w:r>
        <w:rPr>
          <w:spacing w:val="6"/>
        </w:rPr>
        <w:t> </w:t>
      </w:r>
      <w:r>
        <w:rPr/>
        <w:t>out</w:t>
      </w:r>
      <w:r>
        <w:rPr>
          <w:spacing w:val="7"/>
        </w:rPr>
        <w:t> </w:t>
      </w:r>
      <w:r>
        <w:rPr/>
        <w:t>of</w:t>
      </w:r>
      <w:r>
        <w:rPr>
          <w:spacing w:val="6"/>
        </w:rPr>
        <w:t> </w:t>
      </w:r>
      <w:r>
        <w:rPr/>
        <w:t>the</w:t>
      </w:r>
      <w:r>
        <w:rPr>
          <w:spacing w:val="6"/>
        </w:rPr>
        <w:t> </w:t>
      </w:r>
      <w:r>
        <w:rPr/>
        <w:t>five</w:t>
      </w:r>
      <w:r>
        <w:rPr>
          <w:spacing w:val="9"/>
        </w:rPr>
        <w:t> </w:t>
      </w:r>
      <w:r>
        <w:rPr/>
        <w:t>tested</w:t>
      </w:r>
      <w:r>
        <w:rPr>
          <w:spacing w:val="7"/>
        </w:rPr>
        <w:t> </w:t>
      </w:r>
      <w:r>
        <w:rPr>
          <w:spacing w:val="-2"/>
        </w:rPr>
        <w:t>tablets</w:t>
      </w:r>
    </w:p>
    <w:p>
      <w:pPr>
        <w:spacing w:after="0" w:line="480" w:lineRule="auto"/>
        <w:jc w:val="both"/>
        <w:sectPr>
          <w:pgSz w:w="12240" w:h="15840"/>
          <w:pgMar w:header="0" w:footer="1068" w:top="1540" w:bottom="1260" w:left="1420" w:right="440"/>
        </w:sectPr>
      </w:pPr>
    </w:p>
    <w:p>
      <w:pPr>
        <w:pStyle w:val="BodyText"/>
        <w:spacing w:line="480" w:lineRule="auto" w:before="72"/>
        <w:ind w:left="380" w:right="1266"/>
        <w:jc w:val="both"/>
      </w:pPr>
      <w:r>
        <w:rPr/>
        <w:t>disintegrating in &lt; 15 minutes (Table 4.6). This may affect the bioavailability of the sample because tablets must disintegrate before they get absorbed and have their active ingredient available systemically.</w:t>
      </w:r>
    </w:p>
    <w:p>
      <w:pPr>
        <w:pStyle w:val="Heading2"/>
        <w:numPr>
          <w:ilvl w:val="1"/>
          <w:numId w:val="24"/>
        </w:numPr>
        <w:tabs>
          <w:tab w:pos="3923" w:val="left" w:leader="none"/>
        </w:tabs>
        <w:spacing w:line="240" w:lineRule="auto" w:before="5" w:after="0"/>
        <w:ind w:left="3923" w:right="0" w:hanging="360"/>
        <w:jc w:val="both"/>
      </w:pPr>
      <w:bookmarkStart w:name="_TOC_250014" w:id="70"/>
      <w:r>
        <w:rPr/>
        <w:t>Analytical</w:t>
      </w:r>
      <w:r>
        <w:rPr>
          <w:spacing w:val="-1"/>
        </w:rPr>
        <w:t> </w:t>
      </w:r>
      <w:bookmarkEnd w:id="70"/>
      <w:r>
        <w:rPr>
          <w:spacing w:val="-2"/>
        </w:rPr>
        <w:t>Methods</w:t>
      </w:r>
    </w:p>
    <w:p>
      <w:pPr>
        <w:pStyle w:val="BodyText"/>
        <w:spacing w:line="480" w:lineRule="auto" w:before="271"/>
        <w:ind w:left="380" w:right="1268"/>
        <w:jc w:val="both"/>
      </w:pPr>
      <w:r>
        <w:rPr/>
        <w:t>All the developed methods were found to obey the Beer Lamberts’ law within the concentration ranges used for the calibration. Good coefficients of correlation for all the methods in each pH media were obtained, which clearly showed the direct proportional relationship and high correlation between absorbance (A) and the respective</w:t>
      </w:r>
      <w:r>
        <w:rPr>
          <w:spacing w:val="40"/>
        </w:rPr>
        <w:t> </w:t>
      </w:r>
      <w:r>
        <w:rPr/>
        <w:t>concentrations (C). All the validation parameters were found to be within the ICH guidelines acceptable and permissible limits.</w:t>
      </w:r>
    </w:p>
    <w:p>
      <w:pPr>
        <w:pStyle w:val="ListParagraph"/>
        <w:numPr>
          <w:ilvl w:val="1"/>
          <w:numId w:val="25"/>
        </w:numPr>
        <w:tabs>
          <w:tab w:pos="3376" w:val="left" w:leader="none"/>
        </w:tabs>
        <w:spacing w:line="240" w:lineRule="auto" w:before="6" w:after="0"/>
        <w:ind w:left="3376" w:right="0" w:hanging="360"/>
        <w:jc w:val="both"/>
        <w:rPr>
          <w:b/>
          <w:sz w:val="24"/>
        </w:rPr>
      </w:pPr>
      <w:r>
        <w:rPr>
          <w:b/>
          <w:i/>
          <w:sz w:val="24"/>
        </w:rPr>
        <w:t>In</w:t>
      </w:r>
      <w:r>
        <w:rPr>
          <w:b/>
          <w:i/>
          <w:spacing w:val="-3"/>
          <w:sz w:val="24"/>
        </w:rPr>
        <w:t> </w:t>
      </w:r>
      <w:r>
        <w:rPr>
          <w:b/>
          <w:i/>
          <w:sz w:val="24"/>
        </w:rPr>
        <w:t>vitro</w:t>
      </w:r>
      <w:r>
        <w:rPr>
          <w:b/>
          <w:i/>
          <w:spacing w:val="-2"/>
          <w:sz w:val="24"/>
        </w:rPr>
        <w:t> </w:t>
      </w:r>
      <w:r>
        <w:rPr>
          <w:b/>
          <w:sz w:val="24"/>
        </w:rPr>
        <w:t>Bioavailability</w:t>
      </w:r>
      <w:r>
        <w:rPr>
          <w:b/>
          <w:spacing w:val="-2"/>
          <w:sz w:val="24"/>
        </w:rPr>
        <w:t> Studies</w:t>
      </w:r>
    </w:p>
    <w:p>
      <w:pPr>
        <w:pStyle w:val="BodyText"/>
        <w:spacing w:line="480" w:lineRule="auto" w:before="271"/>
        <w:ind w:left="380" w:right="1262"/>
        <w:jc w:val="both"/>
      </w:pPr>
      <w:r>
        <w:rPr/>
        <w:t>Systemic absorption of most drug products consists of a succession of rate processes. These processes include: (i) disintegration of the drug product and subsequent release of the</w:t>
      </w:r>
      <w:r>
        <w:rPr>
          <w:spacing w:val="-2"/>
        </w:rPr>
        <w:t> </w:t>
      </w:r>
      <w:r>
        <w:rPr/>
        <w:t>drug;</w:t>
      </w:r>
      <w:r>
        <w:rPr>
          <w:spacing w:val="-2"/>
        </w:rPr>
        <w:t> </w:t>
      </w:r>
      <w:r>
        <w:rPr/>
        <w:t>(ii)</w:t>
      </w:r>
      <w:r>
        <w:rPr>
          <w:spacing w:val="-1"/>
        </w:rPr>
        <w:t> </w:t>
      </w:r>
      <w:r>
        <w:rPr/>
        <w:t>dissolution</w:t>
      </w:r>
      <w:r>
        <w:rPr>
          <w:spacing w:val="-2"/>
        </w:rPr>
        <w:t> </w:t>
      </w:r>
      <w:r>
        <w:rPr/>
        <w:t>of</w:t>
      </w:r>
      <w:r>
        <w:rPr>
          <w:spacing w:val="-2"/>
        </w:rPr>
        <w:t> </w:t>
      </w:r>
      <w:r>
        <w:rPr/>
        <w:t>the</w:t>
      </w:r>
      <w:r>
        <w:rPr>
          <w:spacing w:val="-3"/>
        </w:rPr>
        <w:t> </w:t>
      </w:r>
      <w:r>
        <w:rPr/>
        <w:t>drug</w:t>
      </w:r>
      <w:r>
        <w:rPr>
          <w:spacing w:val="-2"/>
        </w:rPr>
        <w:t> </w:t>
      </w:r>
      <w:r>
        <w:rPr/>
        <w:t>in</w:t>
      </w:r>
      <w:r>
        <w:rPr>
          <w:spacing w:val="-2"/>
        </w:rPr>
        <w:t> </w:t>
      </w:r>
      <w:r>
        <w:rPr/>
        <w:t>an</w:t>
      </w:r>
      <w:r>
        <w:rPr>
          <w:spacing w:val="-1"/>
        </w:rPr>
        <w:t> </w:t>
      </w:r>
      <w:r>
        <w:rPr/>
        <w:t>aqueous</w:t>
      </w:r>
      <w:r>
        <w:rPr>
          <w:spacing w:val="-2"/>
        </w:rPr>
        <w:t> </w:t>
      </w:r>
      <w:r>
        <w:rPr/>
        <w:t>environment:</w:t>
      </w:r>
      <w:r>
        <w:rPr>
          <w:spacing w:val="-2"/>
        </w:rPr>
        <w:t> </w:t>
      </w:r>
      <w:r>
        <w:rPr/>
        <w:t>and (iii)</w:t>
      </w:r>
      <w:r>
        <w:rPr>
          <w:spacing w:val="-2"/>
        </w:rPr>
        <w:t> </w:t>
      </w:r>
      <w:r>
        <w:rPr/>
        <w:t>absorption</w:t>
      </w:r>
      <w:r>
        <w:rPr>
          <w:spacing w:val="-2"/>
        </w:rPr>
        <w:t> </w:t>
      </w:r>
      <w:r>
        <w:rPr/>
        <w:t>across cell membrane into the systemic circulation. In the process of drug disintegration, dissolution and absorption, the rate at which drug reaches the circulatory system is determined</w:t>
      </w:r>
      <w:r>
        <w:rPr>
          <w:spacing w:val="-2"/>
        </w:rPr>
        <w:t> </w:t>
      </w:r>
      <w:r>
        <w:rPr/>
        <w:t>by</w:t>
      </w:r>
      <w:r>
        <w:rPr>
          <w:spacing w:val="-7"/>
        </w:rPr>
        <w:t> </w:t>
      </w:r>
      <w:r>
        <w:rPr/>
        <w:t>the</w:t>
      </w:r>
      <w:r>
        <w:rPr>
          <w:spacing w:val="-3"/>
        </w:rPr>
        <w:t> </w:t>
      </w:r>
      <w:r>
        <w:rPr/>
        <w:t>slowest</w:t>
      </w:r>
      <w:r>
        <w:rPr>
          <w:spacing w:val="-2"/>
        </w:rPr>
        <w:t> </w:t>
      </w:r>
      <w:r>
        <w:rPr/>
        <w:t>step</w:t>
      </w:r>
      <w:r>
        <w:rPr>
          <w:spacing w:val="-1"/>
        </w:rPr>
        <w:t> </w:t>
      </w:r>
      <w:r>
        <w:rPr/>
        <w:t>in</w:t>
      </w:r>
      <w:r>
        <w:rPr>
          <w:spacing w:val="-2"/>
        </w:rPr>
        <w:t> </w:t>
      </w:r>
      <w:r>
        <w:rPr/>
        <w:t>the</w:t>
      </w:r>
      <w:r>
        <w:rPr>
          <w:spacing w:val="-3"/>
        </w:rPr>
        <w:t> </w:t>
      </w:r>
      <w:r>
        <w:rPr/>
        <w:t>sequence</w:t>
      </w:r>
      <w:r>
        <w:rPr>
          <w:spacing w:val="-3"/>
        </w:rPr>
        <w:t> </w:t>
      </w:r>
      <w:r>
        <w:rPr/>
        <w:t>(Olaniyi, 2000).</w:t>
      </w:r>
      <w:r>
        <w:rPr>
          <w:spacing w:val="-1"/>
        </w:rPr>
        <w:t> </w:t>
      </w:r>
      <w:r>
        <w:rPr/>
        <w:t>For</w:t>
      </w:r>
      <w:r>
        <w:rPr>
          <w:spacing w:val="-1"/>
        </w:rPr>
        <w:t> </w:t>
      </w:r>
      <w:r>
        <w:rPr/>
        <w:t>an</w:t>
      </w:r>
      <w:r>
        <w:rPr>
          <w:spacing w:val="-2"/>
        </w:rPr>
        <w:t> </w:t>
      </w:r>
      <w:r>
        <w:rPr/>
        <w:t>intravenous</w:t>
      </w:r>
      <w:r>
        <w:rPr>
          <w:spacing w:val="-2"/>
        </w:rPr>
        <w:t> </w:t>
      </w:r>
      <w:r>
        <w:rPr/>
        <w:t>dose</w:t>
      </w:r>
      <w:r>
        <w:rPr>
          <w:spacing w:val="-2"/>
        </w:rPr>
        <w:t> </w:t>
      </w:r>
      <w:r>
        <w:rPr/>
        <w:t>of the drug, the bioavailability is assumed to be equal to unity, but for a drug administered orally, bioavailability may be less than 100 % for two main reasons namely, incomplete extent of absorption and first-pass elimination (</w:t>
      </w:r>
      <w:r>
        <w:rPr>
          <w:color w:val="212121"/>
        </w:rPr>
        <w:t>Holford, </w:t>
      </w:r>
      <w:r>
        <w:rPr/>
        <w:t>2003). The</w:t>
      </w:r>
      <w:r>
        <w:rPr>
          <w:spacing w:val="40"/>
        </w:rPr>
        <w:t> </w:t>
      </w:r>
      <w:r>
        <w:rPr/>
        <w:t>method adopted for the determination of</w:t>
      </w:r>
      <w:r>
        <w:rPr>
          <w:spacing w:val="40"/>
        </w:rPr>
        <w:t> </w:t>
      </w:r>
      <w:r>
        <w:rPr/>
        <w:t>area under concentration –time curve (AUC) for each of the tablet brands of the tinidazole showed that the result of the bioavailability studies was fairly complied</w:t>
      </w:r>
      <w:r>
        <w:rPr>
          <w:spacing w:val="10"/>
        </w:rPr>
        <w:t> </w:t>
      </w:r>
      <w:r>
        <w:rPr/>
        <w:t>with</w:t>
      </w:r>
      <w:r>
        <w:rPr>
          <w:spacing w:val="13"/>
        </w:rPr>
        <w:t> </w:t>
      </w:r>
      <w:r>
        <w:rPr/>
        <w:t>this</w:t>
      </w:r>
      <w:r>
        <w:rPr>
          <w:spacing w:val="13"/>
        </w:rPr>
        <w:t> </w:t>
      </w:r>
      <w:r>
        <w:rPr/>
        <w:t>assumption</w:t>
      </w:r>
      <w:r>
        <w:rPr>
          <w:spacing w:val="14"/>
        </w:rPr>
        <w:t> </w:t>
      </w:r>
      <w:r>
        <w:rPr/>
        <w:t>and</w:t>
      </w:r>
      <w:r>
        <w:rPr>
          <w:spacing w:val="13"/>
        </w:rPr>
        <w:t> </w:t>
      </w:r>
      <w:r>
        <w:rPr/>
        <w:t>reveal</w:t>
      </w:r>
      <w:r>
        <w:rPr>
          <w:spacing w:val="13"/>
        </w:rPr>
        <w:t> </w:t>
      </w:r>
      <w:r>
        <w:rPr/>
        <w:t>that,</w:t>
      </w:r>
      <w:r>
        <w:rPr>
          <w:spacing w:val="15"/>
        </w:rPr>
        <w:t> </w:t>
      </w:r>
      <w:r>
        <w:rPr/>
        <w:t>bioavailabilities</w:t>
      </w:r>
      <w:r>
        <w:rPr>
          <w:spacing w:val="12"/>
        </w:rPr>
        <w:t> </w:t>
      </w:r>
      <w:r>
        <w:rPr/>
        <w:t>of</w:t>
      </w:r>
      <w:r>
        <w:rPr>
          <w:spacing w:val="12"/>
        </w:rPr>
        <w:t> </w:t>
      </w:r>
      <w:r>
        <w:rPr/>
        <w:t>samples</w:t>
      </w:r>
      <w:r>
        <w:rPr>
          <w:spacing w:val="14"/>
        </w:rPr>
        <w:t> </w:t>
      </w:r>
      <w:r>
        <w:rPr/>
        <w:t>A</w:t>
      </w:r>
      <w:r>
        <w:rPr>
          <w:spacing w:val="12"/>
        </w:rPr>
        <w:t> </w:t>
      </w:r>
      <w:r>
        <w:rPr/>
        <w:t>and</w:t>
      </w:r>
      <w:r>
        <w:rPr>
          <w:spacing w:val="13"/>
        </w:rPr>
        <w:t> </w:t>
      </w:r>
      <w:r>
        <w:rPr/>
        <w:t>B</w:t>
      </w:r>
      <w:r>
        <w:rPr>
          <w:spacing w:val="12"/>
        </w:rPr>
        <w:t> </w:t>
      </w:r>
      <w:r>
        <w:rPr>
          <w:spacing w:val="-4"/>
        </w:rPr>
        <w:t>were</w:t>
      </w:r>
    </w:p>
    <w:p>
      <w:pPr>
        <w:spacing w:after="0" w:line="480" w:lineRule="auto"/>
        <w:jc w:val="both"/>
        <w:sectPr>
          <w:pgSz w:w="12240" w:h="15840"/>
          <w:pgMar w:header="0" w:footer="1068" w:top="1540" w:bottom="1260" w:left="1420" w:right="440"/>
        </w:sectPr>
      </w:pPr>
    </w:p>
    <w:p>
      <w:pPr>
        <w:pStyle w:val="BodyText"/>
        <w:spacing w:line="480" w:lineRule="auto" w:before="72"/>
        <w:ind w:left="380" w:right="1267"/>
        <w:jc w:val="both"/>
      </w:pPr>
      <w:r>
        <w:rPr/>
        <w:t>higher at the simulated intestinal pH than the simulated gastric pH while that of sample D were somewhat similar in both the simulated gastric and intestinal pH, but for sample C which is also the innovator product, it appears to have greater bioavailability</w:t>
      </w:r>
      <w:r>
        <w:rPr>
          <w:spacing w:val="-1"/>
        </w:rPr>
        <w:t> </w:t>
      </w:r>
      <w:r>
        <w:rPr/>
        <w:t>at gastric pH than the intestinal. This disparity and variation may be attributed to differences in the technology of formulation of these tablets.</w:t>
      </w:r>
    </w:p>
    <w:p>
      <w:pPr>
        <w:pStyle w:val="ListParagraph"/>
        <w:numPr>
          <w:ilvl w:val="1"/>
          <w:numId w:val="25"/>
        </w:numPr>
        <w:tabs>
          <w:tab w:pos="3138" w:val="left" w:leader="none"/>
        </w:tabs>
        <w:spacing w:line="240" w:lineRule="auto" w:before="5" w:after="0"/>
        <w:ind w:left="3138" w:right="0" w:hanging="360"/>
        <w:jc w:val="both"/>
        <w:rPr>
          <w:b/>
          <w:sz w:val="24"/>
        </w:rPr>
      </w:pPr>
      <w:r>
        <w:rPr>
          <w:b/>
          <w:i/>
          <w:sz w:val="24"/>
        </w:rPr>
        <w:t>In</w:t>
      </w:r>
      <w:r>
        <w:rPr>
          <w:b/>
          <w:i/>
          <w:spacing w:val="-2"/>
          <w:sz w:val="24"/>
        </w:rPr>
        <w:t> </w:t>
      </w:r>
      <w:r>
        <w:rPr>
          <w:b/>
          <w:i/>
          <w:sz w:val="24"/>
        </w:rPr>
        <w:t>vitro-In</w:t>
      </w:r>
      <w:r>
        <w:rPr>
          <w:b/>
          <w:i/>
          <w:spacing w:val="-1"/>
          <w:sz w:val="24"/>
        </w:rPr>
        <w:t> </w:t>
      </w:r>
      <w:r>
        <w:rPr>
          <w:b/>
          <w:i/>
          <w:sz w:val="24"/>
        </w:rPr>
        <w:t>vivo</w:t>
      </w:r>
      <w:r>
        <w:rPr>
          <w:b/>
          <w:i/>
          <w:spacing w:val="-2"/>
          <w:sz w:val="24"/>
        </w:rPr>
        <w:t> </w:t>
      </w:r>
      <w:r>
        <w:rPr>
          <w:b/>
          <w:sz w:val="24"/>
        </w:rPr>
        <w:t>Correlation</w:t>
      </w:r>
      <w:r>
        <w:rPr>
          <w:b/>
          <w:spacing w:val="-1"/>
          <w:sz w:val="24"/>
        </w:rPr>
        <w:t> </w:t>
      </w:r>
      <w:r>
        <w:rPr>
          <w:b/>
          <w:spacing w:val="-2"/>
          <w:sz w:val="24"/>
        </w:rPr>
        <w:t>Studies</w:t>
      </w:r>
    </w:p>
    <w:p>
      <w:pPr>
        <w:pStyle w:val="BodyText"/>
        <w:spacing w:line="480" w:lineRule="auto" w:before="272"/>
        <w:ind w:left="380" w:right="1262"/>
        <w:jc w:val="both"/>
      </w:pPr>
      <w:r>
        <w:rPr/>
        <w:t>Generally, demonstration of bioequivalence is the most appropriate method of ensuring therapeutic equivalence between two drug products. The BCS guidance or criteria use to estimate the bioequivalence and product sameness between the test and reference drug through their dissolution profiles indicated that none of the products have at least 80 % dissolution in 30 minutes, not even sample C which is the innovator product. Only</w:t>
      </w:r>
      <w:r>
        <w:rPr>
          <w:spacing w:val="-2"/>
        </w:rPr>
        <w:t> </w:t>
      </w:r>
      <w:r>
        <w:rPr/>
        <w:t>sample B appears to have a dissolution of between 60 to 70 % within 30 to 50 minutes but at earlier time points (e.g. 10 minutes), it appears to have low dissolution which rises rapidly unlike for the other brands that rises gradually. A comparison of the dissolution profiles based on the similarity factor (</w:t>
      </w:r>
      <w:r>
        <w:rPr>
          <w:i/>
        </w:rPr>
        <w:t>f</w:t>
      </w:r>
      <w:r>
        <w:rPr>
          <w:vertAlign w:val="subscript"/>
        </w:rPr>
        <w:t>2</w:t>
      </w:r>
      <w:r>
        <w:rPr>
          <w:vertAlign w:val="baseline"/>
        </w:rPr>
        <w:t>,) revealed that none attained product sameness when compared to the innovator as none has </w:t>
      </w:r>
      <w:r>
        <w:rPr>
          <w:i/>
          <w:vertAlign w:val="baseline"/>
        </w:rPr>
        <w:t>f</w:t>
      </w:r>
      <w:r>
        <w:rPr>
          <w:vertAlign w:val="subscript"/>
        </w:rPr>
        <w:t>2</w:t>
      </w:r>
      <w:r>
        <w:rPr>
          <w:vertAlign w:val="baseline"/>
        </w:rPr>
        <w:t> value of at least 50. From the dissolution behaviour of the present study, tinidazole tablets brands modestly adhered to and belong</w:t>
      </w:r>
      <w:r>
        <w:rPr>
          <w:spacing w:val="80"/>
          <w:vertAlign w:val="baseline"/>
        </w:rPr>
        <w:t> </w:t>
      </w:r>
      <w:r>
        <w:rPr>
          <w:vertAlign w:val="baseline"/>
        </w:rPr>
        <w:t>to class III</w:t>
      </w:r>
      <w:r>
        <w:rPr>
          <w:spacing w:val="-2"/>
          <w:vertAlign w:val="baseline"/>
        </w:rPr>
        <w:t> </w:t>
      </w:r>
      <w:r>
        <w:rPr>
          <w:vertAlign w:val="baseline"/>
        </w:rPr>
        <w:t>of the BCS guide (Brahmankar </w:t>
      </w:r>
      <w:r>
        <w:rPr>
          <w:i/>
          <w:vertAlign w:val="baseline"/>
        </w:rPr>
        <w:t>et al., </w:t>
      </w:r>
      <w:r>
        <w:rPr>
          <w:vertAlign w:val="baseline"/>
        </w:rPr>
        <w:t>2009). In biopharmaceutics classification system (BCS), a</w:t>
      </w:r>
      <w:r>
        <w:rPr>
          <w:spacing w:val="-1"/>
          <w:vertAlign w:val="baseline"/>
        </w:rPr>
        <w:t> </w:t>
      </w:r>
      <w:r>
        <w:rPr>
          <w:vertAlign w:val="baseline"/>
        </w:rPr>
        <w:t>drug</w:t>
      </w:r>
      <w:r>
        <w:rPr>
          <w:spacing w:val="-3"/>
          <w:vertAlign w:val="baseline"/>
        </w:rPr>
        <w:t> </w:t>
      </w:r>
      <w:r>
        <w:rPr>
          <w:vertAlign w:val="baseline"/>
        </w:rPr>
        <w:t>product which belong</w:t>
      </w:r>
      <w:r>
        <w:rPr>
          <w:spacing w:val="-2"/>
          <w:vertAlign w:val="baseline"/>
        </w:rPr>
        <w:t> </w:t>
      </w:r>
      <w:r>
        <w:rPr>
          <w:vertAlign w:val="baseline"/>
        </w:rPr>
        <w:t>to class 3 because</w:t>
      </w:r>
      <w:r>
        <w:rPr>
          <w:spacing w:val="-1"/>
          <w:vertAlign w:val="baseline"/>
        </w:rPr>
        <w:t> </w:t>
      </w:r>
      <w:r>
        <w:rPr>
          <w:vertAlign w:val="baseline"/>
        </w:rPr>
        <w:t>of</w:t>
      </w:r>
      <w:r>
        <w:rPr>
          <w:spacing w:val="-1"/>
          <w:vertAlign w:val="baseline"/>
        </w:rPr>
        <w:t> </w:t>
      </w:r>
      <w:r>
        <w:rPr>
          <w:vertAlign w:val="baseline"/>
        </w:rPr>
        <w:t>its</w:t>
      </w:r>
      <w:r>
        <w:rPr>
          <w:spacing w:val="40"/>
          <w:vertAlign w:val="baseline"/>
        </w:rPr>
        <w:t> </w:t>
      </w:r>
      <w:r>
        <w:rPr>
          <w:vertAlign w:val="baseline"/>
        </w:rPr>
        <w:t>water solubility, then dissolution rate become the rate limiting step, which controls the absorption and bioavailability parameters of oral drug product. This criterion makes tinidazole a good candidate for IV-IVC evaluation.</w:t>
      </w:r>
    </w:p>
    <w:p>
      <w:pPr>
        <w:spacing w:after="0" w:line="480" w:lineRule="auto"/>
        <w:jc w:val="both"/>
        <w:sectPr>
          <w:pgSz w:w="12240" w:h="15840"/>
          <w:pgMar w:header="0" w:footer="1068" w:top="1540" w:bottom="1260" w:left="1420" w:right="440"/>
        </w:sectPr>
      </w:pPr>
    </w:p>
    <w:p>
      <w:pPr>
        <w:pStyle w:val="BodyText"/>
        <w:spacing w:line="480" w:lineRule="auto" w:before="72"/>
        <w:ind w:left="380" w:right="1266"/>
        <w:jc w:val="both"/>
      </w:pPr>
      <w:r>
        <w:rPr/>
        <w:t>According to Sweetman, (2005), tinidazole is rapidly and almost completely absorbed when administered orally and achieve a peak plasma concentration in 2 hours after administration. This is somewhat justified for samples B, C and D as their percentage dissolution</w:t>
      </w:r>
      <w:r>
        <w:rPr>
          <w:spacing w:val="-2"/>
        </w:rPr>
        <w:t> </w:t>
      </w:r>
      <w:r>
        <w:rPr/>
        <w:t>is greater</w:t>
      </w:r>
      <w:r>
        <w:rPr>
          <w:spacing w:val="-2"/>
        </w:rPr>
        <w:t> </w:t>
      </w:r>
      <w:r>
        <w:rPr/>
        <w:t>than or</w:t>
      </w:r>
      <w:r>
        <w:rPr>
          <w:spacing w:val="-1"/>
        </w:rPr>
        <w:t> </w:t>
      </w:r>
      <w:r>
        <w:rPr/>
        <w:t>equal to 80 %</w:t>
      </w:r>
      <w:r>
        <w:rPr>
          <w:spacing w:val="-3"/>
        </w:rPr>
        <w:t> </w:t>
      </w:r>
      <w:r>
        <w:rPr/>
        <w:t>in all</w:t>
      </w:r>
      <w:r>
        <w:rPr>
          <w:spacing w:val="-2"/>
        </w:rPr>
        <w:t> </w:t>
      </w:r>
      <w:r>
        <w:rPr/>
        <w:t>the</w:t>
      </w:r>
      <w:r>
        <w:rPr>
          <w:spacing w:val="-1"/>
        </w:rPr>
        <w:t> </w:t>
      </w:r>
      <w:r>
        <w:rPr/>
        <w:t>three</w:t>
      </w:r>
      <w:r>
        <w:rPr>
          <w:spacing w:val="-1"/>
        </w:rPr>
        <w:t> </w:t>
      </w:r>
      <w:r>
        <w:rPr/>
        <w:t>biological pHs</w:t>
      </w:r>
      <w:r>
        <w:rPr>
          <w:spacing w:val="-1"/>
        </w:rPr>
        <w:t> </w:t>
      </w:r>
      <w:r>
        <w:rPr/>
        <w:t>but for</w:t>
      </w:r>
      <w:r>
        <w:rPr>
          <w:spacing w:val="-2"/>
        </w:rPr>
        <w:t> </w:t>
      </w:r>
      <w:r>
        <w:rPr/>
        <w:t>sample</w:t>
      </w:r>
      <w:r>
        <w:rPr>
          <w:spacing w:val="-1"/>
        </w:rPr>
        <w:t> </w:t>
      </w:r>
      <w:r>
        <w:rPr/>
        <w:t>A the percentage is less than or equal to 60 %.Similarly, in simulated blood pH where the expected</w:t>
      </w:r>
      <w:r>
        <w:rPr>
          <w:spacing w:val="-2"/>
        </w:rPr>
        <w:t> </w:t>
      </w:r>
      <w:r>
        <w:rPr/>
        <w:t>bioavailability</w:t>
      </w:r>
      <w:r>
        <w:rPr>
          <w:spacing w:val="-5"/>
        </w:rPr>
        <w:t> </w:t>
      </w:r>
      <w:r>
        <w:rPr/>
        <w:t>is</w:t>
      </w:r>
      <w:r>
        <w:rPr>
          <w:spacing w:val="-1"/>
        </w:rPr>
        <w:t> </w:t>
      </w:r>
      <w:r>
        <w:rPr/>
        <w:t>100</w:t>
      </w:r>
      <w:r>
        <w:rPr>
          <w:spacing w:val="2"/>
        </w:rPr>
        <w:t> </w:t>
      </w:r>
      <w:r>
        <w:rPr/>
        <w:t>%,</w:t>
      </w:r>
      <w:r>
        <w:rPr>
          <w:spacing w:val="-1"/>
        </w:rPr>
        <w:t> </w:t>
      </w:r>
      <w:r>
        <w:rPr/>
        <w:t>the percentage dissolved for</w:t>
      </w:r>
      <w:r>
        <w:rPr>
          <w:spacing w:val="-2"/>
        </w:rPr>
        <w:t> </w:t>
      </w:r>
      <w:r>
        <w:rPr/>
        <w:t>sample A</w:t>
      </w:r>
      <w:r>
        <w:rPr>
          <w:spacing w:val="-3"/>
        </w:rPr>
        <w:t> </w:t>
      </w:r>
      <w:r>
        <w:rPr/>
        <w:t>is</w:t>
      </w:r>
      <w:r>
        <w:rPr>
          <w:spacing w:val="2"/>
        </w:rPr>
        <w:t> </w:t>
      </w:r>
      <w:r>
        <w:rPr/>
        <w:t>less</w:t>
      </w:r>
      <w:r>
        <w:rPr>
          <w:spacing w:val="-1"/>
        </w:rPr>
        <w:t> </w:t>
      </w:r>
      <w:r>
        <w:rPr/>
        <w:t>than 80</w:t>
      </w:r>
      <w:r>
        <w:rPr>
          <w:spacing w:val="2"/>
        </w:rPr>
        <w:t> </w:t>
      </w:r>
      <w:r>
        <w:rPr>
          <w:spacing w:val="-5"/>
        </w:rPr>
        <w:t>%.</w:t>
      </w:r>
    </w:p>
    <w:p>
      <w:pPr>
        <w:spacing w:after="0" w:line="480" w:lineRule="auto"/>
        <w:jc w:val="both"/>
        <w:sectPr>
          <w:pgSz w:w="12240" w:h="15840"/>
          <w:pgMar w:header="0" w:footer="1068" w:top="1540" w:bottom="1260" w:left="1420" w:right="440"/>
        </w:sectPr>
      </w:pPr>
    </w:p>
    <w:p>
      <w:pPr>
        <w:pStyle w:val="Heading1"/>
        <w:spacing w:before="77"/>
        <w:ind w:right="707"/>
      </w:pPr>
      <w:bookmarkStart w:name="_TOC_250013" w:id="71"/>
      <w:r>
        <w:rPr/>
        <w:t>CHAPTER</w:t>
      </w:r>
      <w:r>
        <w:rPr>
          <w:spacing w:val="-4"/>
        </w:rPr>
        <w:t> </w:t>
      </w:r>
      <w:bookmarkEnd w:id="71"/>
      <w:r>
        <w:rPr>
          <w:spacing w:val="-5"/>
        </w:rPr>
        <w:t>SIX</w:t>
      </w:r>
    </w:p>
    <w:p>
      <w:pPr>
        <w:pStyle w:val="BodyText"/>
        <w:spacing w:before="120"/>
        <w:rPr>
          <w:b/>
        </w:rPr>
      </w:pPr>
    </w:p>
    <w:p>
      <w:pPr>
        <w:pStyle w:val="Heading1"/>
        <w:numPr>
          <w:ilvl w:val="1"/>
          <w:numId w:val="26"/>
        </w:numPr>
        <w:tabs>
          <w:tab w:pos="1894" w:val="left" w:leader="none"/>
        </w:tabs>
        <w:spacing w:line="240" w:lineRule="auto" w:before="0" w:after="0"/>
        <w:ind w:left="1894" w:right="0" w:hanging="360"/>
        <w:jc w:val="left"/>
      </w:pPr>
      <w:bookmarkStart w:name="_TOC_250012" w:id="72"/>
      <w:r>
        <w:rPr/>
        <w:t>SUMMARY,</w:t>
      </w:r>
      <w:r>
        <w:rPr>
          <w:spacing w:val="-1"/>
        </w:rPr>
        <w:t> </w:t>
      </w:r>
      <w:r>
        <w:rPr/>
        <w:t>CONCLUSION</w:t>
      </w:r>
      <w:r>
        <w:rPr>
          <w:spacing w:val="-1"/>
        </w:rPr>
        <w:t> </w:t>
      </w:r>
      <w:r>
        <w:rPr/>
        <w:t>AND</w:t>
      </w:r>
      <w:r>
        <w:rPr>
          <w:spacing w:val="-1"/>
        </w:rPr>
        <w:t> </w:t>
      </w:r>
      <w:bookmarkEnd w:id="72"/>
      <w:r>
        <w:rPr>
          <w:spacing w:val="-2"/>
        </w:rPr>
        <w:t>RECOMMENDATIONS</w:t>
      </w:r>
    </w:p>
    <w:p>
      <w:pPr>
        <w:pStyle w:val="BodyText"/>
        <w:spacing w:before="120"/>
        <w:rPr>
          <w:b/>
        </w:rPr>
      </w:pPr>
    </w:p>
    <w:p>
      <w:pPr>
        <w:pStyle w:val="Heading2"/>
        <w:numPr>
          <w:ilvl w:val="1"/>
          <w:numId w:val="26"/>
        </w:numPr>
        <w:tabs>
          <w:tab w:pos="4420" w:val="left" w:leader="none"/>
        </w:tabs>
        <w:spacing w:line="240" w:lineRule="auto" w:before="0" w:after="0"/>
        <w:ind w:left="4420" w:right="0" w:hanging="360"/>
        <w:jc w:val="both"/>
      </w:pPr>
      <w:bookmarkStart w:name="_TOC_250011" w:id="73"/>
      <w:bookmarkEnd w:id="73"/>
      <w:r>
        <w:rPr>
          <w:spacing w:val="-2"/>
        </w:rPr>
        <w:t>Summary</w:t>
      </w:r>
    </w:p>
    <w:p>
      <w:pPr>
        <w:pStyle w:val="BodyText"/>
        <w:spacing w:line="480" w:lineRule="auto" w:before="271"/>
        <w:ind w:left="380" w:right="1265"/>
        <w:jc w:val="both"/>
      </w:pPr>
      <w:r>
        <w:rPr/>
        <w:t>Proper standardization of assessment methods used to predict </w:t>
      </w:r>
      <w:r>
        <w:rPr>
          <w:i/>
        </w:rPr>
        <w:t>in vivo </w:t>
      </w:r>
      <w:r>
        <w:rPr/>
        <w:t>bioavailability of tinidazole tablet using dissolution test to characterize the quality and performance of the product from its bioequivalence requirements, supporting waivers for other</w:t>
      </w:r>
      <w:r>
        <w:rPr>
          <w:spacing w:val="80"/>
        </w:rPr>
        <w:t> </w:t>
      </w:r>
      <w:r>
        <w:rPr/>
        <w:t>bioequivalence requirements and accepting product sameness under SUPAC (Scale-Up and Post-Approval Changes) related changes. This research was aimed at conducting an </w:t>
      </w:r>
      <w:r>
        <w:rPr>
          <w:i/>
        </w:rPr>
        <w:t>in-vitro </w:t>
      </w:r>
      <w:r>
        <w:rPr/>
        <w:t>bioequivalence studies on different brands of tinidazole tablets market within Kaduna metropolitan using simulated dissolution profiles. Routine quality control test are use as quarantine tools for oral medications for the purpose of quality assurance are conducted in accordance to BP 2009 descriptions.</w:t>
      </w:r>
      <w:r>
        <w:rPr>
          <w:spacing w:val="40"/>
        </w:rPr>
        <w:t> </w:t>
      </w:r>
      <w:r>
        <w:rPr/>
        <w:t>Standard tinidazole powder and the samples under investigation were identified, assayed and tested for the various quality control procedures. Accurate </w:t>
      </w:r>
      <w:r>
        <w:rPr>
          <w:i/>
        </w:rPr>
        <w:t>in vitro </w:t>
      </w:r>
      <w:r>
        <w:rPr/>
        <w:t>dissolution test which were correlated with the </w:t>
      </w:r>
      <w:r>
        <w:rPr>
          <w:i/>
        </w:rPr>
        <w:t>in vivo </w:t>
      </w:r>
      <w:r>
        <w:rPr/>
        <w:t>bioavailability were conducted in simulated gastric, intestinal and blood pH’s after three</w:t>
      </w:r>
      <w:r>
        <w:rPr>
          <w:spacing w:val="-4"/>
        </w:rPr>
        <w:t> </w:t>
      </w:r>
      <w:r>
        <w:rPr/>
        <w:t>spectrophotometric</w:t>
      </w:r>
      <w:r>
        <w:rPr>
          <w:spacing w:val="-2"/>
        </w:rPr>
        <w:t> </w:t>
      </w:r>
      <w:r>
        <w:rPr/>
        <w:t>methods</w:t>
      </w:r>
      <w:r>
        <w:rPr>
          <w:spacing w:val="-3"/>
        </w:rPr>
        <w:t> </w:t>
      </w:r>
      <w:r>
        <w:rPr/>
        <w:t>in</w:t>
      </w:r>
      <w:r>
        <w:rPr>
          <w:spacing w:val="-3"/>
        </w:rPr>
        <w:t> </w:t>
      </w:r>
      <w:r>
        <w:rPr/>
        <w:t>the</w:t>
      </w:r>
      <w:r>
        <w:rPr>
          <w:spacing w:val="-3"/>
        </w:rPr>
        <w:t> </w:t>
      </w:r>
      <w:r>
        <w:rPr/>
        <w:t>simulated</w:t>
      </w:r>
      <w:r>
        <w:rPr>
          <w:spacing w:val="-3"/>
        </w:rPr>
        <w:t> </w:t>
      </w:r>
      <w:r>
        <w:rPr/>
        <w:t>pH</w:t>
      </w:r>
      <w:r>
        <w:rPr>
          <w:spacing w:val="-3"/>
        </w:rPr>
        <w:t> </w:t>
      </w:r>
      <w:r>
        <w:rPr/>
        <w:t>was</w:t>
      </w:r>
      <w:r>
        <w:rPr>
          <w:spacing w:val="-2"/>
        </w:rPr>
        <w:t> </w:t>
      </w:r>
      <w:r>
        <w:rPr/>
        <w:t>developed,</w:t>
      </w:r>
      <w:r>
        <w:rPr>
          <w:spacing w:val="-2"/>
        </w:rPr>
        <w:t> </w:t>
      </w:r>
      <w:r>
        <w:rPr/>
        <w:t>validated</w:t>
      </w:r>
      <w:r>
        <w:rPr>
          <w:spacing w:val="-3"/>
        </w:rPr>
        <w:t> </w:t>
      </w:r>
      <w:r>
        <w:rPr/>
        <w:t>and</w:t>
      </w:r>
      <w:r>
        <w:rPr>
          <w:spacing w:val="-3"/>
        </w:rPr>
        <w:t> </w:t>
      </w:r>
      <w:r>
        <w:rPr/>
        <w:t>use</w:t>
      </w:r>
      <w:r>
        <w:rPr>
          <w:spacing w:val="-4"/>
        </w:rPr>
        <w:t> </w:t>
      </w:r>
      <w:r>
        <w:rPr/>
        <w:t>to obtain the concentrations terms for the </w:t>
      </w:r>
      <w:r>
        <w:rPr>
          <w:i/>
        </w:rPr>
        <w:t>in vitro </w:t>
      </w:r>
      <w:r>
        <w:rPr/>
        <w:t>bioavailability studies.</w:t>
      </w:r>
    </w:p>
    <w:p>
      <w:pPr>
        <w:pStyle w:val="BodyText"/>
        <w:spacing w:line="480" w:lineRule="auto" w:before="2"/>
        <w:ind w:left="380" w:right="1264"/>
        <w:jc w:val="both"/>
      </w:pPr>
      <w:r>
        <w:rPr/>
        <w:t>The results of the studies indicated that the four tablet brands of tinidazole passed the weight uniformity test and the percentage friability tests, but the disintegration test revealed that three out the four brands (including the innovator product, sample C) disintegrated in less than 15 minutes, except sample B which showed a non-uniform pattern of disintegration and failed to disintegrate even after 15 minutes. The three developed</w:t>
      </w:r>
      <w:r>
        <w:rPr>
          <w:spacing w:val="59"/>
        </w:rPr>
        <w:t> </w:t>
      </w:r>
      <w:r>
        <w:rPr/>
        <w:t>spectrophometric</w:t>
      </w:r>
      <w:r>
        <w:rPr>
          <w:spacing w:val="62"/>
        </w:rPr>
        <w:t> </w:t>
      </w:r>
      <w:r>
        <w:rPr/>
        <w:t>methods</w:t>
      </w:r>
      <w:r>
        <w:rPr>
          <w:spacing w:val="61"/>
        </w:rPr>
        <w:t> </w:t>
      </w:r>
      <w:r>
        <w:rPr/>
        <w:t>for</w:t>
      </w:r>
      <w:r>
        <w:rPr>
          <w:spacing w:val="59"/>
        </w:rPr>
        <w:t> </w:t>
      </w:r>
      <w:r>
        <w:rPr/>
        <w:t>the</w:t>
      </w:r>
      <w:r>
        <w:rPr>
          <w:spacing w:val="60"/>
        </w:rPr>
        <w:t> </w:t>
      </w:r>
      <w:r>
        <w:rPr/>
        <w:t>determination</w:t>
      </w:r>
      <w:r>
        <w:rPr>
          <w:spacing w:val="61"/>
        </w:rPr>
        <w:t> </w:t>
      </w:r>
      <w:r>
        <w:rPr/>
        <w:t>of</w:t>
      </w:r>
      <w:r>
        <w:rPr>
          <w:spacing w:val="60"/>
        </w:rPr>
        <w:t> </w:t>
      </w:r>
      <w:r>
        <w:rPr/>
        <w:t>tinidazole</w:t>
      </w:r>
      <w:r>
        <w:rPr>
          <w:spacing w:val="60"/>
        </w:rPr>
        <w:t> </w:t>
      </w:r>
      <w:r>
        <w:rPr/>
        <w:t>in</w:t>
      </w:r>
      <w:r>
        <w:rPr>
          <w:spacing w:val="61"/>
        </w:rPr>
        <w:t> </w:t>
      </w:r>
      <w:r>
        <w:rPr>
          <w:spacing w:val="-2"/>
        </w:rPr>
        <w:t>simulated</w:t>
      </w:r>
    </w:p>
    <w:p>
      <w:pPr>
        <w:spacing w:after="0" w:line="480" w:lineRule="auto"/>
        <w:jc w:val="both"/>
        <w:sectPr>
          <w:pgSz w:w="12240" w:h="15840"/>
          <w:pgMar w:header="0" w:footer="1068" w:top="1540" w:bottom="1260" w:left="1420" w:right="440"/>
        </w:sectPr>
      </w:pPr>
    </w:p>
    <w:p>
      <w:pPr>
        <w:pStyle w:val="BodyText"/>
        <w:spacing w:line="480" w:lineRule="auto" w:before="72"/>
        <w:ind w:left="380" w:right="1262"/>
        <w:jc w:val="both"/>
      </w:pPr>
      <w:r>
        <w:rPr/>
        <w:t>gastric, intestinal and blood pH were found to be linear in the ranges of 10-60, 2.5-40, and 5-50 µg/mL respectively. The regression equations of their calibration graphs and correlation</w:t>
      </w:r>
      <w:r>
        <w:rPr>
          <w:spacing w:val="-2"/>
        </w:rPr>
        <w:t> </w:t>
      </w:r>
      <w:r>
        <w:rPr/>
        <w:t>coefficient were</w:t>
      </w:r>
      <w:r>
        <w:rPr>
          <w:spacing w:val="-2"/>
        </w:rPr>
        <w:t> </w:t>
      </w:r>
      <w:r>
        <w:rPr/>
        <w:t>found</w:t>
      </w:r>
      <w:r>
        <w:rPr>
          <w:spacing w:val="-3"/>
        </w:rPr>
        <w:t> </w:t>
      </w:r>
      <w:r>
        <w:rPr/>
        <w:t>to</w:t>
      </w:r>
      <w:r>
        <w:rPr>
          <w:spacing w:val="-2"/>
        </w:rPr>
        <w:t> </w:t>
      </w:r>
      <w:r>
        <w:rPr/>
        <w:t>be y</w:t>
      </w:r>
      <w:r>
        <w:rPr>
          <w:spacing w:val="-5"/>
        </w:rPr>
        <w:t> </w:t>
      </w:r>
      <w:r>
        <w:rPr/>
        <w:t>=</w:t>
      </w:r>
      <w:r>
        <w:rPr>
          <w:spacing w:val="-3"/>
        </w:rPr>
        <w:t> </w:t>
      </w:r>
      <w:r>
        <w:rPr/>
        <w:t>0.0263x -</w:t>
      </w:r>
      <w:r>
        <w:rPr>
          <w:spacing w:val="-3"/>
        </w:rPr>
        <w:t> </w:t>
      </w:r>
      <w:r>
        <w:rPr/>
        <w:t>0.035</w:t>
      </w:r>
      <w:r>
        <w:rPr>
          <w:spacing w:val="-2"/>
        </w:rPr>
        <w:t> </w:t>
      </w:r>
      <w:r>
        <w:rPr/>
        <w:t>and</w:t>
      </w:r>
      <w:r>
        <w:rPr>
          <w:spacing w:val="-2"/>
        </w:rPr>
        <w:t> </w:t>
      </w:r>
      <w:r>
        <w:rPr/>
        <w:t>0.998, y</w:t>
      </w:r>
      <w:r>
        <w:rPr>
          <w:spacing w:val="-5"/>
        </w:rPr>
        <w:t> </w:t>
      </w:r>
      <w:r>
        <w:rPr/>
        <w:t>=</w:t>
      </w:r>
      <w:r>
        <w:rPr>
          <w:spacing w:val="-1"/>
        </w:rPr>
        <w:t> </w:t>
      </w:r>
      <w:r>
        <w:rPr/>
        <w:t>0.027x +</w:t>
      </w:r>
      <w:r>
        <w:rPr>
          <w:spacing w:val="-3"/>
        </w:rPr>
        <w:t> </w:t>
      </w:r>
      <w:r>
        <w:rPr/>
        <w:t>0.057 and</w:t>
      </w:r>
      <w:r>
        <w:rPr>
          <w:spacing w:val="-1"/>
        </w:rPr>
        <w:t> </w:t>
      </w:r>
      <w:r>
        <w:rPr/>
        <w:t>0.998; y</w:t>
      </w:r>
      <w:r>
        <w:rPr>
          <w:spacing w:val="-6"/>
        </w:rPr>
        <w:t> </w:t>
      </w:r>
      <w:r>
        <w:rPr/>
        <w:t>=</w:t>
      </w:r>
      <w:r>
        <w:rPr>
          <w:spacing w:val="-2"/>
        </w:rPr>
        <w:t> </w:t>
      </w:r>
      <w:r>
        <w:rPr/>
        <w:t>0.029x -</w:t>
      </w:r>
      <w:r>
        <w:rPr>
          <w:spacing w:val="-2"/>
        </w:rPr>
        <w:t> </w:t>
      </w:r>
      <w:r>
        <w:rPr/>
        <w:t>0.014</w:t>
      </w:r>
      <w:r>
        <w:rPr>
          <w:spacing w:val="-1"/>
        </w:rPr>
        <w:t> </w:t>
      </w:r>
      <w:r>
        <w:rPr/>
        <w:t>and</w:t>
      </w:r>
      <w:r>
        <w:rPr>
          <w:spacing w:val="-1"/>
        </w:rPr>
        <w:t> </w:t>
      </w:r>
      <w:r>
        <w:rPr/>
        <w:t>0.994</w:t>
      </w:r>
      <w:r>
        <w:rPr>
          <w:spacing w:val="-1"/>
        </w:rPr>
        <w:t> </w:t>
      </w:r>
      <w:r>
        <w:rPr/>
        <w:t>for</w:t>
      </w:r>
      <w:r>
        <w:rPr>
          <w:spacing w:val="-3"/>
        </w:rPr>
        <w:t> </w:t>
      </w:r>
      <w:r>
        <w:rPr/>
        <w:t>the</w:t>
      </w:r>
      <w:r>
        <w:rPr>
          <w:spacing w:val="-2"/>
        </w:rPr>
        <w:t> </w:t>
      </w:r>
      <w:r>
        <w:rPr/>
        <w:t>simulated</w:t>
      </w:r>
      <w:r>
        <w:rPr>
          <w:spacing w:val="-1"/>
        </w:rPr>
        <w:t> </w:t>
      </w:r>
      <w:r>
        <w:rPr/>
        <w:t>gastric,</w:t>
      </w:r>
      <w:r>
        <w:rPr>
          <w:spacing w:val="-2"/>
        </w:rPr>
        <w:t> </w:t>
      </w:r>
      <w:r>
        <w:rPr/>
        <w:t>intestinal</w:t>
      </w:r>
      <w:r>
        <w:rPr>
          <w:spacing w:val="-1"/>
        </w:rPr>
        <w:t> </w:t>
      </w:r>
      <w:r>
        <w:rPr/>
        <w:t>and</w:t>
      </w:r>
      <w:r>
        <w:rPr>
          <w:spacing w:val="-1"/>
        </w:rPr>
        <w:t> </w:t>
      </w:r>
      <w:r>
        <w:rPr/>
        <w:t>blood pHs respectively. The bioavailabilities of all the four brands as measured using IVIVC studies and were found to be 100 % in simulated blood pH. The bioavailabilities of brands A, B,</w:t>
      </w:r>
      <w:r>
        <w:rPr>
          <w:spacing w:val="40"/>
        </w:rPr>
        <w:t> </w:t>
      </w:r>
      <w:r>
        <w:rPr/>
        <w:t>C and D in simulated gastric pH were found to be 66.5, 85.8, 92.7 and 72.24 % respectively.</w:t>
      </w:r>
      <w:r>
        <w:rPr>
          <w:spacing w:val="2"/>
        </w:rPr>
        <w:t> </w:t>
      </w:r>
      <w:r>
        <w:rPr/>
        <w:t>In</w:t>
      </w:r>
      <w:r>
        <w:rPr>
          <w:spacing w:val="3"/>
        </w:rPr>
        <w:t> </w:t>
      </w:r>
      <w:r>
        <w:rPr/>
        <w:t>simulated</w:t>
      </w:r>
      <w:r>
        <w:rPr>
          <w:spacing w:val="3"/>
        </w:rPr>
        <w:t> </w:t>
      </w:r>
      <w:r>
        <w:rPr/>
        <w:t>intestinal</w:t>
      </w:r>
      <w:r>
        <w:rPr>
          <w:spacing w:val="3"/>
        </w:rPr>
        <w:t> </w:t>
      </w:r>
      <w:r>
        <w:rPr/>
        <w:t>pH,</w:t>
      </w:r>
      <w:r>
        <w:rPr>
          <w:spacing w:val="3"/>
        </w:rPr>
        <w:t> </w:t>
      </w:r>
      <w:r>
        <w:rPr/>
        <w:t>the</w:t>
      </w:r>
      <w:r>
        <w:rPr>
          <w:spacing w:val="3"/>
        </w:rPr>
        <w:t> </w:t>
      </w:r>
      <w:r>
        <w:rPr/>
        <w:t>bioavailabilities</w:t>
      </w:r>
      <w:r>
        <w:rPr>
          <w:spacing w:val="3"/>
        </w:rPr>
        <w:t> </w:t>
      </w:r>
      <w:r>
        <w:rPr/>
        <w:t>were</w:t>
      </w:r>
      <w:r>
        <w:rPr>
          <w:spacing w:val="3"/>
        </w:rPr>
        <w:t> </w:t>
      </w:r>
      <w:r>
        <w:rPr/>
        <w:t>79.79,</w:t>
      </w:r>
      <w:r>
        <w:rPr>
          <w:spacing w:val="3"/>
        </w:rPr>
        <w:t> </w:t>
      </w:r>
      <w:r>
        <w:rPr/>
        <w:t>90.57,</w:t>
      </w:r>
      <w:r>
        <w:rPr>
          <w:spacing w:val="3"/>
        </w:rPr>
        <w:t> </w:t>
      </w:r>
      <w:r>
        <w:rPr/>
        <w:t>78.99,</w:t>
      </w:r>
      <w:r>
        <w:rPr>
          <w:spacing w:val="3"/>
        </w:rPr>
        <w:t> </w:t>
      </w:r>
      <w:r>
        <w:rPr>
          <w:spacing w:val="-5"/>
        </w:rPr>
        <w:t>and</w:t>
      </w:r>
    </w:p>
    <w:p>
      <w:pPr>
        <w:pStyle w:val="BodyText"/>
        <w:spacing w:line="480" w:lineRule="auto" w:before="1"/>
        <w:ind w:left="380" w:right="1266"/>
        <w:jc w:val="both"/>
      </w:pPr>
      <w:r>
        <w:rPr/>
        <w:t>71.07 % for brands A, B, C and D respectively. The bioequivalence of brands A, B and D as a measure of similarity factor (</w:t>
      </w:r>
      <w:r>
        <w:rPr>
          <w:i/>
        </w:rPr>
        <w:t>f</w:t>
      </w:r>
      <w:r>
        <w:rPr>
          <w:i/>
          <w:vertAlign w:val="subscript"/>
        </w:rPr>
        <w:t>2</w:t>
      </w:r>
      <w:r>
        <w:rPr>
          <w:vertAlign w:val="baseline"/>
        </w:rPr>
        <w:t>) with respect to brand C (the innovator product) showed differences in bioavailability patterns which indicate the four tablet brands of tinidazole are not bioequivalent and cannot be used interchangeably. This is because none of the other three brands reach the similarity level of at least 50 % when compared to the innovator brand.</w:t>
      </w:r>
    </w:p>
    <w:p>
      <w:pPr>
        <w:pStyle w:val="Heading2"/>
        <w:numPr>
          <w:ilvl w:val="1"/>
          <w:numId w:val="26"/>
        </w:numPr>
        <w:tabs>
          <w:tab w:pos="4350" w:val="left" w:leader="none"/>
        </w:tabs>
        <w:spacing w:line="240" w:lineRule="auto" w:before="5" w:after="0"/>
        <w:ind w:left="4350" w:right="0" w:hanging="360"/>
        <w:jc w:val="both"/>
      </w:pPr>
      <w:bookmarkStart w:name="_TOC_250010" w:id="74"/>
      <w:bookmarkEnd w:id="74"/>
      <w:r>
        <w:rPr>
          <w:spacing w:val="-2"/>
        </w:rPr>
        <w:t>Conclusion</w:t>
      </w:r>
    </w:p>
    <w:p>
      <w:pPr>
        <w:pStyle w:val="BodyText"/>
        <w:spacing w:line="480" w:lineRule="auto" w:before="272"/>
        <w:ind w:left="380" w:right="1266" w:firstLine="62"/>
        <w:jc w:val="both"/>
      </w:pPr>
      <w:r>
        <w:rPr/>
        <w:t>In conclusion,</w:t>
      </w:r>
      <w:r>
        <w:rPr>
          <w:spacing w:val="40"/>
        </w:rPr>
        <w:t> </w:t>
      </w:r>
      <w:r>
        <w:rPr/>
        <w:t>the various quality control test conducted according to BP 2009 and the three UV spectrophotometric methods developed and validated according to ICH guidelines</w:t>
      </w:r>
      <w:r>
        <w:rPr>
          <w:spacing w:val="40"/>
        </w:rPr>
        <w:t> </w:t>
      </w:r>
      <w:r>
        <w:rPr/>
        <w:t>for the analysis of different tablet brands of tinidazole in simulated gastric, intestinal and blood pH indicated that the four brands of tinidazole tablet were found not</w:t>
      </w:r>
      <w:r>
        <w:rPr>
          <w:spacing w:val="40"/>
        </w:rPr>
        <w:t> </w:t>
      </w:r>
      <w:r>
        <w:rPr/>
        <w:t>to be bioequivalent.</w:t>
      </w:r>
    </w:p>
    <w:p>
      <w:pPr>
        <w:spacing w:after="0" w:line="480" w:lineRule="auto"/>
        <w:jc w:val="both"/>
        <w:sectPr>
          <w:pgSz w:w="12240" w:h="15840"/>
          <w:pgMar w:header="0" w:footer="1068" w:top="1540" w:bottom="1260" w:left="1420" w:right="440"/>
        </w:sectPr>
      </w:pPr>
    </w:p>
    <w:p>
      <w:pPr>
        <w:pStyle w:val="Heading2"/>
        <w:numPr>
          <w:ilvl w:val="1"/>
          <w:numId w:val="27"/>
        </w:numPr>
        <w:tabs>
          <w:tab w:pos="3978" w:val="left" w:leader="none"/>
        </w:tabs>
        <w:spacing w:line="240" w:lineRule="auto" w:before="77" w:after="0"/>
        <w:ind w:left="3978" w:right="0" w:hanging="360"/>
        <w:jc w:val="both"/>
      </w:pPr>
      <w:bookmarkStart w:name="_TOC_250009" w:id="75"/>
      <w:bookmarkEnd w:id="75"/>
      <w:r>
        <w:rPr>
          <w:spacing w:val="-2"/>
        </w:rPr>
        <w:t>Recommendations</w:t>
      </w:r>
    </w:p>
    <w:p>
      <w:pPr>
        <w:pStyle w:val="ListParagraph"/>
        <w:numPr>
          <w:ilvl w:val="4"/>
          <w:numId w:val="22"/>
        </w:numPr>
        <w:tabs>
          <w:tab w:pos="1100" w:val="left" w:leader="none"/>
        </w:tabs>
        <w:spacing w:line="480" w:lineRule="auto" w:before="271" w:after="0"/>
        <w:ind w:left="1100" w:right="1268" w:hanging="360"/>
        <w:jc w:val="both"/>
        <w:rPr>
          <w:sz w:val="24"/>
        </w:rPr>
      </w:pPr>
      <w:r>
        <w:rPr>
          <w:sz w:val="24"/>
        </w:rPr>
        <w:t>The regulatory agencies should mandate on assessments to be conducted before and after batches of drugs particularly</w:t>
      </w:r>
      <w:r>
        <w:rPr>
          <w:spacing w:val="-3"/>
          <w:sz w:val="24"/>
        </w:rPr>
        <w:t> </w:t>
      </w:r>
      <w:r>
        <w:rPr>
          <w:sz w:val="24"/>
        </w:rPr>
        <w:t>antibiotics, are being release into the market for public usage.</w:t>
      </w:r>
    </w:p>
    <w:p>
      <w:pPr>
        <w:pStyle w:val="ListParagraph"/>
        <w:numPr>
          <w:ilvl w:val="4"/>
          <w:numId w:val="22"/>
        </w:numPr>
        <w:tabs>
          <w:tab w:pos="1100" w:val="left" w:leader="none"/>
        </w:tabs>
        <w:spacing w:line="480" w:lineRule="auto" w:before="0" w:after="0"/>
        <w:ind w:left="1100" w:right="1267" w:hanging="360"/>
        <w:jc w:val="both"/>
        <w:rPr>
          <w:sz w:val="24"/>
        </w:rPr>
      </w:pPr>
      <w:r>
        <w:rPr>
          <w:sz w:val="24"/>
        </w:rPr>
        <w:t>The regulatory agencies should checkmate and trace these weaknesses from the distribution channels so as to improve on and reduce the recurrence of these </w:t>
      </w:r>
      <w:r>
        <w:rPr>
          <w:spacing w:val="-2"/>
          <w:sz w:val="24"/>
        </w:rPr>
        <w:t>incidences.</w:t>
      </w:r>
    </w:p>
    <w:p>
      <w:pPr>
        <w:pStyle w:val="ListParagraph"/>
        <w:numPr>
          <w:ilvl w:val="4"/>
          <w:numId w:val="22"/>
        </w:numPr>
        <w:tabs>
          <w:tab w:pos="1100" w:val="left" w:leader="none"/>
        </w:tabs>
        <w:spacing w:line="480" w:lineRule="auto" w:before="1" w:after="0"/>
        <w:ind w:left="1100" w:right="1262" w:hanging="360"/>
        <w:jc w:val="both"/>
        <w:rPr>
          <w:i/>
          <w:sz w:val="24"/>
        </w:rPr>
      </w:pPr>
      <w:r>
        <w:rPr>
          <w:sz w:val="24"/>
        </w:rPr>
        <w:t>Simple and reliable methods should be developed which gives signal for early detection</w:t>
      </w:r>
      <w:r>
        <w:rPr>
          <w:spacing w:val="-1"/>
          <w:sz w:val="24"/>
        </w:rPr>
        <w:t> </w:t>
      </w:r>
      <w:r>
        <w:rPr>
          <w:sz w:val="24"/>
        </w:rPr>
        <w:t>of</w:t>
      </w:r>
      <w:r>
        <w:rPr>
          <w:spacing w:val="-2"/>
          <w:sz w:val="24"/>
        </w:rPr>
        <w:t> </w:t>
      </w:r>
      <w:r>
        <w:rPr>
          <w:sz w:val="24"/>
        </w:rPr>
        <w:t>bio inequivalence,</w:t>
      </w:r>
      <w:r>
        <w:rPr>
          <w:spacing w:val="-1"/>
          <w:sz w:val="24"/>
        </w:rPr>
        <w:t> </w:t>
      </w:r>
      <w:r>
        <w:rPr>
          <w:sz w:val="24"/>
        </w:rPr>
        <w:t>and</w:t>
      </w:r>
      <w:r>
        <w:rPr>
          <w:spacing w:val="-1"/>
          <w:sz w:val="24"/>
        </w:rPr>
        <w:t> </w:t>
      </w:r>
      <w:r>
        <w:rPr>
          <w:sz w:val="24"/>
        </w:rPr>
        <w:t>will</w:t>
      </w:r>
      <w:r>
        <w:rPr>
          <w:spacing w:val="-1"/>
          <w:sz w:val="24"/>
        </w:rPr>
        <w:t> </w:t>
      </w:r>
      <w:r>
        <w:rPr>
          <w:sz w:val="24"/>
        </w:rPr>
        <w:t>be</w:t>
      </w:r>
      <w:r>
        <w:rPr>
          <w:spacing w:val="-1"/>
          <w:sz w:val="24"/>
        </w:rPr>
        <w:t> </w:t>
      </w:r>
      <w:r>
        <w:rPr>
          <w:sz w:val="24"/>
        </w:rPr>
        <w:t>able</w:t>
      </w:r>
      <w:r>
        <w:rPr>
          <w:spacing w:val="-2"/>
          <w:sz w:val="24"/>
        </w:rPr>
        <w:t> </w:t>
      </w:r>
      <w:r>
        <w:rPr>
          <w:sz w:val="24"/>
        </w:rPr>
        <w:t>to</w:t>
      </w:r>
      <w:r>
        <w:rPr>
          <w:spacing w:val="-1"/>
          <w:sz w:val="24"/>
        </w:rPr>
        <w:t> </w:t>
      </w:r>
      <w:r>
        <w:rPr>
          <w:sz w:val="24"/>
        </w:rPr>
        <w:t>discriminate</w:t>
      </w:r>
      <w:r>
        <w:rPr>
          <w:spacing w:val="-2"/>
          <w:sz w:val="24"/>
        </w:rPr>
        <w:t> </w:t>
      </w:r>
      <w:r>
        <w:rPr>
          <w:sz w:val="24"/>
        </w:rPr>
        <w:t>among</w:t>
      </w:r>
      <w:r>
        <w:rPr>
          <w:spacing w:val="-3"/>
          <w:sz w:val="24"/>
        </w:rPr>
        <w:t> </w:t>
      </w:r>
      <w:r>
        <w:rPr>
          <w:sz w:val="24"/>
        </w:rPr>
        <w:t>the</w:t>
      </w:r>
      <w:r>
        <w:rPr>
          <w:spacing w:val="-2"/>
          <w:sz w:val="24"/>
        </w:rPr>
        <w:t> </w:t>
      </w:r>
      <w:r>
        <w:rPr>
          <w:sz w:val="24"/>
        </w:rPr>
        <w:t>different degrees of product performance which is an indicator of how well the product will perform </w:t>
      </w:r>
      <w:r>
        <w:rPr>
          <w:i/>
          <w:sz w:val="24"/>
        </w:rPr>
        <w:t>in vivo </w:t>
      </w:r>
      <w:r>
        <w:rPr>
          <w:sz w:val="24"/>
        </w:rPr>
        <w:t>and Similarly, the studies can also be extrapolated and be conducted </w:t>
      </w:r>
      <w:r>
        <w:rPr>
          <w:i/>
          <w:sz w:val="24"/>
        </w:rPr>
        <w:t>in vivo</w:t>
      </w:r>
    </w:p>
    <w:p>
      <w:pPr>
        <w:pStyle w:val="ListParagraph"/>
        <w:numPr>
          <w:ilvl w:val="4"/>
          <w:numId w:val="22"/>
        </w:numPr>
        <w:tabs>
          <w:tab w:pos="1100" w:val="left" w:leader="none"/>
        </w:tabs>
        <w:spacing w:line="480" w:lineRule="auto" w:before="1" w:after="0"/>
        <w:ind w:left="1100" w:right="1268" w:hanging="360"/>
        <w:jc w:val="both"/>
        <w:rPr>
          <w:sz w:val="24"/>
        </w:rPr>
      </w:pPr>
      <w:r>
        <w:rPr>
          <w:sz w:val="24"/>
        </w:rPr>
        <w:t>In addition to similarity factor use in the present studies, difference factor can also be use as marker for the </w:t>
      </w:r>
      <w:r>
        <w:rPr>
          <w:i/>
          <w:sz w:val="24"/>
        </w:rPr>
        <w:t>in vitro </w:t>
      </w:r>
      <w:r>
        <w:rPr>
          <w:sz w:val="24"/>
        </w:rPr>
        <w:t>bioequivalence studies.</w:t>
      </w:r>
    </w:p>
    <w:p>
      <w:pPr>
        <w:spacing w:after="0" w:line="480" w:lineRule="auto"/>
        <w:jc w:val="both"/>
        <w:rPr>
          <w:sz w:val="24"/>
        </w:rPr>
        <w:sectPr>
          <w:pgSz w:w="12240" w:h="15840"/>
          <w:pgMar w:header="0" w:footer="1068" w:top="1540" w:bottom="1260" w:left="1420" w:right="440"/>
        </w:sectPr>
      </w:pPr>
    </w:p>
    <w:p>
      <w:pPr>
        <w:pStyle w:val="Heading1"/>
        <w:spacing w:before="62"/>
        <w:ind w:right="710"/>
      </w:pPr>
      <w:bookmarkStart w:name="_TOC_250008" w:id="76"/>
      <w:bookmarkEnd w:id="76"/>
      <w:r>
        <w:rPr>
          <w:spacing w:val="-2"/>
        </w:rPr>
        <w:t>REFRENCES</w:t>
      </w:r>
    </w:p>
    <w:p>
      <w:pPr>
        <w:pStyle w:val="BodyText"/>
        <w:spacing w:before="117"/>
        <w:rPr>
          <w:b/>
        </w:rPr>
      </w:pPr>
    </w:p>
    <w:p>
      <w:pPr>
        <w:spacing w:line="276" w:lineRule="auto" w:before="0"/>
        <w:ind w:left="1100" w:right="1269" w:hanging="720"/>
        <w:jc w:val="both"/>
        <w:rPr>
          <w:sz w:val="24"/>
        </w:rPr>
      </w:pPr>
      <w:r>
        <w:rPr>
          <w:color w:val="212121"/>
          <w:sz w:val="24"/>
        </w:rPr>
        <w:t>Abid, M., Agarwal, S. M., and Azam, A. (2008). Synthesis and antiamoebic activity of metronidazole thiosemicarbazone analogues; </w:t>
      </w:r>
      <w:r>
        <w:rPr>
          <w:i/>
          <w:color w:val="212121"/>
          <w:sz w:val="24"/>
        </w:rPr>
        <w:t>European Journal of </w:t>
      </w:r>
      <w:r>
        <w:rPr>
          <w:i/>
          <w:color w:val="212121"/>
          <w:sz w:val="24"/>
        </w:rPr>
        <w:t>Medicinal Chemistry</w:t>
      </w:r>
      <w:r>
        <w:rPr>
          <w:color w:val="212121"/>
          <w:sz w:val="24"/>
        </w:rPr>
        <w:t>; </w:t>
      </w:r>
      <w:r>
        <w:rPr>
          <w:i/>
          <w:color w:val="212121"/>
          <w:sz w:val="24"/>
        </w:rPr>
        <w:t>43</w:t>
      </w:r>
      <w:r>
        <w:rPr>
          <w:color w:val="212121"/>
          <w:sz w:val="24"/>
        </w:rPr>
        <w:t>(9), 2035-2039.</w:t>
      </w:r>
    </w:p>
    <w:p>
      <w:pPr>
        <w:pStyle w:val="BodyText"/>
        <w:spacing w:before="85"/>
      </w:pPr>
    </w:p>
    <w:p>
      <w:pPr>
        <w:pStyle w:val="BodyText"/>
        <w:spacing w:line="276" w:lineRule="auto"/>
        <w:ind w:left="1280" w:right="1084" w:hanging="900"/>
        <w:jc w:val="both"/>
      </w:pPr>
      <w:r>
        <w:rPr/>
        <w:t>Agrawal, S., Ashokraj, Y., Bharatam, P., Pillai, O., and Panchagnula, R. (2004). Solid-state Characterization of Rifampicin samples and its Biopharmaceutic Relevance. </w:t>
      </w:r>
      <w:r>
        <w:rPr>
          <w:i/>
        </w:rPr>
        <w:t>European Journal of</w:t>
      </w:r>
      <w:r>
        <w:rPr>
          <w:i/>
          <w:spacing w:val="80"/>
        </w:rPr>
        <w:t> </w:t>
      </w:r>
      <w:r>
        <w:rPr>
          <w:i/>
        </w:rPr>
        <w:t>Pharmaceutical Sciences</w:t>
      </w:r>
      <w:r>
        <w:rPr/>
        <w:t>; 22 (2–3), 127–144.</w:t>
      </w:r>
    </w:p>
    <w:p>
      <w:pPr>
        <w:pStyle w:val="BodyText"/>
        <w:spacing w:before="85"/>
      </w:pPr>
    </w:p>
    <w:p>
      <w:pPr>
        <w:spacing w:line="276" w:lineRule="auto" w:before="0"/>
        <w:ind w:left="1280" w:right="1266" w:hanging="900"/>
        <w:jc w:val="both"/>
        <w:rPr>
          <w:i/>
          <w:sz w:val="24"/>
        </w:rPr>
      </w:pPr>
      <w:r>
        <w:rPr>
          <w:sz w:val="24"/>
        </w:rPr>
        <w:t>Akanni, O.O., and Olaniyi, A.A. (1993). Towards better quality assurance of drug and food Bioequivalence of medicinal products, (1</w:t>
      </w:r>
      <w:r>
        <w:rPr>
          <w:sz w:val="24"/>
          <w:vertAlign w:val="superscript"/>
        </w:rPr>
        <w:t>st</w:t>
      </w:r>
      <w:r>
        <w:rPr>
          <w:sz w:val="24"/>
          <w:vertAlign w:val="baseline"/>
        </w:rPr>
        <w:t> edn). </w:t>
      </w:r>
      <w:r>
        <w:rPr>
          <w:i/>
          <w:sz w:val="24"/>
          <w:vertAlign w:val="baseline"/>
        </w:rPr>
        <w:t>Department of Pharmaceutical Chemistry, University of Ibadan, Nigeria pp 125 -135.</w:t>
      </w:r>
    </w:p>
    <w:p>
      <w:pPr>
        <w:pStyle w:val="BodyText"/>
        <w:spacing w:before="82"/>
        <w:rPr>
          <w:i/>
        </w:rPr>
      </w:pPr>
    </w:p>
    <w:p>
      <w:pPr>
        <w:pStyle w:val="BodyText"/>
        <w:spacing w:before="1"/>
        <w:ind w:left="1100" w:right="1363" w:hanging="720"/>
      </w:pPr>
      <w:r>
        <w:rPr>
          <w:color w:val="212121"/>
        </w:rPr>
        <w:t>Alhemiary, N. A., and Saleh, M. H. (2012). Spectrophotometric determination of tinidazole</w:t>
      </w:r>
      <w:r>
        <w:rPr>
          <w:color w:val="212121"/>
          <w:spacing w:val="-5"/>
        </w:rPr>
        <w:t> </w:t>
      </w:r>
      <w:r>
        <w:rPr>
          <w:color w:val="212121"/>
        </w:rPr>
        <w:t>using</w:t>
      </w:r>
      <w:r>
        <w:rPr>
          <w:color w:val="212121"/>
          <w:spacing w:val="-8"/>
        </w:rPr>
        <w:t> </w:t>
      </w:r>
      <w:r>
        <w:rPr>
          <w:color w:val="212121"/>
        </w:rPr>
        <w:t>promethazine</w:t>
      </w:r>
      <w:r>
        <w:rPr>
          <w:color w:val="212121"/>
          <w:spacing w:val="-5"/>
        </w:rPr>
        <w:t> </w:t>
      </w:r>
      <w:r>
        <w:rPr>
          <w:color w:val="212121"/>
        </w:rPr>
        <w:t>and</w:t>
      </w:r>
      <w:r>
        <w:rPr>
          <w:color w:val="212121"/>
          <w:spacing w:val="-5"/>
        </w:rPr>
        <w:t> </w:t>
      </w:r>
      <w:r>
        <w:rPr>
          <w:color w:val="212121"/>
        </w:rPr>
        <w:t>ethyl</w:t>
      </w:r>
      <w:r>
        <w:rPr>
          <w:color w:val="212121"/>
          <w:spacing w:val="-5"/>
        </w:rPr>
        <w:t> </w:t>
      </w:r>
      <w:r>
        <w:rPr>
          <w:color w:val="212121"/>
        </w:rPr>
        <w:t>vanillin</w:t>
      </w:r>
      <w:r>
        <w:rPr>
          <w:color w:val="212121"/>
          <w:spacing w:val="-5"/>
        </w:rPr>
        <w:t> </w:t>
      </w:r>
      <w:r>
        <w:rPr>
          <w:color w:val="212121"/>
        </w:rPr>
        <w:t>reagents</w:t>
      </w:r>
      <w:r>
        <w:rPr>
          <w:color w:val="212121"/>
          <w:spacing w:val="-5"/>
        </w:rPr>
        <w:t> </w:t>
      </w:r>
      <w:r>
        <w:rPr>
          <w:color w:val="212121"/>
        </w:rPr>
        <w:t>in</w:t>
      </w:r>
      <w:r>
        <w:rPr>
          <w:color w:val="212121"/>
          <w:spacing w:val="-5"/>
        </w:rPr>
        <w:t> </w:t>
      </w:r>
      <w:r>
        <w:rPr>
          <w:color w:val="212121"/>
        </w:rPr>
        <w:t>pharmaceutical preparations. </w:t>
      </w:r>
      <w:r>
        <w:rPr>
          <w:i/>
          <w:color w:val="212121"/>
        </w:rPr>
        <w:t>Journal Acta Pharm</w:t>
      </w:r>
      <w:r>
        <w:rPr>
          <w:color w:val="212121"/>
        </w:rPr>
        <w:t>, </w:t>
      </w:r>
      <w:r>
        <w:rPr>
          <w:i/>
          <w:color w:val="212121"/>
        </w:rPr>
        <w:t>4</w:t>
      </w:r>
      <w:r>
        <w:rPr>
          <w:color w:val="212121"/>
        </w:rPr>
        <w:t>(6), 2152-60.</w:t>
      </w:r>
    </w:p>
    <w:p>
      <w:pPr>
        <w:pStyle w:val="BodyText"/>
        <w:spacing w:before="2"/>
      </w:pPr>
    </w:p>
    <w:p>
      <w:pPr>
        <w:pStyle w:val="BodyText"/>
        <w:spacing w:line="276" w:lineRule="auto"/>
        <w:ind w:left="1280" w:right="1266" w:hanging="900"/>
        <w:jc w:val="both"/>
      </w:pPr>
      <w:r>
        <w:rPr/>
        <w:t>Amidon,</w:t>
      </w:r>
      <w:r>
        <w:rPr>
          <w:spacing w:val="-1"/>
        </w:rPr>
        <w:t> </w:t>
      </w:r>
      <w:r>
        <w:rPr/>
        <w:t>G.</w:t>
      </w:r>
      <w:r>
        <w:rPr>
          <w:spacing w:val="-2"/>
        </w:rPr>
        <w:t> </w:t>
      </w:r>
      <w:r>
        <w:rPr/>
        <w:t>L., Lennernas,</w:t>
      </w:r>
      <w:r>
        <w:rPr>
          <w:spacing w:val="-1"/>
        </w:rPr>
        <w:t> </w:t>
      </w:r>
      <w:r>
        <w:rPr/>
        <w:t>H.,</w:t>
      </w:r>
      <w:r>
        <w:rPr>
          <w:spacing w:val="-1"/>
        </w:rPr>
        <w:t> </w:t>
      </w:r>
      <w:r>
        <w:rPr/>
        <w:t>Shah,</w:t>
      </w:r>
      <w:r>
        <w:rPr>
          <w:spacing w:val="-1"/>
        </w:rPr>
        <w:t> </w:t>
      </w:r>
      <w:r>
        <w:rPr/>
        <w:t>V.</w:t>
      </w:r>
      <w:r>
        <w:rPr>
          <w:spacing w:val="-2"/>
        </w:rPr>
        <w:t> </w:t>
      </w:r>
      <w:r>
        <w:rPr/>
        <w:t>P.,</w:t>
      </w:r>
      <w:r>
        <w:rPr>
          <w:spacing w:val="-3"/>
        </w:rPr>
        <w:t> </w:t>
      </w:r>
      <w:r>
        <w:rPr/>
        <w:t>and</w:t>
      </w:r>
      <w:r>
        <w:rPr>
          <w:spacing w:val="-1"/>
        </w:rPr>
        <w:t> </w:t>
      </w:r>
      <w:r>
        <w:rPr/>
        <w:t>Crison,</w:t>
      </w:r>
      <w:r>
        <w:rPr>
          <w:spacing w:val="-3"/>
        </w:rPr>
        <w:t> </w:t>
      </w:r>
      <w:r>
        <w:rPr/>
        <w:t>J.</w:t>
      </w:r>
      <w:r>
        <w:rPr>
          <w:spacing w:val="-1"/>
        </w:rPr>
        <w:t> </w:t>
      </w:r>
      <w:r>
        <w:rPr/>
        <w:t>R.</w:t>
      </w:r>
      <w:r>
        <w:rPr>
          <w:spacing w:val="-4"/>
        </w:rPr>
        <w:t> </w:t>
      </w:r>
      <w:r>
        <w:rPr/>
        <w:t>A.</w:t>
      </w:r>
      <w:r>
        <w:rPr>
          <w:spacing w:val="-1"/>
        </w:rPr>
        <w:t> </w:t>
      </w:r>
      <w:r>
        <w:rPr/>
        <w:t>(1995).</w:t>
      </w:r>
      <w:r>
        <w:rPr>
          <w:spacing w:val="-2"/>
        </w:rPr>
        <w:t> </w:t>
      </w:r>
      <w:r>
        <w:rPr/>
        <w:t>A</w:t>
      </w:r>
      <w:r>
        <w:rPr>
          <w:spacing w:val="-2"/>
        </w:rPr>
        <w:t> </w:t>
      </w:r>
      <w:r>
        <w:rPr/>
        <w:t>theoretical</w:t>
      </w:r>
      <w:r>
        <w:rPr>
          <w:spacing w:val="-1"/>
        </w:rPr>
        <w:t> </w:t>
      </w:r>
      <w:r>
        <w:rPr/>
        <w:t>basis for a biopharmaceutic drug classification the correlation of </w:t>
      </w:r>
      <w:r>
        <w:rPr>
          <w:i/>
        </w:rPr>
        <w:t>in vitro </w:t>
      </w:r>
      <w:r>
        <w:rPr/>
        <w:t>drug product dissolution and </w:t>
      </w:r>
      <w:r>
        <w:rPr>
          <w:i/>
        </w:rPr>
        <w:t>in vivo </w:t>
      </w:r>
      <w:r>
        <w:rPr/>
        <w:t>bioavailability. </w:t>
      </w:r>
      <w:r>
        <w:rPr>
          <w:i/>
        </w:rPr>
        <w:t>Pharmaceutical Research</w:t>
      </w:r>
      <w:r>
        <w:rPr>
          <w:i/>
          <w:spacing w:val="-1"/>
        </w:rPr>
        <w:t> </w:t>
      </w:r>
      <w:r>
        <w:rPr>
          <w:i/>
        </w:rPr>
        <w:t>Journal, 12 </w:t>
      </w:r>
      <w:r>
        <w:rPr/>
        <w:t>(3), </w:t>
      </w:r>
      <w:r>
        <w:rPr>
          <w:spacing w:val="-2"/>
        </w:rPr>
        <w:t>413–419.</w:t>
      </w:r>
    </w:p>
    <w:p>
      <w:pPr>
        <w:pStyle w:val="BodyText"/>
        <w:spacing w:before="84"/>
      </w:pPr>
    </w:p>
    <w:p>
      <w:pPr>
        <w:pStyle w:val="BodyText"/>
        <w:spacing w:before="1"/>
        <w:ind w:left="380"/>
        <w:jc w:val="both"/>
      </w:pPr>
      <w:r>
        <w:rPr/>
        <w:t>Amidon,</w:t>
      </w:r>
      <w:r>
        <w:rPr>
          <w:spacing w:val="1"/>
        </w:rPr>
        <w:t> </w:t>
      </w:r>
      <w:r>
        <w:rPr/>
        <w:t>G.</w:t>
      </w:r>
      <w:r>
        <w:rPr>
          <w:spacing w:val="5"/>
        </w:rPr>
        <w:t> </w:t>
      </w:r>
      <w:r>
        <w:rPr/>
        <w:t>L.,</w:t>
      </w:r>
      <w:r>
        <w:rPr>
          <w:spacing w:val="8"/>
        </w:rPr>
        <w:t> </w:t>
      </w:r>
      <w:r>
        <w:rPr/>
        <w:t>Lennernäs,</w:t>
      </w:r>
      <w:r>
        <w:rPr>
          <w:spacing w:val="3"/>
        </w:rPr>
        <w:t> </w:t>
      </w:r>
      <w:r>
        <w:rPr/>
        <w:t>H.,</w:t>
      </w:r>
      <w:r>
        <w:rPr>
          <w:spacing w:val="3"/>
        </w:rPr>
        <w:t> </w:t>
      </w:r>
      <w:r>
        <w:rPr/>
        <w:t>Shah,</w:t>
      </w:r>
      <w:r>
        <w:rPr>
          <w:spacing w:val="6"/>
        </w:rPr>
        <w:t> </w:t>
      </w:r>
      <w:r>
        <w:rPr/>
        <w:t>V.P.,</w:t>
      </w:r>
      <w:r>
        <w:rPr>
          <w:spacing w:val="3"/>
        </w:rPr>
        <w:t> </w:t>
      </w:r>
      <w:r>
        <w:rPr/>
        <w:t>Crison,</w:t>
      </w:r>
      <w:r>
        <w:rPr>
          <w:spacing w:val="6"/>
        </w:rPr>
        <w:t> </w:t>
      </w:r>
      <w:r>
        <w:rPr/>
        <w:t>J.R.,</w:t>
      </w:r>
      <w:r>
        <w:rPr>
          <w:spacing w:val="5"/>
        </w:rPr>
        <w:t> </w:t>
      </w:r>
      <w:r>
        <w:rPr/>
        <w:t>Lennernäs,</w:t>
      </w:r>
      <w:r>
        <w:rPr>
          <w:spacing w:val="5"/>
        </w:rPr>
        <w:t> </w:t>
      </w:r>
      <w:r>
        <w:rPr/>
        <w:t>H.,</w:t>
      </w:r>
      <w:r>
        <w:rPr>
          <w:spacing w:val="6"/>
        </w:rPr>
        <w:t> </w:t>
      </w:r>
      <w:r>
        <w:rPr/>
        <w:t>and</w:t>
      </w:r>
      <w:r>
        <w:rPr>
          <w:spacing w:val="6"/>
        </w:rPr>
        <w:t> </w:t>
      </w:r>
      <w:r>
        <w:rPr>
          <w:spacing w:val="-2"/>
        </w:rPr>
        <w:t>Abrahamsson,</w:t>
      </w:r>
    </w:p>
    <w:p>
      <w:pPr>
        <w:pStyle w:val="BodyText"/>
        <w:spacing w:line="276" w:lineRule="auto" w:before="40"/>
        <w:ind w:left="1280" w:right="1264"/>
        <w:jc w:val="both"/>
      </w:pPr>
      <w:r>
        <w:rPr/>
        <w:t>H. (2005). A theoretical basis for a biopharmaceutic drug B. The use of biopharmaceutic classification of drugs in drug discovery and development: current status and future extension; </w:t>
      </w:r>
      <w:r>
        <w:rPr>
          <w:i/>
        </w:rPr>
        <w:t>Journal Pharmacy and Pharmacology, 57</w:t>
      </w:r>
      <w:r>
        <w:rPr/>
        <w:t>, </w:t>
      </w:r>
      <w:r>
        <w:rPr>
          <w:spacing w:val="-2"/>
        </w:rPr>
        <w:t>273–285.</w:t>
      </w:r>
    </w:p>
    <w:p>
      <w:pPr>
        <w:pStyle w:val="BodyText"/>
        <w:spacing w:before="84"/>
      </w:pPr>
    </w:p>
    <w:p>
      <w:pPr>
        <w:spacing w:line="276" w:lineRule="auto" w:before="1"/>
        <w:ind w:left="1280" w:right="1266" w:hanging="900"/>
        <w:jc w:val="both"/>
        <w:rPr>
          <w:sz w:val="24"/>
        </w:rPr>
      </w:pPr>
      <w:r>
        <w:rPr>
          <w:sz w:val="24"/>
        </w:rPr>
        <w:t>Amit, A., Rawat, D. S., and Rawat, M. S. M. (2013). 5-Nitroimidazole derivatives: A scope of modification for medicinal chemists; </w:t>
      </w:r>
      <w:r>
        <w:rPr>
          <w:i/>
          <w:sz w:val="24"/>
        </w:rPr>
        <w:t>Research Journal of Chemical. Science</w:t>
      </w:r>
      <w:r>
        <w:rPr>
          <w:sz w:val="24"/>
        </w:rPr>
        <w:t>, </w:t>
      </w:r>
      <w:r>
        <w:rPr>
          <w:i/>
          <w:sz w:val="24"/>
        </w:rPr>
        <w:t>3</w:t>
      </w:r>
      <w:r>
        <w:rPr>
          <w:sz w:val="24"/>
        </w:rPr>
        <w:t>(7), 104-113.</w:t>
      </w:r>
    </w:p>
    <w:p>
      <w:pPr>
        <w:pStyle w:val="BodyText"/>
        <w:spacing w:before="82"/>
      </w:pPr>
    </w:p>
    <w:p>
      <w:pPr>
        <w:spacing w:line="276" w:lineRule="auto" w:before="0"/>
        <w:ind w:left="1100" w:right="1264" w:hanging="720"/>
        <w:jc w:val="both"/>
        <w:rPr>
          <w:sz w:val="24"/>
        </w:rPr>
      </w:pPr>
      <w:r>
        <w:rPr>
          <w:color w:val="212121"/>
          <w:sz w:val="24"/>
        </w:rPr>
        <w:t>Atia, A. J. K. (2009). Synthesis and antibacterial activities of new metronidazole and imidazole derivatives; </w:t>
      </w:r>
      <w:r>
        <w:rPr>
          <w:i/>
          <w:color w:val="212121"/>
          <w:sz w:val="24"/>
        </w:rPr>
        <w:t>European Journal of Medicinal Chemistry</w:t>
      </w:r>
      <w:r>
        <w:rPr>
          <w:color w:val="212121"/>
          <w:sz w:val="24"/>
        </w:rPr>
        <w:t>; </w:t>
      </w:r>
      <w:r>
        <w:rPr>
          <w:i/>
          <w:color w:val="212121"/>
          <w:sz w:val="24"/>
        </w:rPr>
        <w:t>14</w:t>
      </w:r>
      <w:r>
        <w:rPr>
          <w:color w:val="212121"/>
          <w:sz w:val="24"/>
        </w:rPr>
        <w:t>(7), 2431- </w:t>
      </w:r>
      <w:r>
        <w:rPr>
          <w:color w:val="212121"/>
          <w:spacing w:val="-2"/>
          <w:sz w:val="24"/>
        </w:rPr>
        <w:t>2446.</w:t>
      </w:r>
    </w:p>
    <w:p>
      <w:pPr>
        <w:pStyle w:val="BodyText"/>
        <w:spacing w:before="85"/>
      </w:pPr>
    </w:p>
    <w:p>
      <w:pPr>
        <w:pStyle w:val="BodyText"/>
        <w:spacing w:line="276" w:lineRule="auto"/>
        <w:ind w:left="1280" w:right="1267" w:hanging="900"/>
        <w:jc w:val="both"/>
      </w:pPr>
      <w:r>
        <w:rPr/>
        <w:t>Ayres, C., Burke, W., Dickinson, P., Kirk, G., Pugh, R., Sharma</w:t>
      </w:r>
      <w:r>
        <w:rPr>
          <w:spacing w:val="-2"/>
        </w:rPr>
        <w:t> </w:t>
      </w:r>
      <w:r>
        <w:rPr/>
        <w:t>Singh, G. and Kittlety, R. (2007).</w:t>
      </w:r>
      <w:r>
        <w:rPr>
          <w:spacing w:val="63"/>
          <w:w w:val="150"/>
        </w:rPr>
        <w:t> </w:t>
      </w:r>
      <w:r>
        <w:rPr/>
        <w:t>Intrinsic</w:t>
      </w:r>
      <w:r>
        <w:rPr>
          <w:spacing w:val="64"/>
          <w:w w:val="150"/>
        </w:rPr>
        <w:t> </w:t>
      </w:r>
      <w:r>
        <w:rPr/>
        <w:t>dissolution</w:t>
      </w:r>
      <w:r>
        <w:rPr>
          <w:spacing w:val="63"/>
          <w:w w:val="150"/>
        </w:rPr>
        <w:t> </w:t>
      </w:r>
      <w:r>
        <w:rPr/>
        <w:t>rate</w:t>
      </w:r>
      <w:r>
        <w:rPr>
          <w:spacing w:val="63"/>
          <w:w w:val="150"/>
        </w:rPr>
        <w:t> </w:t>
      </w:r>
      <w:r>
        <w:rPr/>
        <w:t>determinations</w:t>
      </w:r>
      <w:r>
        <w:rPr>
          <w:spacing w:val="65"/>
          <w:w w:val="150"/>
        </w:rPr>
        <w:t> </w:t>
      </w:r>
      <w:r>
        <w:rPr/>
        <w:t>in</w:t>
      </w:r>
      <w:r>
        <w:rPr>
          <w:spacing w:val="64"/>
          <w:w w:val="150"/>
        </w:rPr>
        <w:t> </w:t>
      </w:r>
      <w:r>
        <w:rPr/>
        <w:t>early</w:t>
      </w:r>
      <w:r>
        <w:rPr>
          <w:spacing w:val="57"/>
          <w:w w:val="150"/>
        </w:rPr>
        <w:t> </w:t>
      </w:r>
      <w:r>
        <w:rPr/>
        <w:t>development</w:t>
      </w:r>
      <w:r>
        <w:rPr>
          <w:spacing w:val="65"/>
          <w:w w:val="150"/>
        </w:rPr>
        <w:t> </w:t>
      </w:r>
      <w:r>
        <w:rPr>
          <w:spacing w:val="-5"/>
        </w:rPr>
        <w:t>and</w:t>
      </w:r>
    </w:p>
    <w:p>
      <w:pPr>
        <w:spacing w:after="0" w:line="276" w:lineRule="auto"/>
        <w:jc w:val="both"/>
        <w:sectPr>
          <w:pgSz w:w="12240" w:h="15840"/>
          <w:pgMar w:header="0" w:footer="1068" w:top="1680" w:bottom="1260" w:left="1420" w:right="440"/>
        </w:sectPr>
      </w:pPr>
    </w:p>
    <w:p>
      <w:pPr>
        <w:spacing w:line="276" w:lineRule="auto" w:before="74"/>
        <w:ind w:left="1280" w:right="1175" w:firstLine="0"/>
        <w:jc w:val="left"/>
        <w:rPr>
          <w:sz w:val="24"/>
        </w:rPr>
      </w:pPr>
      <w:r>
        <w:rPr>
          <w:sz w:val="24"/>
        </w:rPr>
        <w:t>relevance to </w:t>
      </w:r>
      <w:r>
        <w:rPr>
          <w:i/>
          <w:sz w:val="24"/>
        </w:rPr>
        <w:t>in vivo </w:t>
      </w:r>
      <w:r>
        <w:rPr>
          <w:sz w:val="24"/>
        </w:rPr>
        <w:t>performance. </w:t>
      </w:r>
      <w:r>
        <w:rPr>
          <w:i/>
          <w:sz w:val="24"/>
        </w:rPr>
        <w:t>American Pharmaceutical Review</w:t>
      </w:r>
      <w:r>
        <w:rPr>
          <w:sz w:val="24"/>
        </w:rPr>
        <w:t>, </w:t>
      </w:r>
      <w:r>
        <w:rPr>
          <w:i/>
          <w:sz w:val="24"/>
        </w:rPr>
        <w:t>10 </w:t>
      </w:r>
      <w:r>
        <w:rPr>
          <w:sz w:val="24"/>
        </w:rPr>
        <w:t>(1), 74– </w:t>
      </w:r>
      <w:r>
        <w:rPr>
          <w:spacing w:val="-4"/>
          <w:sz w:val="24"/>
        </w:rPr>
        <w:t>78.</w:t>
      </w:r>
    </w:p>
    <w:p>
      <w:pPr>
        <w:pStyle w:val="BodyText"/>
        <w:spacing w:before="83"/>
      </w:pPr>
    </w:p>
    <w:p>
      <w:pPr>
        <w:spacing w:line="276" w:lineRule="auto" w:before="0"/>
        <w:ind w:left="1280" w:right="1264" w:hanging="900"/>
        <w:jc w:val="both"/>
        <w:rPr>
          <w:sz w:val="24"/>
        </w:rPr>
      </w:pPr>
      <w:r>
        <w:rPr>
          <w:sz w:val="24"/>
        </w:rPr>
        <w:t>Azarmi S., Roa, W., and Löbenberg, R. (2007). Current perspectives in dissolution testing of</w:t>
      </w:r>
      <w:r>
        <w:rPr>
          <w:spacing w:val="-3"/>
          <w:sz w:val="24"/>
        </w:rPr>
        <w:t> </w:t>
      </w:r>
      <w:r>
        <w:rPr>
          <w:sz w:val="24"/>
        </w:rPr>
        <w:t>conventional</w:t>
      </w:r>
      <w:r>
        <w:rPr>
          <w:spacing w:val="-2"/>
          <w:sz w:val="24"/>
        </w:rPr>
        <w:t> </w:t>
      </w:r>
      <w:r>
        <w:rPr>
          <w:sz w:val="24"/>
        </w:rPr>
        <w:t>and</w:t>
      </w:r>
      <w:r>
        <w:rPr>
          <w:spacing w:val="-2"/>
          <w:sz w:val="24"/>
        </w:rPr>
        <w:t> </w:t>
      </w:r>
      <w:r>
        <w:rPr>
          <w:sz w:val="24"/>
        </w:rPr>
        <w:t>novel</w:t>
      </w:r>
      <w:r>
        <w:rPr>
          <w:spacing w:val="-2"/>
          <w:sz w:val="24"/>
        </w:rPr>
        <w:t> </w:t>
      </w:r>
      <w:r>
        <w:rPr>
          <w:sz w:val="24"/>
        </w:rPr>
        <w:t>dosage</w:t>
      </w:r>
      <w:r>
        <w:rPr>
          <w:spacing w:val="-3"/>
          <w:sz w:val="24"/>
        </w:rPr>
        <w:t> </w:t>
      </w:r>
      <w:r>
        <w:rPr>
          <w:sz w:val="24"/>
        </w:rPr>
        <w:t>forms. </w:t>
      </w:r>
      <w:r>
        <w:rPr>
          <w:i/>
          <w:sz w:val="24"/>
        </w:rPr>
        <w:t>International</w:t>
      </w:r>
      <w:r>
        <w:rPr>
          <w:i/>
          <w:spacing w:val="-1"/>
          <w:sz w:val="24"/>
        </w:rPr>
        <w:t> </w:t>
      </w:r>
      <w:r>
        <w:rPr>
          <w:i/>
          <w:sz w:val="24"/>
        </w:rPr>
        <w:t>Journal</w:t>
      </w:r>
      <w:r>
        <w:rPr>
          <w:i/>
          <w:spacing w:val="-2"/>
          <w:sz w:val="24"/>
        </w:rPr>
        <w:t> </w:t>
      </w:r>
      <w:r>
        <w:rPr>
          <w:i/>
          <w:sz w:val="24"/>
        </w:rPr>
        <w:t>of</w:t>
      </w:r>
      <w:r>
        <w:rPr>
          <w:i/>
          <w:spacing w:val="-1"/>
          <w:sz w:val="24"/>
        </w:rPr>
        <w:t> </w:t>
      </w:r>
      <w:r>
        <w:rPr>
          <w:i/>
          <w:sz w:val="24"/>
        </w:rPr>
        <w:t>Pharmacy</w:t>
      </w:r>
      <w:r>
        <w:rPr>
          <w:sz w:val="24"/>
        </w:rPr>
        <w:t>,</w:t>
      </w:r>
      <w:r>
        <w:rPr>
          <w:spacing w:val="-2"/>
          <w:sz w:val="24"/>
        </w:rPr>
        <w:t> </w:t>
      </w:r>
      <w:r>
        <w:rPr>
          <w:i/>
          <w:sz w:val="24"/>
        </w:rPr>
        <w:t>328 </w:t>
      </w:r>
      <w:r>
        <w:rPr>
          <w:sz w:val="24"/>
        </w:rPr>
        <w:t>(1), 12–21.</w:t>
      </w:r>
    </w:p>
    <w:p>
      <w:pPr>
        <w:pStyle w:val="BodyText"/>
        <w:spacing w:before="85"/>
      </w:pPr>
    </w:p>
    <w:p>
      <w:pPr>
        <w:pStyle w:val="BodyText"/>
        <w:spacing w:line="276" w:lineRule="auto"/>
        <w:ind w:left="1280" w:right="1263" w:hanging="900"/>
        <w:jc w:val="both"/>
      </w:pPr>
      <w:r>
        <w:rPr/>
        <w:t>Baka, E., Comer, J. E., and Novák, T. K. (2008). Study of equilibrium solubility measurement by saturation shake-flask method using hydrochlorothiazide as model compound; </w:t>
      </w:r>
      <w:r>
        <w:rPr>
          <w:i/>
        </w:rPr>
        <w:t>Journal of Pharmacy and Biomedical Analysis</w:t>
      </w:r>
      <w:r>
        <w:rPr/>
        <w:t>., </w:t>
      </w:r>
      <w:r>
        <w:rPr>
          <w:i/>
        </w:rPr>
        <w:t>46 </w:t>
      </w:r>
      <w:r>
        <w:rPr/>
        <w:t>(2), 335– </w:t>
      </w:r>
      <w:r>
        <w:rPr>
          <w:spacing w:val="-4"/>
        </w:rPr>
        <w:t>341.</w:t>
      </w:r>
    </w:p>
    <w:p>
      <w:pPr>
        <w:pStyle w:val="BodyText"/>
        <w:spacing w:before="82"/>
      </w:pPr>
    </w:p>
    <w:p>
      <w:pPr>
        <w:pStyle w:val="BodyText"/>
        <w:ind w:left="1100" w:right="1363" w:hanging="720"/>
      </w:pPr>
      <w:r>
        <w:rPr>
          <w:color w:val="212121"/>
        </w:rPr>
        <w:t>Bamigbola, E. A. (2012). Correlation of </w:t>
      </w:r>
      <w:r>
        <w:rPr>
          <w:i/>
          <w:color w:val="212121"/>
        </w:rPr>
        <w:t>in vitro </w:t>
      </w:r>
      <w:r>
        <w:rPr>
          <w:color w:val="212121"/>
        </w:rPr>
        <w:t>dissolution profiles with </w:t>
      </w:r>
      <w:r>
        <w:rPr>
          <w:i/>
          <w:color w:val="212121"/>
        </w:rPr>
        <w:t>in vivo </w:t>
      </w:r>
      <w:r>
        <w:rPr>
          <w:color w:val="212121"/>
        </w:rPr>
        <w:t>pharmacokinetic</w:t>
      </w:r>
      <w:r>
        <w:rPr>
          <w:color w:val="212121"/>
          <w:spacing w:val="-6"/>
        </w:rPr>
        <w:t> </w:t>
      </w:r>
      <w:r>
        <w:rPr>
          <w:color w:val="212121"/>
        </w:rPr>
        <w:t>parameters</w:t>
      </w:r>
      <w:r>
        <w:rPr>
          <w:color w:val="212121"/>
          <w:spacing w:val="-6"/>
        </w:rPr>
        <w:t> </w:t>
      </w:r>
      <w:r>
        <w:rPr>
          <w:color w:val="212121"/>
        </w:rPr>
        <w:t>of</w:t>
      </w:r>
      <w:r>
        <w:rPr>
          <w:color w:val="212121"/>
          <w:spacing w:val="-6"/>
        </w:rPr>
        <w:t> </w:t>
      </w:r>
      <w:r>
        <w:rPr>
          <w:color w:val="212121"/>
        </w:rPr>
        <w:t>some</w:t>
      </w:r>
      <w:r>
        <w:rPr>
          <w:color w:val="212121"/>
          <w:spacing w:val="-7"/>
        </w:rPr>
        <w:t> </w:t>
      </w:r>
      <w:r>
        <w:rPr>
          <w:color w:val="212121"/>
        </w:rPr>
        <w:t>commercial</w:t>
      </w:r>
      <w:r>
        <w:rPr>
          <w:color w:val="212121"/>
          <w:spacing w:val="-4"/>
        </w:rPr>
        <w:t> </w:t>
      </w:r>
      <w:r>
        <w:rPr>
          <w:color w:val="212121"/>
        </w:rPr>
        <w:t>brands</w:t>
      </w:r>
      <w:r>
        <w:rPr>
          <w:color w:val="212121"/>
          <w:spacing w:val="-6"/>
        </w:rPr>
        <w:t> </w:t>
      </w:r>
      <w:r>
        <w:rPr>
          <w:color w:val="212121"/>
        </w:rPr>
        <w:t>of</w:t>
      </w:r>
      <w:r>
        <w:rPr>
          <w:color w:val="212121"/>
          <w:spacing w:val="-6"/>
        </w:rPr>
        <w:t> </w:t>
      </w:r>
      <w:r>
        <w:rPr>
          <w:color w:val="212121"/>
        </w:rPr>
        <w:t>aspirin</w:t>
      </w:r>
      <w:r>
        <w:rPr>
          <w:color w:val="212121"/>
          <w:spacing w:val="-6"/>
        </w:rPr>
        <w:t> </w:t>
      </w:r>
      <w:r>
        <w:rPr>
          <w:color w:val="212121"/>
        </w:rPr>
        <w:t>tablets marketed in Nigeria. INTECH Open Access Publisher.</w:t>
      </w:r>
    </w:p>
    <w:p>
      <w:pPr>
        <w:pStyle w:val="BodyText"/>
        <w:spacing w:before="3"/>
      </w:pPr>
    </w:p>
    <w:p>
      <w:pPr>
        <w:pStyle w:val="BodyText"/>
        <w:spacing w:line="276" w:lineRule="auto"/>
        <w:ind w:left="1100" w:right="1264" w:hanging="720"/>
        <w:jc w:val="both"/>
      </w:pPr>
      <w:r>
        <w:rPr/>
        <w:t>Banahan, B. F. and Kolassa, E. M. (1997). A physician survey on generic drugs and substitution of critical dose medications; </w:t>
      </w:r>
      <w:r>
        <w:rPr>
          <w:i/>
        </w:rPr>
        <w:t>Archive of Internal Medicine</w:t>
      </w:r>
      <w:r>
        <w:rPr/>
        <w:t>, 157, 2080- </w:t>
      </w:r>
      <w:r>
        <w:rPr>
          <w:spacing w:val="-2"/>
        </w:rPr>
        <w:t>2088.</w:t>
      </w:r>
    </w:p>
    <w:p>
      <w:pPr>
        <w:pStyle w:val="BodyText"/>
        <w:spacing w:before="84"/>
      </w:pPr>
    </w:p>
    <w:p>
      <w:pPr>
        <w:pStyle w:val="BodyText"/>
        <w:spacing w:line="276" w:lineRule="auto" w:before="1"/>
        <w:ind w:left="1100" w:right="1268" w:hanging="720"/>
        <w:jc w:val="both"/>
      </w:pPr>
      <w:r>
        <w:rPr>
          <w:color w:val="212121"/>
        </w:rPr>
        <w:t>Bartolomei, M., Bertocchi, P., Antoniella, E., and Rodomonte, A. (2006). Physico- chemical</w:t>
      </w:r>
      <w:r>
        <w:rPr>
          <w:color w:val="212121"/>
          <w:spacing w:val="-1"/>
        </w:rPr>
        <w:t> </w:t>
      </w:r>
      <w:r>
        <w:rPr>
          <w:color w:val="212121"/>
        </w:rPr>
        <w:t>characterisation and</w:t>
      </w:r>
      <w:r>
        <w:rPr>
          <w:color w:val="212121"/>
          <w:spacing w:val="-2"/>
        </w:rPr>
        <w:t> </w:t>
      </w:r>
      <w:r>
        <w:rPr>
          <w:color w:val="212121"/>
        </w:rPr>
        <w:t>intrinsic</w:t>
      </w:r>
      <w:r>
        <w:rPr>
          <w:color w:val="212121"/>
          <w:spacing w:val="-3"/>
        </w:rPr>
        <w:t> </w:t>
      </w:r>
      <w:r>
        <w:rPr>
          <w:color w:val="212121"/>
        </w:rPr>
        <w:t>dissolution</w:t>
      </w:r>
      <w:r>
        <w:rPr>
          <w:color w:val="212121"/>
          <w:spacing w:val="-4"/>
        </w:rPr>
        <w:t> </w:t>
      </w:r>
      <w:r>
        <w:rPr>
          <w:color w:val="212121"/>
        </w:rPr>
        <w:t>studies</w:t>
      </w:r>
      <w:r>
        <w:rPr>
          <w:color w:val="212121"/>
          <w:spacing w:val="-3"/>
        </w:rPr>
        <w:t> </w:t>
      </w:r>
      <w:r>
        <w:rPr>
          <w:color w:val="212121"/>
        </w:rPr>
        <w:t>of</w:t>
      </w:r>
      <w:r>
        <w:rPr>
          <w:color w:val="212121"/>
          <w:spacing w:val="-3"/>
        </w:rPr>
        <w:t> </w:t>
      </w:r>
      <w:r>
        <w:rPr>
          <w:color w:val="212121"/>
        </w:rPr>
        <w:t>a</w:t>
      </w:r>
      <w:r>
        <w:rPr>
          <w:color w:val="212121"/>
          <w:spacing w:val="-3"/>
        </w:rPr>
        <w:t> </w:t>
      </w:r>
      <w:r>
        <w:rPr>
          <w:color w:val="212121"/>
        </w:rPr>
        <w:t>new</w:t>
      </w:r>
      <w:r>
        <w:rPr>
          <w:color w:val="212121"/>
          <w:spacing w:val="-3"/>
        </w:rPr>
        <w:t> </w:t>
      </w:r>
      <w:r>
        <w:rPr>
          <w:color w:val="212121"/>
        </w:rPr>
        <w:t>hydrate form</w:t>
      </w:r>
      <w:r>
        <w:rPr>
          <w:color w:val="212121"/>
          <w:spacing w:val="-2"/>
        </w:rPr>
        <w:t> </w:t>
      </w:r>
      <w:r>
        <w:rPr>
          <w:color w:val="212121"/>
        </w:rPr>
        <w:t>of diclofenac sodium: comparison with anhydrous form; </w:t>
      </w:r>
      <w:r>
        <w:rPr>
          <w:i/>
          <w:color w:val="212121"/>
        </w:rPr>
        <w:t>Journal of Pharmaceutical and Biomedical Analysis</w:t>
      </w:r>
      <w:r>
        <w:rPr>
          <w:color w:val="212121"/>
        </w:rPr>
        <w:t>, </w:t>
      </w:r>
      <w:r>
        <w:rPr>
          <w:i/>
          <w:color w:val="212121"/>
        </w:rPr>
        <w:t>40</w:t>
      </w:r>
      <w:r>
        <w:rPr>
          <w:color w:val="212121"/>
        </w:rPr>
        <w:t>(5), 1105-1113.</w:t>
      </w:r>
    </w:p>
    <w:p>
      <w:pPr>
        <w:pStyle w:val="BodyText"/>
        <w:spacing w:before="84"/>
      </w:pPr>
    </w:p>
    <w:p>
      <w:pPr>
        <w:pStyle w:val="BodyText"/>
        <w:spacing w:line="276" w:lineRule="auto"/>
        <w:ind w:left="1100" w:right="1266" w:hanging="720"/>
        <w:jc w:val="both"/>
      </w:pPr>
      <w:r>
        <w:rPr/>
        <w:t>Behera, S., Subhajit, G., Fahad, A., Saayak, S., and Sritoma, B. (2012). UV-Visible spectrophotometric method development and validation of assay of paracetamol tablet formulation. </w:t>
      </w:r>
      <w:r>
        <w:rPr>
          <w:i/>
        </w:rPr>
        <w:t>Analytical and Bioanalytical Techniques. </w:t>
      </w:r>
      <w:r>
        <w:rPr/>
        <w:t>3(1): 151-154.</w:t>
      </w:r>
    </w:p>
    <w:p>
      <w:pPr>
        <w:pStyle w:val="BodyText"/>
        <w:spacing w:before="82"/>
      </w:pPr>
    </w:p>
    <w:p>
      <w:pPr>
        <w:pStyle w:val="BodyText"/>
        <w:spacing w:line="276" w:lineRule="auto"/>
        <w:ind w:left="1100" w:right="1264" w:hanging="720"/>
        <w:jc w:val="both"/>
      </w:pPr>
      <w:r>
        <w:rPr>
          <w:color w:val="212121"/>
        </w:rPr>
        <w:t>Berger, C. M., Tsinman, O., Voloboy, D., Lipp, D., Stones, S., and Avdeef, A. (2007). Technical note: miniaturized intrinsic dissolution rate (Mini-IDR (TM)) measurement of griseofulvin and carbamazepine. </w:t>
      </w:r>
      <w:r>
        <w:rPr>
          <w:i/>
          <w:color w:val="212121"/>
        </w:rPr>
        <w:t>Dissolution Technology</w:t>
      </w:r>
      <w:r>
        <w:rPr>
          <w:color w:val="212121"/>
        </w:rPr>
        <w:t>, </w:t>
      </w:r>
      <w:r>
        <w:rPr>
          <w:i/>
          <w:color w:val="212121"/>
        </w:rPr>
        <w:t>14</w:t>
      </w:r>
      <w:r>
        <w:rPr>
          <w:color w:val="212121"/>
        </w:rPr>
        <w:t>(4), </w:t>
      </w:r>
      <w:r>
        <w:rPr>
          <w:color w:val="212121"/>
          <w:spacing w:val="-2"/>
        </w:rPr>
        <w:t>39-41.</w:t>
      </w:r>
    </w:p>
    <w:p>
      <w:pPr>
        <w:pStyle w:val="BodyText"/>
        <w:spacing w:before="85"/>
      </w:pPr>
    </w:p>
    <w:p>
      <w:pPr>
        <w:pStyle w:val="BodyText"/>
        <w:spacing w:line="276" w:lineRule="auto"/>
        <w:ind w:left="1100" w:right="1263" w:hanging="720"/>
        <w:jc w:val="both"/>
      </w:pPr>
      <w:r>
        <w:rPr>
          <w:color w:val="212121"/>
        </w:rPr>
        <w:t>Bertinaria, M., Galli, U., Sorba, G., Fruttero, R., Gasco, A., Brenciaglia, M. I., and</w:t>
      </w:r>
      <w:r>
        <w:rPr>
          <w:color w:val="212121"/>
          <w:spacing w:val="80"/>
        </w:rPr>
        <w:t> </w:t>
      </w:r>
      <w:r>
        <w:rPr>
          <w:color w:val="212121"/>
        </w:rPr>
        <w:t>Dubini, F. (2003). Synthesis and anti</w:t>
      </w:r>
      <w:r>
        <w:rPr>
          <w:rFonts w:ascii="Cambria Math" w:hAnsi="Cambria Math"/>
          <w:color w:val="212121"/>
        </w:rPr>
        <w:t>‐</w:t>
      </w:r>
      <w:r>
        <w:rPr>
          <w:color w:val="212121"/>
        </w:rPr>
        <w:t>helicobacter pylori properties of NO</w:t>
      </w:r>
      <w:r>
        <w:rPr>
          <w:rFonts w:ascii="Cambria Math" w:hAnsi="Cambria Math"/>
          <w:color w:val="212121"/>
        </w:rPr>
        <w:t>‐</w:t>
      </w:r>
      <w:r>
        <w:rPr>
          <w:color w:val="212121"/>
        </w:rPr>
        <w:t>donor/metronidazole hybrids and related compounds; </w:t>
      </w:r>
      <w:r>
        <w:rPr>
          <w:i/>
          <w:color w:val="212121"/>
        </w:rPr>
        <w:t>Journal of Drug Development Research</w:t>
      </w:r>
      <w:r>
        <w:rPr>
          <w:color w:val="212121"/>
        </w:rPr>
        <w:t>, </w:t>
      </w:r>
      <w:r>
        <w:rPr>
          <w:i/>
          <w:color w:val="212121"/>
        </w:rPr>
        <w:t>60</w:t>
      </w:r>
      <w:r>
        <w:rPr>
          <w:color w:val="212121"/>
        </w:rPr>
        <w:t>(3), 225-239.</w:t>
      </w:r>
    </w:p>
    <w:p>
      <w:pPr>
        <w:spacing w:after="0" w:line="276" w:lineRule="auto"/>
        <w:jc w:val="both"/>
        <w:sectPr>
          <w:pgSz w:w="12240" w:h="15840"/>
          <w:pgMar w:header="0" w:footer="1068" w:top="1540" w:bottom="1260" w:left="1420" w:right="440"/>
        </w:sectPr>
      </w:pPr>
    </w:p>
    <w:p>
      <w:pPr>
        <w:pStyle w:val="BodyText"/>
        <w:spacing w:before="72"/>
        <w:ind w:left="1100" w:right="1175" w:hanging="720"/>
      </w:pPr>
      <w:r>
        <w:rPr>
          <w:color w:val="212121"/>
        </w:rPr>
        <w:t>Bigio, I. J.,and</w:t>
      </w:r>
      <w:r>
        <w:rPr>
          <w:color w:val="212121"/>
          <w:spacing w:val="40"/>
        </w:rPr>
        <w:t> </w:t>
      </w:r>
      <w:r>
        <w:rPr>
          <w:color w:val="212121"/>
        </w:rPr>
        <w:t>Mourant, J. R. (1997). Ultraviolet and visible spectroscopies for tissue diagnostics:</w:t>
      </w:r>
      <w:r>
        <w:rPr>
          <w:color w:val="212121"/>
          <w:spacing w:val="-6"/>
        </w:rPr>
        <w:t> </w:t>
      </w:r>
      <w:r>
        <w:rPr>
          <w:color w:val="212121"/>
        </w:rPr>
        <w:t>fluorescence</w:t>
      </w:r>
      <w:r>
        <w:rPr>
          <w:color w:val="212121"/>
          <w:spacing w:val="-6"/>
        </w:rPr>
        <w:t> </w:t>
      </w:r>
      <w:r>
        <w:rPr>
          <w:color w:val="212121"/>
        </w:rPr>
        <w:t>spectroscopy</w:t>
      </w:r>
      <w:r>
        <w:rPr>
          <w:color w:val="212121"/>
          <w:spacing w:val="-9"/>
        </w:rPr>
        <w:t> </w:t>
      </w:r>
      <w:r>
        <w:rPr>
          <w:color w:val="212121"/>
        </w:rPr>
        <w:t>and</w:t>
      </w:r>
      <w:r>
        <w:rPr>
          <w:color w:val="212121"/>
          <w:spacing w:val="-6"/>
        </w:rPr>
        <w:t> </w:t>
      </w:r>
      <w:r>
        <w:rPr>
          <w:color w:val="212121"/>
        </w:rPr>
        <w:t>elastic-scattering</w:t>
      </w:r>
      <w:r>
        <w:rPr>
          <w:color w:val="212121"/>
          <w:spacing w:val="-9"/>
        </w:rPr>
        <w:t> </w:t>
      </w:r>
      <w:r>
        <w:rPr>
          <w:color w:val="212121"/>
        </w:rPr>
        <w:t>spectroscopy.</w:t>
      </w:r>
      <w:r>
        <w:rPr>
          <w:color w:val="212121"/>
          <w:spacing w:val="-3"/>
        </w:rPr>
        <w:t> </w:t>
      </w:r>
      <w:r>
        <w:rPr>
          <w:i/>
          <w:color w:val="212121"/>
        </w:rPr>
        <w:t>Physics in medicine and biology</w:t>
      </w:r>
      <w:r>
        <w:rPr>
          <w:color w:val="212121"/>
        </w:rPr>
        <w:t>, </w:t>
      </w:r>
      <w:r>
        <w:rPr>
          <w:i/>
          <w:color w:val="212121"/>
        </w:rPr>
        <w:t>42</w:t>
      </w:r>
      <w:r>
        <w:rPr>
          <w:color w:val="212121"/>
        </w:rPr>
        <w:t>(5), 803.</w:t>
      </w:r>
    </w:p>
    <w:p>
      <w:pPr>
        <w:pStyle w:val="BodyText"/>
        <w:spacing w:before="2"/>
      </w:pPr>
    </w:p>
    <w:p>
      <w:pPr>
        <w:spacing w:before="1"/>
        <w:ind w:left="380" w:right="0" w:firstLine="0"/>
        <w:jc w:val="left"/>
        <w:rPr>
          <w:sz w:val="24"/>
        </w:rPr>
      </w:pPr>
      <w:r>
        <w:rPr>
          <w:color w:val="212121"/>
          <w:sz w:val="24"/>
        </w:rPr>
        <w:t>Birkett,</w:t>
      </w:r>
      <w:r>
        <w:rPr>
          <w:color w:val="212121"/>
          <w:spacing w:val="-4"/>
          <w:sz w:val="24"/>
        </w:rPr>
        <w:t> </w:t>
      </w:r>
      <w:r>
        <w:rPr>
          <w:color w:val="212121"/>
          <w:sz w:val="24"/>
        </w:rPr>
        <w:t>D.</w:t>
      </w:r>
      <w:r>
        <w:rPr>
          <w:color w:val="212121"/>
          <w:spacing w:val="-1"/>
          <w:sz w:val="24"/>
        </w:rPr>
        <w:t> </w:t>
      </w:r>
      <w:r>
        <w:rPr>
          <w:color w:val="212121"/>
          <w:sz w:val="24"/>
        </w:rPr>
        <w:t>J.</w:t>
      </w:r>
      <w:r>
        <w:rPr>
          <w:color w:val="212121"/>
          <w:spacing w:val="-1"/>
          <w:sz w:val="24"/>
        </w:rPr>
        <w:t> </w:t>
      </w:r>
      <w:r>
        <w:rPr>
          <w:color w:val="212121"/>
          <w:sz w:val="24"/>
        </w:rPr>
        <w:t>(2003).</w:t>
      </w:r>
      <w:r>
        <w:rPr>
          <w:color w:val="212121"/>
          <w:spacing w:val="-1"/>
          <w:sz w:val="24"/>
        </w:rPr>
        <w:t> </w:t>
      </w:r>
      <w:r>
        <w:rPr>
          <w:color w:val="212121"/>
          <w:sz w:val="24"/>
        </w:rPr>
        <w:t>Generics-equal</w:t>
      </w:r>
      <w:r>
        <w:rPr>
          <w:color w:val="212121"/>
          <w:spacing w:val="-1"/>
          <w:sz w:val="24"/>
        </w:rPr>
        <w:t> </w:t>
      </w:r>
      <w:r>
        <w:rPr>
          <w:color w:val="212121"/>
          <w:sz w:val="24"/>
        </w:rPr>
        <w:t>or</w:t>
      </w:r>
      <w:r>
        <w:rPr>
          <w:color w:val="212121"/>
          <w:spacing w:val="-2"/>
          <w:sz w:val="24"/>
        </w:rPr>
        <w:t> </w:t>
      </w:r>
      <w:r>
        <w:rPr>
          <w:color w:val="212121"/>
          <w:sz w:val="24"/>
        </w:rPr>
        <w:t>not?; </w:t>
      </w:r>
      <w:r>
        <w:rPr>
          <w:i/>
          <w:color w:val="212121"/>
          <w:sz w:val="24"/>
        </w:rPr>
        <w:t>Australian</w:t>
      </w:r>
      <w:r>
        <w:rPr>
          <w:i/>
          <w:color w:val="212121"/>
          <w:spacing w:val="-1"/>
          <w:sz w:val="24"/>
        </w:rPr>
        <w:t> </w:t>
      </w:r>
      <w:r>
        <w:rPr>
          <w:i/>
          <w:color w:val="212121"/>
          <w:sz w:val="24"/>
        </w:rPr>
        <w:t>Prescriber</w:t>
      </w:r>
      <w:r>
        <w:rPr>
          <w:color w:val="212121"/>
          <w:sz w:val="24"/>
        </w:rPr>
        <w:t>,</w:t>
      </w:r>
      <w:r>
        <w:rPr>
          <w:color w:val="212121"/>
          <w:spacing w:val="-1"/>
          <w:sz w:val="24"/>
        </w:rPr>
        <w:t> </w:t>
      </w:r>
      <w:r>
        <w:rPr>
          <w:i/>
          <w:color w:val="212121"/>
          <w:sz w:val="24"/>
        </w:rPr>
        <w:t>26</w:t>
      </w:r>
      <w:r>
        <w:rPr>
          <w:color w:val="212121"/>
          <w:sz w:val="24"/>
        </w:rPr>
        <w:t>(4),</w:t>
      </w:r>
      <w:r>
        <w:rPr>
          <w:color w:val="212121"/>
          <w:spacing w:val="1"/>
          <w:sz w:val="24"/>
        </w:rPr>
        <w:t> </w:t>
      </w:r>
      <w:r>
        <w:rPr>
          <w:color w:val="212121"/>
          <w:sz w:val="24"/>
        </w:rPr>
        <w:t>85-</w:t>
      </w:r>
      <w:r>
        <w:rPr>
          <w:color w:val="212121"/>
          <w:spacing w:val="-5"/>
          <w:sz w:val="24"/>
        </w:rPr>
        <w:t>86.</w:t>
      </w:r>
    </w:p>
    <w:p>
      <w:pPr>
        <w:pStyle w:val="BodyText"/>
        <w:spacing w:before="124"/>
      </w:pPr>
    </w:p>
    <w:p>
      <w:pPr>
        <w:spacing w:line="276" w:lineRule="auto" w:before="0"/>
        <w:ind w:left="1100" w:right="1269" w:hanging="720"/>
        <w:jc w:val="both"/>
        <w:rPr>
          <w:sz w:val="24"/>
        </w:rPr>
      </w:pPr>
      <w:r>
        <w:rPr>
          <w:sz w:val="24"/>
        </w:rPr>
        <w:t>Boix-Montanes,</w:t>
      </w:r>
      <w:r>
        <w:rPr>
          <w:spacing w:val="-4"/>
          <w:sz w:val="24"/>
        </w:rPr>
        <w:t> </w:t>
      </w:r>
      <w:r>
        <w:rPr>
          <w:sz w:val="24"/>
        </w:rPr>
        <w:t>A.</w:t>
      </w:r>
      <w:r>
        <w:rPr>
          <w:spacing w:val="-4"/>
          <w:sz w:val="24"/>
        </w:rPr>
        <w:t> </w:t>
      </w:r>
      <w:r>
        <w:rPr>
          <w:sz w:val="24"/>
        </w:rPr>
        <w:t>(2011).</w:t>
      </w:r>
      <w:r>
        <w:rPr>
          <w:spacing w:val="-4"/>
          <w:sz w:val="24"/>
        </w:rPr>
        <w:t> </w:t>
      </w:r>
      <w:r>
        <w:rPr>
          <w:sz w:val="24"/>
        </w:rPr>
        <w:t>Relevance</w:t>
      </w:r>
      <w:r>
        <w:rPr>
          <w:spacing w:val="-5"/>
          <w:sz w:val="24"/>
        </w:rPr>
        <w:t> </w:t>
      </w:r>
      <w:r>
        <w:rPr>
          <w:sz w:val="24"/>
        </w:rPr>
        <w:t>of</w:t>
      </w:r>
      <w:r>
        <w:rPr>
          <w:spacing w:val="-4"/>
          <w:sz w:val="24"/>
        </w:rPr>
        <w:t> </w:t>
      </w:r>
      <w:r>
        <w:rPr>
          <w:sz w:val="24"/>
        </w:rPr>
        <w:t>equivalence</w:t>
      </w:r>
      <w:r>
        <w:rPr>
          <w:spacing w:val="-5"/>
          <w:sz w:val="24"/>
        </w:rPr>
        <w:t> </w:t>
      </w:r>
      <w:r>
        <w:rPr>
          <w:sz w:val="24"/>
        </w:rPr>
        <w:t>assessment</w:t>
      </w:r>
      <w:r>
        <w:rPr>
          <w:spacing w:val="-4"/>
          <w:sz w:val="24"/>
        </w:rPr>
        <w:t> </w:t>
      </w:r>
      <w:r>
        <w:rPr>
          <w:sz w:val="24"/>
        </w:rPr>
        <w:t>of</w:t>
      </w:r>
      <w:r>
        <w:rPr>
          <w:spacing w:val="-4"/>
          <w:sz w:val="24"/>
        </w:rPr>
        <w:t> </w:t>
      </w:r>
      <w:r>
        <w:rPr>
          <w:sz w:val="24"/>
        </w:rPr>
        <w:t>topical</w:t>
      </w:r>
      <w:r>
        <w:rPr>
          <w:spacing w:val="-4"/>
          <w:sz w:val="24"/>
        </w:rPr>
        <w:t> </w:t>
      </w:r>
      <w:r>
        <w:rPr>
          <w:sz w:val="24"/>
        </w:rPr>
        <w:t>products</w:t>
      </w:r>
      <w:r>
        <w:rPr>
          <w:spacing w:val="-4"/>
          <w:sz w:val="24"/>
        </w:rPr>
        <w:t> </w:t>
      </w:r>
      <w:r>
        <w:rPr>
          <w:sz w:val="24"/>
        </w:rPr>
        <w:t>based on the dermatopharmacokinetics approach; </w:t>
      </w:r>
      <w:r>
        <w:rPr>
          <w:i/>
          <w:sz w:val="24"/>
        </w:rPr>
        <w:t>European Journal of Pharmaceutical Sciences, </w:t>
      </w:r>
      <w:r>
        <w:rPr>
          <w:sz w:val="24"/>
        </w:rPr>
        <w:t>42 (3), 173-9.</w:t>
      </w:r>
    </w:p>
    <w:p>
      <w:pPr>
        <w:pStyle w:val="BodyText"/>
        <w:spacing w:before="85"/>
      </w:pPr>
    </w:p>
    <w:p>
      <w:pPr>
        <w:pStyle w:val="BodyText"/>
        <w:spacing w:line="276" w:lineRule="auto"/>
        <w:ind w:left="1100" w:right="1269" w:hanging="720"/>
        <w:jc w:val="both"/>
      </w:pPr>
      <w:r>
        <w:rPr>
          <w:color w:val="212121"/>
        </w:rPr>
        <w:t>Bombale, M. V., Kadam, S. S., and Dhaneshwar, S. R. (1997). Simultaneous spectrophotometric estimation of Ciprofloxacin and Tinidazole from a combined dosage form. </w:t>
      </w:r>
      <w:r>
        <w:rPr>
          <w:i/>
          <w:color w:val="212121"/>
        </w:rPr>
        <w:t>Indian Journal of Pharmaceutical Sciences</w:t>
      </w:r>
      <w:r>
        <w:rPr>
          <w:color w:val="212121"/>
        </w:rPr>
        <w:t>, </w:t>
      </w:r>
      <w:r>
        <w:rPr>
          <w:i/>
          <w:color w:val="212121"/>
        </w:rPr>
        <w:t>59</w:t>
      </w:r>
      <w:r>
        <w:rPr>
          <w:color w:val="212121"/>
        </w:rPr>
        <w:t>(5), 265.</w:t>
      </w:r>
    </w:p>
    <w:p>
      <w:pPr>
        <w:pStyle w:val="BodyText"/>
        <w:spacing w:before="85"/>
      </w:pPr>
    </w:p>
    <w:p>
      <w:pPr>
        <w:pStyle w:val="BodyText"/>
        <w:spacing w:line="276" w:lineRule="auto"/>
        <w:ind w:left="1100" w:right="1271" w:hanging="720"/>
        <w:jc w:val="both"/>
      </w:pPr>
      <w:r>
        <w:rPr>
          <w:color w:val="212121"/>
        </w:rPr>
        <w:t>Brahmankar, D. M., and</w:t>
      </w:r>
      <w:r>
        <w:rPr>
          <w:color w:val="212121"/>
          <w:spacing w:val="40"/>
        </w:rPr>
        <w:t> </w:t>
      </w:r>
      <w:r>
        <w:rPr>
          <w:color w:val="212121"/>
        </w:rPr>
        <w:t>Jaiswal, S. B. (2009). Biopharmaceutics and Pharmacokinetics: Pharmacokinetics. </w:t>
      </w:r>
      <w:r>
        <w:rPr>
          <w:i/>
          <w:color w:val="212121"/>
        </w:rPr>
        <w:t>Vallabh Prakashan Journal</w:t>
      </w:r>
      <w:r>
        <w:rPr>
          <w:color w:val="212121"/>
        </w:rPr>
        <w:t>, 399-401.</w:t>
      </w:r>
    </w:p>
    <w:p>
      <w:pPr>
        <w:pStyle w:val="BodyText"/>
        <w:spacing w:before="83"/>
      </w:pPr>
    </w:p>
    <w:p>
      <w:pPr>
        <w:spacing w:line="276" w:lineRule="auto" w:before="0"/>
        <w:ind w:left="1100" w:right="1268" w:hanging="720"/>
        <w:jc w:val="both"/>
        <w:rPr>
          <w:sz w:val="24"/>
        </w:rPr>
      </w:pPr>
      <w:r>
        <w:rPr>
          <w:color w:val="212121"/>
          <w:sz w:val="24"/>
        </w:rPr>
        <w:t>Brancha, S. K. and Hutt, A. J. (2012). 13 Regulatory perspectives on the development of new stereoisomeric drugs; </w:t>
      </w:r>
      <w:r>
        <w:rPr>
          <w:i/>
          <w:color w:val="212121"/>
          <w:sz w:val="24"/>
        </w:rPr>
        <w:t>Drug Stereochemistry: Analytical Methods and Pharmacology</w:t>
      </w:r>
      <w:r>
        <w:rPr>
          <w:color w:val="212121"/>
          <w:sz w:val="24"/>
        </w:rPr>
        <w:t>, 240.</w:t>
      </w:r>
    </w:p>
    <w:p>
      <w:pPr>
        <w:pStyle w:val="BodyText"/>
        <w:spacing w:before="85"/>
      </w:pPr>
    </w:p>
    <w:p>
      <w:pPr>
        <w:spacing w:line="276" w:lineRule="auto" w:before="0"/>
        <w:ind w:left="1280" w:right="1267" w:hanging="900"/>
        <w:jc w:val="both"/>
        <w:rPr>
          <w:sz w:val="24"/>
        </w:rPr>
      </w:pPr>
      <w:r>
        <w:rPr>
          <w:sz w:val="24"/>
        </w:rPr>
        <w:t>British Pharmacopoeia (2007). Volume I, II &amp; III Monographs: Medicinal and Pharmaceutical</w:t>
      </w:r>
      <w:r>
        <w:rPr>
          <w:spacing w:val="43"/>
          <w:sz w:val="24"/>
        </w:rPr>
        <w:t> </w:t>
      </w:r>
      <w:r>
        <w:rPr>
          <w:sz w:val="24"/>
        </w:rPr>
        <w:t>Substances</w:t>
      </w:r>
      <w:r>
        <w:rPr>
          <w:spacing w:val="47"/>
          <w:sz w:val="24"/>
        </w:rPr>
        <w:t> </w:t>
      </w:r>
      <w:r>
        <w:rPr>
          <w:i/>
          <w:sz w:val="24"/>
        </w:rPr>
        <w:t>Tinidazole.</w:t>
      </w:r>
      <w:r>
        <w:rPr>
          <w:i/>
          <w:spacing w:val="44"/>
          <w:sz w:val="24"/>
        </w:rPr>
        <w:t> </w:t>
      </w:r>
      <w:r>
        <w:rPr>
          <w:i/>
          <w:sz w:val="24"/>
        </w:rPr>
        <w:t>Her</w:t>
      </w:r>
      <w:r>
        <w:rPr>
          <w:i/>
          <w:spacing w:val="44"/>
          <w:sz w:val="24"/>
        </w:rPr>
        <w:t> </w:t>
      </w:r>
      <w:r>
        <w:rPr>
          <w:i/>
          <w:sz w:val="24"/>
        </w:rPr>
        <w:t>majesty</w:t>
      </w:r>
      <w:r>
        <w:rPr>
          <w:i/>
          <w:spacing w:val="43"/>
          <w:sz w:val="24"/>
        </w:rPr>
        <w:t> </w:t>
      </w:r>
      <w:r>
        <w:rPr>
          <w:i/>
          <w:sz w:val="24"/>
        </w:rPr>
        <w:t>stationary</w:t>
      </w:r>
      <w:r>
        <w:rPr>
          <w:i/>
          <w:spacing w:val="43"/>
          <w:sz w:val="24"/>
        </w:rPr>
        <w:t> </w:t>
      </w:r>
      <w:r>
        <w:rPr>
          <w:i/>
          <w:sz w:val="24"/>
        </w:rPr>
        <w:t>office,</w:t>
      </w:r>
      <w:r>
        <w:rPr>
          <w:i/>
          <w:spacing w:val="44"/>
          <w:sz w:val="24"/>
        </w:rPr>
        <w:t> </w:t>
      </w:r>
      <w:r>
        <w:rPr>
          <w:i/>
          <w:spacing w:val="-2"/>
          <w:sz w:val="24"/>
        </w:rPr>
        <w:t>London</w:t>
      </w:r>
      <w:r>
        <w:rPr>
          <w:spacing w:val="-2"/>
          <w:sz w:val="24"/>
        </w:rPr>
        <w:t>.</w:t>
      </w:r>
    </w:p>
    <w:p>
      <w:pPr>
        <w:pStyle w:val="BodyText"/>
        <w:spacing w:line="275" w:lineRule="exact"/>
        <w:ind w:left="1280"/>
      </w:pPr>
      <w:r>
        <w:rPr/>
        <w:t>PP.</w:t>
      </w:r>
      <w:r>
        <w:rPr>
          <w:spacing w:val="-1"/>
        </w:rPr>
        <w:t> </w:t>
      </w:r>
      <w:r>
        <w:rPr/>
        <w:t>1357-</w:t>
      </w:r>
      <w:r>
        <w:rPr>
          <w:spacing w:val="-2"/>
        </w:rPr>
        <w:t>1358.</w:t>
      </w:r>
    </w:p>
    <w:p>
      <w:pPr>
        <w:pStyle w:val="BodyText"/>
        <w:spacing w:before="127"/>
      </w:pPr>
    </w:p>
    <w:p>
      <w:pPr>
        <w:spacing w:line="276" w:lineRule="auto" w:before="1"/>
        <w:ind w:left="1280" w:right="1265" w:hanging="840"/>
        <w:jc w:val="both"/>
        <w:rPr>
          <w:sz w:val="24"/>
        </w:rPr>
      </w:pPr>
      <w:r>
        <w:rPr>
          <w:sz w:val="24"/>
        </w:rPr>
        <w:t>British Pharmacopoeia (2009). Volume I, II &amp; III Monographs: Medicinal and Pharmaceutical</w:t>
      </w:r>
      <w:r>
        <w:rPr>
          <w:spacing w:val="-4"/>
          <w:sz w:val="24"/>
        </w:rPr>
        <w:t> </w:t>
      </w:r>
      <w:r>
        <w:rPr>
          <w:sz w:val="24"/>
        </w:rPr>
        <w:t>Substances</w:t>
      </w:r>
      <w:r>
        <w:rPr>
          <w:spacing w:val="-4"/>
          <w:sz w:val="24"/>
        </w:rPr>
        <w:t> </w:t>
      </w:r>
      <w:r>
        <w:rPr>
          <w:sz w:val="24"/>
        </w:rPr>
        <w:t>tinidazole.</w:t>
      </w:r>
      <w:r>
        <w:rPr>
          <w:spacing w:val="-3"/>
          <w:sz w:val="24"/>
        </w:rPr>
        <w:t> </w:t>
      </w:r>
      <w:r>
        <w:rPr>
          <w:i/>
          <w:sz w:val="24"/>
        </w:rPr>
        <w:t>Her</w:t>
      </w:r>
      <w:r>
        <w:rPr>
          <w:i/>
          <w:spacing w:val="-4"/>
          <w:sz w:val="24"/>
        </w:rPr>
        <w:t> </w:t>
      </w:r>
      <w:r>
        <w:rPr>
          <w:i/>
          <w:sz w:val="24"/>
        </w:rPr>
        <w:t>majesty</w:t>
      </w:r>
      <w:r>
        <w:rPr>
          <w:i/>
          <w:spacing w:val="-5"/>
          <w:sz w:val="24"/>
        </w:rPr>
        <w:t> </w:t>
      </w:r>
      <w:r>
        <w:rPr>
          <w:i/>
          <w:sz w:val="24"/>
        </w:rPr>
        <w:t>stationary</w:t>
      </w:r>
      <w:r>
        <w:rPr>
          <w:i/>
          <w:spacing w:val="-4"/>
          <w:sz w:val="24"/>
        </w:rPr>
        <w:t> </w:t>
      </w:r>
      <w:r>
        <w:rPr>
          <w:i/>
          <w:sz w:val="24"/>
        </w:rPr>
        <w:t>office,</w:t>
      </w:r>
      <w:r>
        <w:rPr>
          <w:i/>
          <w:spacing w:val="-4"/>
          <w:sz w:val="24"/>
        </w:rPr>
        <w:t> </w:t>
      </w:r>
      <w:r>
        <w:rPr>
          <w:i/>
          <w:sz w:val="24"/>
        </w:rPr>
        <w:t>London</w:t>
      </w:r>
      <w:r>
        <w:rPr>
          <w:sz w:val="24"/>
        </w:rPr>
        <w:t>.</w:t>
      </w:r>
      <w:r>
        <w:rPr>
          <w:spacing w:val="-4"/>
          <w:sz w:val="24"/>
        </w:rPr>
        <w:t> </w:t>
      </w:r>
      <w:r>
        <w:rPr>
          <w:sz w:val="24"/>
        </w:rPr>
        <w:t>PP. </w:t>
      </w:r>
      <w:r>
        <w:rPr>
          <w:spacing w:val="-2"/>
          <w:sz w:val="24"/>
        </w:rPr>
        <w:t>4317-6586.</w:t>
      </w:r>
    </w:p>
    <w:p>
      <w:pPr>
        <w:pStyle w:val="BodyText"/>
        <w:spacing w:before="82"/>
      </w:pPr>
    </w:p>
    <w:p>
      <w:pPr>
        <w:spacing w:line="276" w:lineRule="auto" w:before="0"/>
        <w:ind w:left="1280" w:right="1267" w:hanging="900"/>
        <w:jc w:val="both"/>
        <w:rPr>
          <w:sz w:val="24"/>
        </w:rPr>
      </w:pPr>
      <w:r>
        <w:rPr>
          <w:sz w:val="24"/>
        </w:rPr>
        <w:t>Cardot, J.M., Beyssac, E., and Alric M (2007). </w:t>
      </w:r>
      <w:r>
        <w:rPr>
          <w:i/>
          <w:sz w:val="24"/>
        </w:rPr>
        <w:t>In vitro-In vivo </w:t>
      </w:r>
      <w:r>
        <w:rPr>
          <w:sz w:val="24"/>
        </w:rPr>
        <w:t>correlation; </w:t>
      </w:r>
      <w:r>
        <w:rPr>
          <w:i/>
          <w:sz w:val="24"/>
        </w:rPr>
        <w:t>Importance of dissolution in IVIVC </w:t>
      </w:r>
      <w:r>
        <w:rPr>
          <w:sz w:val="24"/>
        </w:rPr>
        <w:t>Dissolution Technologies 14(1) 15.</w:t>
      </w:r>
    </w:p>
    <w:p>
      <w:pPr>
        <w:pStyle w:val="BodyText"/>
        <w:spacing w:before="86"/>
      </w:pPr>
    </w:p>
    <w:p>
      <w:pPr>
        <w:pStyle w:val="BodyText"/>
        <w:spacing w:line="276" w:lineRule="auto"/>
        <w:ind w:left="1100" w:right="1267" w:hanging="720"/>
        <w:jc w:val="both"/>
      </w:pPr>
      <w:r>
        <w:rPr>
          <w:color w:val="212121"/>
        </w:rPr>
        <w:t>Carlin, L. Y. A. and Hussain, A. S. (2000). Feasibility studies of intrinsic dissolution rate as</w:t>
      </w:r>
      <w:r>
        <w:rPr>
          <w:color w:val="212121"/>
          <w:spacing w:val="-4"/>
        </w:rPr>
        <w:t> </w:t>
      </w:r>
      <w:r>
        <w:rPr>
          <w:color w:val="212121"/>
        </w:rPr>
        <w:t>an</w:t>
      </w:r>
      <w:r>
        <w:rPr>
          <w:color w:val="212121"/>
          <w:spacing w:val="-4"/>
        </w:rPr>
        <w:t> </w:t>
      </w:r>
      <w:r>
        <w:rPr>
          <w:color w:val="212121"/>
        </w:rPr>
        <w:t>alternative</w:t>
      </w:r>
      <w:r>
        <w:rPr>
          <w:color w:val="212121"/>
          <w:spacing w:val="-5"/>
        </w:rPr>
        <w:t> </w:t>
      </w:r>
      <w:r>
        <w:rPr>
          <w:color w:val="212121"/>
        </w:rPr>
        <w:t>method</w:t>
      </w:r>
      <w:r>
        <w:rPr>
          <w:color w:val="212121"/>
          <w:spacing w:val="-2"/>
        </w:rPr>
        <w:t> </w:t>
      </w:r>
      <w:r>
        <w:rPr>
          <w:color w:val="212121"/>
        </w:rPr>
        <w:t>to</w:t>
      </w:r>
      <w:r>
        <w:rPr>
          <w:color w:val="212121"/>
          <w:spacing w:val="-4"/>
        </w:rPr>
        <w:t> </w:t>
      </w:r>
      <w:r>
        <w:rPr>
          <w:color w:val="212121"/>
        </w:rPr>
        <w:t>determine</w:t>
      </w:r>
      <w:r>
        <w:rPr>
          <w:color w:val="212121"/>
          <w:spacing w:val="-3"/>
        </w:rPr>
        <w:t> </w:t>
      </w:r>
      <w:r>
        <w:rPr>
          <w:color w:val="212121"/>
        </w:rPr>
        <w:t>BCS</w:t>
      </w:r>
      <w:r>
        <w:rPr>
          <w:color w:val="212121"/>
          <w:spacing w:val="-4"/>
        </w:rPr>
        <w:t> </w:t>
      </w:r>
      <w:r>
        <w:rPr>
          <w:color w:val="212121"/>
        </w:rPr>
        <w:t>solubility</w:t>
      </w:r>
      <w:r>
        <w:rPr>
          <w:color w:val="212121"/>
          <w:spacing w:val="-9"/>
        </w:rPr>
        <w:t> </w:t>
      </w:r>
      <w:r>
        <w:rPr>
          <w:color w:val="212121"/>
        </w:rPr>
        <w:t>membership;</w:t>
      </w:r>
      <w:r>
        <w:rPr>
          <w:color w:val="212121"/>
          <w:spacing w:val="-2"/>
        </w:rPr>
        <w:t> </w:t>
      </w:r>
      <w:r>
        <w:rPr>
          <w:color w:val="212121"/>
        </w:rPr>
        <w:t>In </w:t>
      </w:r>
      <w:r>
        <w:rPr>
          <w:i/>
          <w:color w:val="212121"/>
        </w:rPr>
        <w:t>AAPS</w:t>
      </w:r>
      <w:r>
        <w:rPr>
          <w:i/>
          <w:color w:val="212121"/>
          <w:spacing w:val="-3"/>
        </w:rPr>
        <w:t> </w:t>
      </w:r>
      <w:r>
        <w:rPr>
          <w:i/>
          <w:color w:val="212121"/>
        </w:rPr>
        <w:t>annual </w:t>
      </w:r>
      <w:r>
        <w:rPr>
          <w:i/>
          <w:color w:val="212121"/>
          <w:spacing w:val="-2"/>
        </w:rPr>
        <w:t>meeting</w:t>
      </w:r>
      <w:r>
        <w:rPr>
          <w:color w:val="212121"/>
          <w:spacing w:val="-2"/>
        </w:rPr>
        <w:t>.</w:t>
      </w:r>
    </w:p>
    <w:p>
      <w:pPr>
        <w:pStyle w:val="BodyText"/>
        <w:spacing w:before="82"/>
      </w:pPr>
    </w:p>
    <w:p>
      <w:pPr>
        <w:pStyle w:val="BodyText"/>
        <w:spacing w:line="276" w:lineRule="auto"/>
        <w:ind w:left="1100" w:right="1267" w:hanging="720"/>
        <w:jc w:val="both"/>
      </w:pPr>
      <w:r>
        <w:rPr/>
        <w:t>Central Drugs Standard Control Organization (CDSCO) (2005). Guidelines for bioavailability and bioequivalence studies. Directorate General of Health Services, Ministry</w:t>
      </w:r>
      <w:r>
        <w:rPr>
          <w:spacing w:val="52"/>
        </w:rPr>
        <w:t>  </w:t>
      </w:r>
      <w:r>
        <w:rPr/>
        <w:t>of</w:t>
      </w:r>
      <w:r>
        <w:rPr>
          <w:spacing w:val="55"/>
        </w:rPr>
        <w:t>  </w:t>
      </w:r>
      <w:r>
        <w:rPr/>
        <w:t>Health</w:t>
      </w:r>
      <w:r>
        <w:rPr>
          <w:spacing w:val="55"/>
        </w:rPr>
        <w:t>  </w:t>
      </w:r>
      <w:r>
        <w:rPr/>
        <w:t>and</w:t>
      </w:r>
      <w:r>
        <w:rPr>
          <w:spacing w:val="55"/>
        </w:rPr>
        <w:t>  </w:t>
      </w:r>
      <w:r>
        <w:rPr/>
        <w:t>Family</w:t>
      </w:r>
      <w:r>
        <w:rPr>
          <w:spacing w:val="52"/>
        </w:rPr>
        <w:t>  </w:t>
      </w:r>
      <w:r>
        <w:rPr/>
        <w:t>Welfare,</w:t>
      </w:r>
      <w:r>
        <w:rPr>
          <w:spacing w:val="55"/>
        </w:rPr>
        <w:t>  </w:t>
      </w:r>
      <w:r>
        <w:rPr/>
        <w:t>Government</w:t>
      </w:r>
      <w:r>
        <w:rPr>
          <w:spacing w:val="55"/>
        </w:rPr>
        <w:t>  </w:t>
      </w:r>
      <w:r>
        <w:rPr/>
        <w:t>of</w:t>
      </w:r>
      <w:r>
        <w:rPr>
          <w:spacing w:val="55"/>
        </w:rPr>
        <w:t>  </w:t>
      </w:r>
      <w:r>
        <w:rPr/>
        <w:t>India,</w:t>
      </w:r>
      <w:r>
        <w:rPr>
          <w:spacing w:val="54"/>
        </w:rPr>
        <w:t>  </w:t>
      </w:r>
      <w:r>
        <w:rPr>
          <w:spacing w:val="-5"/>
        </w:rPr>
        <w:t>New</w:t>
      </w:r>
    </w:p>
    <w:p>
      <w:pPr>
        <w:spacing w:after="0" w:line="276" w:lineRule="auto"/>
        <w:jc w:val="both"/>
        <w:sectPr>
          <w:pgSz w:w="12240" w:h="15840"/>
          <w:pgMar w:header="0" w:footer="1068" w:top="1540" w:bottom="1260" w:left="1420" w:right="440"/>
        </w:sectPr>
      </w:pPr>
    </w:p>
    <w:p>
      <w:pPr>
        <w:pStyle w:val="BodyText"/>
        <w:spacing w:before="74"/>
        <w:ind w:left="1100"/>
      </w:pPr>
      <w:r>
        <w:rPr/>
        <w:t>Delhi.</w:t>
      </w:r>
      <w:r>
        <w:rPr>
          <w:spacing w:val="-3"/>
        </w:rPr>
        <w:t> </w:t>
      </w:r>
      <w:r>
        <w:rPr/>
        <w:t>Available</w:t>
      </w:r>
      <w:r>
        <w:rPr>
          <w:spacing w:val="-2"/>
        </w:rPr>
        <w:t> from:</w:t>
      </w:r>
    </w:p>
    <w:p>
      <w:pPr>
        <w:spacing w:before="41"/>
        <w:ind w:left="1100" w:right="0" w:firstLine="0"/>
        <w:jc w:val="left"/>
        <w:rPr>
          <w:i/>
          <w:sz w:val="24"/>
        </w:rPr>
      </w:pPr>
      <w:hyperlink r:id="rId24">
        <w:r>
          <w:rPr>
            <w:i/>
            <w:spacing w:val="-2"/>
            <w:sz w:val="24"/>
          </w:rPr>
          <w:t>http://cdsco.nic.in/html/BE%20Guidelines%20Draft%20Ver10%20March%2016,</w:t>
        </w:r>
      </w:hyperlink>
    </w:p>
    <w:p>
      <w:pPr>
        <w:spacing w:before="41"/>
        <w:ind w:left="1100" w:right="0" w:firstLine="0"/>
        <w:jc w:val="left"/>
        <w:rPr>
          <w:i/>
          <w:sz w:val="24"/>
        </w:rPr>
      </w:pPr>
      <w:hyperlink r:id="rId24">
        <w:r>
          <w:rPr>
            <w:i/>
            <w:sz w:val="24"/>
          </w:rPr>
          <w:t>%</w:t>
        </w:r>
      </w:hyperlink>
      <w:r>
        <w:rPr>
          <w:i/>
          <w:spacing w:val="-1"/>
          <w:sz w:val="24"/>
        </w:rPr>
        <w:t> </w:t>
      </w:r>
      <w:r>
        <w:rPr>
          <w:i/>
          <w:spacing w:val="-2"/>
          <w:sz w:val="24"/>
        </w:rPr>
        <w:t>2005.pdf</w:t>
      </w:r>
    </w:p>
    <w:p>
      <w:pPr>
        <w:pStyle w:val="BodyText"/>
        <w:spacing w:before="127"/>
        <w:rPr>
          <w:i/>
        </w:rPr>
      </w:pPr>
    </w:p>
    <w:p>
      <w:pPr>
        <w:spacing w:line="276" w:lineRule="auto" w:before="0"/>
        <w:ind w:left="1100" w:right="1266" w:hanging="720"/>
        <w:jc w:val="both"/>
        <w:rPr>
          <w:sz w:val="24"/>
        </w:rPr>
      </w:pPr>
      <w:r>
        <w:rPr>
          <w:color w:val="212121"/>
          <w:sz w:val="24"/>
        </w:rPr>
        <w:t>Chadha, R., Venisetty, P. K., and Prasanth, S. (2003). Medicinal Significance of Nitroimidazoles-Some Recent Advances. </w:t>
      </w:r>
      <w:r>
        <w:rPr>
          <w:i/>
          <w:color w:val="212121"/>
          <w:sz w:val="24"/>
        </w:rPr>
        <w:t>Journal of Scientitic &amp; Industrial Research</w:t>
      </w:r>
      <w:r>
        <w:rPr>
          <w:color w:val="212121"/>
          <w:sz w:val="24"/>
        </w:rPr>
        <w:t>, </w:t>
      </w:r>
      <w:r>
        <w:rPr>
          <w:i/>
          <w:color w:val="212121"/>
          <w:sz w:val="24"/>
        </w:rPr>
        <w:t>62</w:t>
      </w:r>
      <w:r>
        <w:rPr>
          <w:color w:val="212121"/>
          <w:sz w:val="24"/>
        </w:rPr>
        <w:t>, 659-665.</w:t>
      </w:r>
    </w:p>
    <w:p>
      <w:pPr>
        <w:pStyle w:val="BodyText"/>
        <w:spacing w:before="82"/>
      </w:pPr>
    </w:p>
    <w:p>
      <w:pPr>
        <w:spacing w:line="278" w:lineRule="auto" w:before="1"/>
        <w:ind w:left="1100" w:right="1263" w:hanging="720"/>
        <w:jc w:val="both"/>
        <w:rPr>
          <w:sz w:val="24"/>
        </w:rPr>
      </w:pPr>
      <w:r>
        <w:rPr>
          <w:sz w:val="24"/>
        </w:rPr>
        <w:t>Chen, M. L. and Lesko, L. J. (2001). Individual bioequivalence revisited, </w:t>
      </w:r>
      <w:r>
        <w:rPr>
          <w:i/>
          <w:sz w:val="24"/>
        </w:rPr>
        <w:t>Clinical Pharmacokinetics</w:t>
      </w:r>
      <w:r>
        <w:rPr>
          <w:sz w:val="24"/>
        </w:rPr>
        <w:t>, 40 (10), 701-6.</w:t>
      </w:r>
    </w:p>
    <w:p>
      <w:pPr>
        <w:pStyle w:val="BodyText"/>
        <w:spacing w:before="80"/>
      </w:pPr>
    </w:p>
    <w:p>
      <w:pPr>
        <w:spacing w:line="276" w:lineRule="auto" w:before="0"/>
        <w:ind w:left="1100" w:right="1267" w:hanging="720"/>
        <w:jc w:val="both"/>
        <w:rPr>
          <w:sz w:val="24"/>
        </w:rPr>
      </w:pPr>
      <w:r>
        <w:rPr>
          <w:color w:val="212121"/>
          <w:sz w:val="24"/>
        </w:rPr>
        <w:t>Chen, Y., Zhang, G. G., Liu, L. and Porter, W. (Eds.). (2009). </w:t>
      </w:r>
      <w:r>
        <w:rPr>
          <w:i/>
          <w:color w:val="212121"/>
          <w:sz w:val="24"/>
        </w:rPr>
        <w:t>Developing solid oral dosage forms: pharmaceutical theory and practice</w:t>
      </w:r>
      <w:r>
        <w:rPr>
          <w:color w:val="212121"/>
          <w:sz w:val="24"/>
        </w:rPr>
        <w:t>. Academic press. </w:t>
      </w:r>
      <w:r>
        <w:rPr>
          <w:sz w:val="24"/>
        </w:rPr>
        <w:t>PP. 727-742.</w:t>
      </w:r>
    </w:p>
    <w:p>
      <w:pPr>
        <w:pStyle w:val="BodyText"/>
        <w:spacing w:before="83"/>
      </w:pPr>
    </w:p>
    <w:p>
      <w:pPr>
        <w:pStyle w:val="BodyText"/>
        <w:spacing w:line="276" w:lineRule="auto"/>
        <w:ind w:left="1100" w:right="1265" w:hanging="660"/>
        <w:jc w:val="both"/>
      </w:pPr>
      <w:r>
        <w:rPr>
          <w:color w:val="212121"/>
        </w:rPr>
        <w:t>Daharwal, S. J., SARAF, S., and Saraf, S. (2008). Spectrophotometric Methods For Estimation Of Ofloxacin and Tinidazole From Tablet Dosage Form. </w:t>
      </w:r>
      <w:r>
        <w:rPr>
          <w:i/>
          <w:color w:val="212121"/>
        </w:rPr>
        <w:t>The Indian pharmacist</w:t>
      </w:r>
      <w:r>
        <w:rPr>
          <w:color w:val="212121"/>
        </w:rPr>
        <w:t>, </w:t>
      </w:r>
      <w:r>
        <w:rPr>
          <w:i/>
          <w:color w:val="212121"/>
        </w:rPr>
        <w:t>7</w:t>
      </w:r>
      <w:r>
        <w:rPr>
          <w:color w:val="212121"/>
        </w:rPr>
        <w:t>(69), 73-79.</w:t>
      </w:r>
    </w:p>
    <w:p>
      <w:pPr>
        <w:pStyle w:val="BodyText"/>
        <w:spacing w:before="84"/>
      </w:pPr>
    </w:p>
    <w:p>
      <w:pPr>
        <w:spacing w:line="276" w:lineRule="auto" w:before="1"/>
        <w:ind w:left="1280" w:right="0" w:hanging="900"/>
        <w:jc w:val="left"/>
        <w:rPr>
          <w:i/>
          <w:sz w:val="24"/>
        </w:rPr>
      </w:pPr>
      <w:r>
        <w:rPr>
          <w:sz w:val="24"/>
        </w:rPr>
        <w:t>Dakkuri, A., and Shah, A. C. (1982). Dissolution methodology: An overview. </w:t>
      </w:r>
      <w:r>
        <w:rPr>
          <w:i/>
          <w:sz w:val="24"/>
        </w:rPr>
        <w:t>Journal of Pharmaceutical Technology; pp 28 -32.</w:t>
      </w:r>
    </w:p>
    <w:p>
      <w:pPr>
        <w:pStyle w:val="BodyText"/>
        <w:spacing w:before="85"/>
        <w:rPr>
          <w:i/>
        </w:rPr>
      </w:pPr>
    </w:p>
    <w:p>
      <w:pPr>
        <w:pStyle w:val="BodyText"/>
        <w:spacing w:line="276" w:lineRule="auto"/>
        <w:ind w:left="1100" w:right="1274" w:hanging="720"/>
        <w:jc w:val="both"/>
      </w:pPr>
      <w:r>
        <w:rPr>
          <w:color w:val="212121"/>
        </w:rPr>
        <w:t>Darling, A. (2002). Validation of biopharmaceutical purification processes for virus clearance evaluation. </w:t>
      </w:r>
      <w:r>
        <w:rPr>
          <w:i/>
          <w:color w:val="212121"/>
        </w:rPr>
        <w:t>Molecular Biotechnology</w:t>
      </w:r>
      <w:r>
        <w:rPr>
          <w:color w:val="212121"/>
        </w:rPr>
        <w:t>, </w:t>
      </w:r>
      <w:r>
        <w:rPr>
          <w:i/>
          <w:color w:val="212121"/>
        </w:rPr>
        <w:t>21</w:t>
      </w:r>
      <w:r>
        <w:rPr>
          <w:color w:val="212121"/>
        </w:rPr>
        <w:t>(1), 57-83.</w:t>
      </w:r>
    </w:p>
    <w:p>
      <w:pPr>
        <w:pStyle w:val="BodyText"/>
        <w:spacing w:before="83"/>
      </w:pPr>
    </w:p>
    <w:p>
      <w:pPr>
        <w:spacing w:line="276" w:lineRule="auto" w:before="0"/>
        <w:ind w:left="1100" w:right="1269" w:hanging="720"/>
        <w:jc w:val="both"/>
        <w:rPr>
          <w:sz w:val="24"/>
        </w:rPr>
      </w:pPr>
      <w:r>
        <w:rPr>
          <w:sz w:val="24"/>
        </w:rPr>
        <w:t>David, G. W. (2000). </w:t>
      </w:r>
      <w:r>
        <w:rPr>
          <w:i/>
          <w:sz w:val="24"/>
        </w:rPr>
        <w:t>Pharmaceutical analysis. </w:t>
      </w:r>
      <w:r>
        <w:rPr>
          <w:sz w:val="24"/>
        </w:rPr>
        <w:t>Churchill Livingstone, Edinburgh, London, PP. 76 – 91</w:t>
      </w:r>
    </w:p>
    <w:p>
      <w:pPr>
        <w:pStyle w:val="BodyText"/>
        <w:spacing w:before="85"/>
      </w:pPr>
    </w:p>
    <w:p>
      <w:pPr>
        <w:pStyle w:val="BodyText"/>
        <w:spacing w:line="276" w:lineRule="auto"/>
        <w:ind w:left="1100" w:right="1265" w:hanging="720"/>
        <w:jc w:val="both"/>
      </w:pPr>
      <w:r>
        <w:rPr>
          <w:color w:val="212121"/>
        </w:rPr>
        <w:t>Demirayak, S., Karaburun, A. Ç., and Kiraz, N. (1999). Synthesis and antibacterial activities of some 1-[2-(substituted pyrrol-1-yl) ethyl]-2-methyl-5-nitroimidazole derivatives. </w:t>
      </w:r>
      <w:r>
        <w:rPr>
          <w:i/>
          <w:color w:val="212121"/>
        </w:rPr>
        <w:t>European Journal of Medicinal Chemistry</w:t>
      </w:r>
      <w:r>
        <w:rPr>
          <w:color w:val="212121"/>
        </w:rPr>
        <w:t>, </w:t>
      </w:r>
      <w:r>
        <w:rPr>
          <w:i/>
          <w:color w:val="212121"/>
        </w:rPr>
        <w:t>34</w:t>
      </w:r>
      <w:r>
        <w:rPr>
          <w:color w:val="212121"/>
        </w:rPr>
        <w:t>(3), 275-278.</w:t>
      </w:r>
    </w:p>
    <w:p>
      <w:pPr>
        <w:pStyle w:val="BodyText"/>
        <w:spacing w:before="81"/>
      </w:pPr>
    </w:p>
    <w:p>
      <w:pPr>
        <w:spacing w:before="0"/>
        <w:ind w:left="1100" w:right="1175" w:hanging="720"/>
        <w:jc w:val="left"/>
        <w:rPr>
          <w:sz w:val="24"/>
        </w:rPr>
      </w:pPr>
      <w:r>
        <w:rPr>
          <w:color w:val="212121"/>
          <w:sz w:val="24"/>
        </w:rPr>
        <w:t>Dokoumetzidis, A., and</w:t>
      </w:r>
      <w:r>
        <w:rPr>
          <w:color w:val="212121"/>
          <w:spacing w:val="40"/>
          <w:sz w:val="24"/>
        </w:rPr>
        <w:t> </w:t>
      </w:r>
      <w:r>
        <w:rPr>
          <w:color w:val="212121"/>
          <w:sz w:val="24"/>
        </w:rPr>
        <w:t>Macheras, P. (2006). A century of dissolution research: from Noyes</w:t>
      </w:r>
      <w:r>
        <w:rPr>
          <w:color w:val="212121"/>
          <w:spacing w:val="-5"/>
          <w:sz w:val="24"/>
        </w:rPr>
        <w:t> </w:t>
      </w:r>
      <w:r>
        <w:rPr>
          <w:color w:val="212121"/>
          <w:sz w:val="24"/>
        </w:rPr>
        <w:t>and</w:t>
      </w:r>
      <w:r>
        <w:rPr>
          <w:color w:val="212121"/>
          <w:spacing w:val="-6"/>
          <w:sz w:val="24"/>
        </w:rPr>
        <w:t> </w:t>
      </w:r>
      <w:r>
        <w:rPr>
          <w:color w:val="212121"/>
          <w:sz w:val="24"/>
        </w:rPr>
        <w:t>Whitney</w:t>
      </w:r>
      <w:r>
        <w:rPr>
          <w:color w:val="212121"/>
          <w:spacing w:val="-10"/>
          <w:sz w:val="24"/>
        </w:rPr>
        <w:t> </w:t>
      </w:r>
      <w:r>
        <w:rPr>
          <w:color w:val="212121"/>
          <w:sz w:val="24"/>
        </w:rPr>
        <w:t>to</w:t>
      </w:r>
      <w:r>
        <w:rPr>
          <w:color w:val="212121"/>
          <w:spacing w:val="-5"/>
          <w:sz w:val="24"/>
        </w:rPr>
        <w:t> </w:t>
      </w:r>
      <w:r>
        <w:rPr>
          <w:color w:val="212121"/>
          <w:sz w:val="24"/>
        </w:rPr>
        <w:t>the</w:t>
      </w:r>
      <w:r>
        <w:rPr>
          <w:color w:val="212121"/>
          <w:spacing w:val="-6"/>
          <w:sz w:val="24"/>
        </w:rPr>
        <w:t> </w:t>
      </w:r>
      <w:r>
        <w:rPr>
          <w:color w:val="212121"/>
          <w:sz w:val="24"/>
        </w:rPr>
        <w:t>biopharmaceutics</w:t>
      </w:r>
      <w:r>
        <w:rPr>
          <w:color w:val="212121"/>
          <w:spacing w:val="-5"/>
          <w:sz w:val="24"/>
        </w:rPr>
        <w:t> </w:t>
      </w:r>
      <w:r>
        <w:rPr>
          <w:color w:val="212121"/>
          <w:sz w:val="24"/>
        </w:rPr>
        <w:t>classification</w:t>
      </w:r>
      <w:r>
        <w:rPr>
          <w:color w:val="212121"/>
          <w:spacing w:val="-5"/>
          <w:sz w:val="24"/>
        </w:rPr>
        <w:t> </w:t>
      </w:r>
      <w:r>
        <w:rPr>
          <w:color w:val="212121"/>
          <w:sz w:val="24"/>
        </w:rPr>
        <w:t>system. </w:t>
      </w:r>
      <w:r>
        <w:rPr>
          <w:i/>
          <w:color w:val="212121"/>
          <w:sz w:val="24"/>
        </w:rPr>
        <w:t>International Journal of Pharmaceutics</w:t>
      </w:r>
      <w:r>
        <w:rPr>
          <w:color w:val="212121"/>
          <w:sz w:val="24"/>
        </w:rPr>
        <w:t>, </w:t>
      </w:r>
      <w:r>
        <w:rPr>
          <w:i/>
          <w:color w:val="212121"/>
          <w:sz w:val="24"/>
        </w:rPr>
        <w:t>321</w:t>
      </w:r>
      <w:r>
        <w:rPr>
          <w:color w:val="212121"/>
          <w:sz w:val="24"/>
        </w:rPr>
        <w:t>(1), 1-11.</w:t>
      </w:r>
    </w:p>
    <w:p>
      <w:pPr>
        <w:pStyle w:val="BodyText"/>
        <w:spacing w:before="2"/>
      </w:pPr>
    </w:p>
    <w:p>
      <w:pPr>
        <w:pStyle w:val="BodyText"/>
        <w:spacing w:line="276" w:lineRule="auto"/>
        <w:ind w:left="1100" w:right="1273" w:hanging="720"/>
        <w:jc w:val="both"/>
      </w:pPr>
      <w:r>
        <w:rPr>
          <w:color w:val="212121"/>
        </w:rPr>
        <w:t>Dressman,</w:t>
      </w:r>
      <w:r>
        <w:rPr>
          <w:color w:val="212121"/>
          <w:spacing w:val="-2"/>
        </w:rPr>
        <w:t> </w:t>
      </w:r>
      <w:r>
        <w:rPr>
          <w:color w:val="212121"/>
        </w:rPr>
        <w:t>J.</w:t>
      </w:r>
      <w:r>
        <w:rPr>
          <w:color w:val="212121"/>
          <w:spacing w:val="-2"/>
        </w:rPr>
        <w:t> </w:t>
      </w:r>
      <w:r>
        <w:rPr>
          <w:color w:val="212121"/>
        </w:rPr>
        <w:t>B.,</w:t>
      </w:r>
      <w:r>
        <w:rPr>
          <w:color w:val="212121"/>
          <w:spacing w:val="-1"/>
        </w:rPr>
        <w:t> </w:t>
      </w:r>
      <w:r>
        <w:rPr>
          <w:color w:val="212121"/>
        </w:rPr>
        <w:t>Amidon,</w:t>
      </w:r>
      <w:r>
        <w:rPr>
          <w:color w:val="212121"/>
          <w:spacing w:val="-2"/>
        </w:rPr>
        <w:t> </w:t>
      </w:r>
      <w:r>
        <w:rPr>
          <w:color w:val="212121"/>
        </w:rPr>
        <w:t>G. L.,</w:t>
      </w:r>
      <w:r>
        <w:rPr>
          <w:color w:val="212121"/>
          <w:spacing w:val="-2"/>
        </w:rPr>
        <w:t> </w:t>
      </w:r>
      <w:r>
        <w:rPr>
          <w:color w:val="212121"/>
        </w:rPr>
        <w:t>Reppas,</w:t>
      </w:r>
      <w:r>
        <w:rPr>
          <w:color w:val="212121"/>
          <w:spacing w:val="-2"/>
        </w:rPr>
        <w:t> </w:t>
      </w:r>
      <w:r>
        <w:rPr>
          <w:color w:val="212121"/>
        </w:rPr>
        <w:t>C.,</w:t>
      </w:r>
      <w:r>
        <w:rPr>
          <w:color w:val="212121"/>
          <w:spacing w:val="-2"/>
        </w:rPr>
        <w:t> </w:t>
      </w:r>
      <w:r>
        <w:rPr>
          <w:color w:val="212121"/>
        </w:rPr>
        <w:t>and</w:t>
      </w:r>
      <w:r>
        <w:rPr>
          <w:color w:val="212121"/>
          <w:spacing w:val="-2"/>
        </w:rPr>
        <w:t> </w:t>
      </w:r>
      <w:r>
        <w:rPr>
          <w:color w:val="212121"/>
        </w:rPr>
        <w:t>Shah,</w:t>
      </w:r>
      <w:r>
        <w:rPr>
          <w:color w:val="212121"/>
          <w:spacing w:val="-2"/>
        </w:rPr>
        <w:t> </w:t>
      </w:r>
      <w:r>
        <w:rPr>
          <w:color w:val="212121"/>
        </w:rPr>
        <w:t>V.</w:t>
      </w:r>
      <w:r>
        <w:rPr>
          <w:color w:val="212121"/>
          <w:spacing w:val="-3"/>
        </w:rPr>
        <w:t> </w:t>
      </w:r>
      <w:r>
        <w:rPr>
          <w:color w:val="212121"/>
        </w:rPr>
        <w:t>P.</w:t>
      </w:r>
      <w:r>
        <w:rPr>
          <w:color w:val="212121"/>
          <w:spacing w:val="-2"/>
        </w:rPr>
        <w:t> </w:t>
      </w:r>
      <w:r>
        <w:rPr>
          <w:color w:val="212121"/>
        </w:rPr>
        <w:t>(1998).</w:t>
      </w:r>
      <w:r>
        <w:rPr>
          <w:color w:val="212121"/>
          <w:spacing w:val="-3"/>
        </w:rPr>
        <w:t> </w:t>
      </w:r>
      <w:r>
        <w:rPr>
          <w:color w:val="212121"/>
        </w:rPr>
        <w:t>Dissolution</w:t>
      </w:r>
      <w:r>
        <w:rPr>
          <w:color w:val="212121"/>
          <w:spacing w:val="-2"/>
        </w:rPr>
        <w:t> </w:t>
      </w:r>
      <w:r>
        <w:rPr>
          <w:color w:val="212121"/>
        </w:rPr>
        <w:t>testing</w:t>
      </w:r>
      <w:r>
        <w:rPr>
          <w:color w:val="212121"/>
          <w:spacing w:val="-5"/>
        </w:rPr>
        <w:t> </w:t>
      </w:r>
      <w:r>
        <w:rPr>
          <w:color w:val="212121"/>
        </w:rPr>
        <w:t>as a prognostic tool for oral drug absorption: immediate release dosage forms. </w:t>
      </w:r>
      <w:r>
        <w:rPr>
          <w:i/>
          <w:color w:val="212121"/>
        </w:rPr>
        <w:t>Pharmaceutical Research</w:t>
      </w:r>
      <w:r>
        <w:rPr>
          <w:color w:val="212121"/>
        </w:rPr>
        <w:t>, </w:t>
      </w:r>
      <w:r>
        <w:rPr>
          <w:i/>
          <w:color w:val="212121"/>
        </w:rPr>
        <w:t>15</w:t>
      </w:r>
      <w:r>
        <w:rPr>
          <w:color w:val="212121"/>
        </w:rPr>
        <w:t>(1), 11-22.</w:t>
      </w:r>
    </w:p>
    <w:p>
      <w:pPr>
        <w:spacing w:after="0" w:line="276" w:lineRule="auto"/>
        <w:jc w:val="both"/>
        <w:sectPr>
          <w:pgSz w:w="12240" w:h="15840"/>
          <w:pgMar w:header="0" w:footer="1068" w:top="1540" w:bottom="1260" w:left="1420" w:right="440"/>
        </w:sectPr>
      </w:pPr>
    </w:p>
    <w:p>
      <w:pPr>
        <w:spacing w:line="276" w:lineRule="auto" w:before="74"/>
        <w:ind w:left="1100" w:right="0" w:hanging="720"/>
        <w:jc w:val="left"/>
        <w:rPr>
          <w:sz w:val="24"/>
        </w:rPr>
      </w:pPr>
      <w:r>
        <w:rPr>
          <w:color w:val="212121"/>
          <w:sz w:val="24"/>
        </w:rPr>
        <w:t>Drewe,</w:t>
      </w:r>
      <w:r>
        <w:rPr>
          <w:color w:val="212121"/>
          <w:spacing w:val="39"/>
          <w:sz w:val="24"/>
        </w:rPr>
        <w:t> </w:t>
      </w:r>
      <w:r>
        <w:rPr>
          <w:color w:val="212121"/>
          <w:sz w:val="24"/>
        </w:rPr>
        <w:t>J,</w:t>
      </w:r>
      <w:r>
        <w:rPr>
          <w:color w:val="212121"/>
          <w:spacing w:val="40"/>
          <w:sz w:val="24"/>
        </w:rPr>
        <w:t> </w:t>
      </w:r>
      <w:r>
        <w:rPr>
          <w:color w:val="212121"/>
          <w:sz w:val="24"/>
        </w:rPr>
        <w:t>and</w:t>
      </w:r>
      <w:r>
        <w:rPr>
          <w:color w:val="212121"/>
          <w:spacing w:val="39"/>
          <w:sz w:val="24"/>
        </w:rPr>
        <w:t> </w:t>
      </w:r>
      <w:r>
        <w:rPr>
          <w:color w:val="212121"/>
          <w:sz w:val="24"/>
        </w:rPr>
        <w:t>Guitard,</w:t>
      </w:r>
      <w:r>
        <w:rPr>
          <w:color w:val="212121"/>
          <w:spacing w:val="40"/>
          <w:sz w:val="24"/>
        </w:rPr>
        <w:t> </w:t>
      </w:r>
      <w:r>
        <w:rPr>
          <w:color w:val="212121"/>
          <w:sz w:val="24"/>
        </w:rPr>
        <w:t>P,</w:t>
      </w:r>
      <w:r>
        <w:rPr>
          <w:color w:val="212121"/>
          <w:spacing w:val="39"/>
          <w:sz w:val="24"/>
        </w:rPr>
        <w:t> </w:t>
      </w:r>
      <w:r>
        <w:rPr>
          <w:color w:val="212121"/>
          <w:sz w:val="24"/>
        </w:rPr>
        <w:t>(1993).</w:t>
      </w:r>
      <w:r>
        <w:rPr>
          <w:color w:val="212121"/>
          <w:spacing w:val="38"/>
          <w:sz w:val="24"/>
        </w:rPr>
        <w:t> </w:t>
      </w:r>
      <w:r>
        <w:rPr>
          <w:color w:val="212121"/>
          <w:sz w:val="24"/>
        </w:rPr>
        <w:t>―</w:t>
      </w:r>
      <w:r>
        <w:rPr>
          <w:i/>
          <w:color w:val="212121"/>
          <w:sz w:val="24"/>
        </w:rPr>
        <w:t>In</w:t>
      </w:r>
      <w:r>
        <w:rPr>
          <w:i/>
          <w:color w:val="212121"/>
          <w:spacing w:val="40"/>
          <w:sz w:val="24"/>
        </w:rPr>
        <w:t> </w:t>
      </w:r>
      <w:r>
        <w:rPr>
          <w:i/>
          <w:color w:val="212121"/>
          <w:sz w:val="24"/>
        </w:rPr>
        <w:t>vitro</w:t>
      </w:r>
      <w:r>
        <w:rPr>
          <w:i/>
          <w:color w:val="212121"/>
          <w:spacing w:val="39"/>
          <w:sz w:val="24"/>
        </w:rPr>
        <w:t> </w:t>
      </w:r>
      <w:r>
        <w:rPr>
          <w:i/>
          <w:color w:val="212121"/>
          <w:sz w:val="24"/>
        </w:rPr>
        <w:t>In</w:t>
      </w:r>
      <w:r>
        <w:rPr>
          <w:i/>
          <w:color w:val="212121"/>
          <w:spacing w:val="40"/>
          <w:sz w:val="24"/>
        </w:rPr>
        <w:t> </w:t>
      </w:r>
      <w:r>
        <w:rPr>
          <w:i/>
          <w:color w:val="212121"/>
          <w:sz w:val="24"/>
        </w:rPr>
        <w:t>vivo</w:t>
      </w:r>
      <w:r>
        <w:rPr>
          <w:i/>
          <w:color w:val="212121"/>
          <w:spacing w:val="40"/>
          <w:sz w:val="24"/>
        </w:rPr>
        <w:t> </w:t>
      </w:r>
      <w:r>
        <w:rPr>
          <w:color w:val="212121"/>
          <w:sz w:val="24"/>
        </w:rPr>
        <w:t>Correlation</w:t>
      </w:r>
      <w:r>
        <w:rPr>
          <w:color w:val="212121"/>
          <w:spacing w:val="39"/>
          <w:sz w:val="24"/>
        </w:rPr>
        <w:t> </w:t>
      </w:r>
      <w:r>
        <w:rPr>
          <w:color w:val="212121"/>
          <w:sz w:val="24"/>
        </w:rPr>
        <w:t>for</w:t>
      </w:r>
      <w:r>
        <w:rPr>
          <w:color w:val="212121"/>
          <w:spacing w:val="38"/>
          <w:sz w:val="24"/>
        </w:rPr>
        <w:t> </w:t>
      </w:r>
      <w:r>
        <w:rPr>
          <w:color w:val="212121"/>
          <w:sz w:val="24"/>
        </w:rPr>
        <w:t>Modified</w:t>
      </w:r>
      <w:r>
        <w:rPr>
          <w:color w:val="212121"/>
          <w:spacing w:val="39"/>
          <w:sz w:val="24"/>
        </w:rPr>
        <w:t> </w:t>
      </w:r>
      <w:r>
        <w:rPr>
          <w:color w:val="212121"/>
          <w:sz w:val="24"/>
        </w:rPr>
        <w:t>Release Formulations‖, </w:t>
      </w:r>
      <w:r>
        <w:rPr>
          <w:i/>
          <w:color w:val="212121"/>
          <w:sz w:val="24"/>
        </w:rPr>
        <w:t>Journal of Pharmaceutical Sciences</w:t>
      </w:r>
      <w:r>
        <w:rPr>
          <w:color w:val="212121"/>
          <w:sz w:val="24"/>
        </w:rPr>
        <w:t>, 82(2): 132-137</w:t>
      </w:r>
    </w:p>
    <w:p>
      <w:pPr>
        <w:pStyle w:val="BodyText"/>
        <w:spacing w:before="83"/>
      </w:pPr>
    </w:p>
    <w:p>
      <w:pPr>
        <w:pStyle w:val="BodyText"/>
        <w:ind w:left="380"/>
      </w:pPr>
      <w:r>
        <w:rPr>
          <w:color w:val="212121"/>
        </w:rPr>
        <w:t>Edwards,</w:t>
      </w:r>
      <w:r>
        <w:rPr>
          <w:color w:val="212121"/>
          <w:spacing w:val="66"/>
          <w:w w:val="150"/>
        </w:rPr>
        <w:t> </w:t>
      </w:r>
      <w:r>
        <w:rPr>
          <w:color w:val="212121"/>
        </w:rPr>
        <w:t>D.</w:t>
      </w:r>
      <w:r>
        <w:rPr>
          <w:color w:val="212121"/>
          <w:spacing w:val="70"/>
          <w:w w:val="150"/>
        </w:rPr>
        <w:t> </w:t>
      </w:r>
      <w:r>
        <w:rPr>
          <w:color w:val="212121"/>
        </w:rPr>
        <w:t>I.</w:t>
      </w:r>
      <w:r>
        <w:rPr>
          <w:color w:val="212121"/>
          <w:spacing w:val="69"/>
          <w:w w:val="150"/>
        </w:rPr>
        <w:t> </w:t>
      </w:r>
      <w:r>
        <w:rPr>
          <w:color w:val="212121"/>
        </w:rPr>
        <w:t>(1986).</w:t>
      </w:r>
      <w:r>
        <w:rPr>
          <w:color w:val="212121"/>
          <w:spacing w:val="70"/>
          <w:w w:val="150"/>
        </w:rPr>
        <w:t> </w:t>
      </w:r>
      <w:r>
        <w:rPr>
          <w:color w:val="212121"/>
        </w:rPr>
        <w:t>Reduction</w:t>
      </w:r>
      <w:r>
        <w:rPr>
          <w:color w:val="212121"/>
          <w:spacing w:val="69"/>
          <w:w w:val="150"/>
        </w:rPr>
        <w:t> </w:t>
      </w:r>
      <w:r>
        <w:rPr>
          <w:color w:val="212121"/>
        </w:rPr>
        <w:t>of</w:t>
      </w:r>
      <w:r>
        <w:rPr>
          <w:color w:val="212121"/>
          <w:spacing w:val="67"/>
          <w:w w:val="150"/>
        </w:rPr>
        <w:t> </w:t>
      </w:r>
      <w:r>
        <w:rPr>
          <w:color w:val="212121"/>
        </w:rPr>
        <w:t>nitroimidazoles</w:t>
      </w:r>
      <w:r>
        <w:rPr>
          <w:color w:val="212121"/>
          <w:spacing w:val="73"/>
          <w:w w:val="150"/>
        </w:rPr>
        <w:t> </w:t>
      </w:r>
      <w:r>
        <w:rPr>
          <w:i/>
          <w:color w:val="212121"/>
        </w:rPr>
        <w:t>in</w:t>
      </w:r>
      <w:r>
        <w:rPr>
          <w:i/>
          <w:color w:val="212121"/>
          <w:spacing w:val="69"/>
          <w:w w:val="150"/>
        </w:rPr>
        <w:t> </w:t>
      </w:r>
      <w:r>
        <w:rPr>
          <w:i/>
          <w:color w:val="212121"/>
        </w:rPr>
        <w:t>vitro</w:t>
      </w:r>
      <w:r>
        <w:rPr>
          <w:i/>
          <w:color w:val="212121"/>
          <w:spacing w:val="68"/>
          <w:w w:val="150"/>
        </w:rPr>
        <w:t> </w:t>
      </w:r>
      <w:r>
        <w:rPr>
          <w:color w:val="212121"/>
        </w:rPr>
        <w:t>and</w:t>
      </w:r>
      <w:r>
        <w:rPr>
          <w:color w:val="212121"/>
          <w:spacing w:val="66"/>
          <w:w w:val="150"/>
        </w:rPr>
        <w:t> </w:t>
      </w:r>
      <w:r>
        <w:rPr>
          <w:color w:val="212121"/>
        </w:rPr>
        <w:t>DNA</w:t>
      </w:r>
      <w:r>
        <w:rPr>
          <w:color w:val="212121"/>
          <w:spacing w:val="69"/>
          <w:w w:val="150"/>
        </w:rPr>
        <w:t> </w:t>
      </w:r>
      <w:r>
        <w:rPr>
          <w:color w:val="212121"/>
          <w:spacing w:val="-2"/>
        </w:rPr>
        <w:t>damage;</w:t>
      </w:r>
    </w:p>
    <w:p>
      <w:pPr>
        <w:spacing w:before="44"/>
        <w:ind w:left="1100" w:right="0" w:firstLine="0"/>
        <w:jc w:val="left"/>
        <w:rPr>
          <w:sz w:val="24"/>
        </w:rPr>
      </w:pPr>
      <w:r>
        <w:rPr>
          <w:i/>
          <w:color w:val="212121"/>
          <w:sz w:val="24"/>
        </w:rPr>
        <w:t>Biochemical</w:t>
      </w:r>
      <w:r>
        <w:rPr>
          <w:i/>
          <w:color w:val="212121"/>
          <w:spacing w:val="-4"/>
          <w:sz w:val="24"/>
        </w:rPr>
        <w:t> </w:t>
      </w:r>
      <w:r>
        <w:rPr>
          <w:i/>
          <w:color w:val="212121"/>
          <w:sz w:val="24"/>
        </w:rPr>
        <w:t>Pharmacology</w:t>
      </w:r>
      <w:r>
        <w:rPr>
          <w:i/>
          <w:color w:val="212121"/>
          <w:spacing w:val="-2"/>
          <w:sz w:val="24"/>
        </w:rPr>
        <w:t> </w:t>
      </w:r>
      <w:r>
        <w:rPr>
          <w:i/>
          <w:color w:val="212121"/>
          <w:sz w:val="24"/>
        </w:rPr>
        <w:t>Journal</w:t>
      </w:r>
      <w:r>
        <w:rPr>
          <w:color w:val="212121"/>
          <w:sz w:val="24"/>
        </w:rPr>
        <w:t>,</w:t>
      </w:r>
      <w:r>
        <w:rPr>
          <w:color w:val="212121"/>
          <w:spacing w:val="-2"/>
          <w:sz w:val="24"/>
        </w:rPr>
        <w:t> </w:t>
      </w:r>
      <w:r>
        <w:rPr>
          <w:i/>
          <w:color w:val="212121"/>
          <w:sz w:val="24"/>
        </w:rPr>
        <w:t>35</w:t>
      </w:r>
      <w:r>
        <w:rPr>
          <w:color w:val="212121"/>
          <w:sz w:val="24"/>
        </w:rPr>
        <w:t>(1),</w:t>
      </w:r>
      <w:r>
        <w:rPr>
          <w:color w:val="212121"/>
          <w:spacing w:val="-1"/>
          <w:sz w:val="24"/>
        </w:rPr>
        <w:t> </w:t>
      </w:r>
      <w:r>
        <w:rPr>
          <w:color w:val="212121"/>
          <w:sz w:val="24"/>
        </w:rPr>
        <w:t>53-</w:t>
      </w:r>
      <w:r>
        <w:rPr>
          <w:color w:val="212121"/>
          <w:spacing w:val="-5"/>
          <w:sz w:val="24"/>
        </w:rPr>
        <w:t>58.</w:t>
      </w:r>
    </w:p>
    <w:p>
      <w:pPr>
        <w:pStyle w:val="BodyText"/>
        <w:spacing w:before="124"/>
      </w:pPr>
    </w:p>
    <w:p>
      <w:pPr>
        <w:spacing w:line="276" w:lineRule="auto" w:before="0"/>
        <w:ind w:left="1100" w:right="1175" w:hanging="720"/>
        <w:jc w:val="left"/>
        <w:rPr>
          <w:sz w:val="24"/>
        </w:rPr>
      </w:pPr>
      <w:r>
        <w:rPr>
          <w:color w:val="212121"/>
          <w:sz w:val="24"/>
        </w:rPr>
        <w:t>Edwards,</w:t>
      </w:r>
      <w:r>
        <w:rPr>
          <w:color w:val="212121"/>
          <w:spacing w:val="80"/>
          <w:sz w:val="24"/>
        </w:rPr>
        <w:t> </w:t>
      </w:r>
      <w:r>
        <w:rPr>
          <w:color w:val="212121"/>
          <w:sz w:val="24"/>
        </w:rPr>
        <w:t>D.</w:t>
      </w:r>
      <w:r>
        <w:rPr>
          <w:color w:val="212121"/>
          <w:spacing w:val="80"/>
          <w:sz w:val="24"/>
        </w:rPr>
        <w:t> </w:t>
      </w:r>
      <w:r>
        <w:rPr>
          <w:color w:val="212121"/>
          <w:sz w:val="24"/>
        </w:rPr>
        <w:t>I.</w:t>
      </w:r>
      <w:r>
        <w:rPr>
          <w:color w:val="212121"/>
          <w:spacing w:val="80"/>
          <w:sz w:val="24"/>
        </w:rPr>
        <w:t> </w:t>
      </w:r>
      <w:r>
        <w:rPr>
          <w:color w:val="212121"/>
          <w:sz w:val="24"/>
        </w:rPr>
        <w:t>(1993).</w:t>
      </w:r>
      <w:r>
        <w:rPr>
          <w:color w:val="212121"/>
          <w:spacing w:val="80"/>
          <w:sz w:val="24"/>
        </w:rPr>
        <w:t> </w:t>
      </w:r>
      <w:r>
        <w:rPr>
          <w:color w:val="212121"/>
          <w:sz w:val="24"/>
        </w:rPr>
        <w:t>Nitroimidazole</w:t>
      </w:r>
      <w:r>
        <w:rPr>
          <w:color w:val="212121"/>
          <w:spacing w:val="80"/>
          <w:sz w:val="24"/>
        </w:rPr>
        <w:t> </w:t>
      </w:r>
      <w:r>
        <w:rPr>
          <w:color w:val="212121"/>
          <w:sz w:val="24"/>
        </w:rPr>
        <w:t>drugs-action</w:t>
      </w:r>
      <w:r>
        <w:rPr>
          <w:color w:val="212121"/>
          <w:spacing w:val="80"/>
          <w:sz w:val="24"/>
        </w:rPr>
        <w:t> </w:t>
      </w:r>
      <w:r>
        <w:rPr>
          <w:color w:val="212121"/>
          <w:sz w:val="24"/>
        </w:rPr>
        <w:t>and</w:t>
      </w:r>
      <w:r>
        <w:rPr>
          <w:color w:val="212121"/>
          <w:spacing w:val="80"/>
          <w:sz w:val="24"/>
        </w:rPr>
        <w:t> </w:t>
      </w:r>
      <w:r>
        <w:rPr>
          <w:color w:val="212121"/>
          <w:sz w:val="24"/>
        </w:rPr>
        <w:t>resistance</w:t>
      </w:r>
      <w:r>
        <w:rPr>
          <w:color w:val="212121"/>
          <w:spacing w:val="80"/>
          <w:sz w:val="24"/>
        </w:rPr>
        <w:t> </w:t>
      </w:r>
      <w:r>
        <w:rPr>
          <w:color w:val="212121"/>
          <w:sz w:val="24"/>
        </w:rPr>
        <w:t>mechanisms</w:t>
      </w:r>
      <w:r>
        <w:rPr>
          <w:color w:val="212121"/>
          <w:spacing w:val="80"/>
          <w:sz w:val="24"/>
        </w:rPr>
        <w:t> </w:t>
      </w:r>
      <w:r>
        <w:rPr>
          <w:color w:val="212121"/>
          <w:sz w:val="24"/>
        </w:rPr>
        <w:t>I. Mechanism of action; </w:t>
      </w:r>
      <w:r>
        <w:rPr>
          <w:i/>
          <w:color w:val="212121"/>
          <w:sz w:val="24"/>
        </w:rPr>
        <w:t>Journal of Antimicrobial Chemotherapy</w:t>
      </w:r>
      <w:r>
        <w:rPr>
          <w:color w:val="212121"/>
          <w:sz w:val="24"/>
        </w:rPr>
        <w:t>, </w:t>
      </w:r>
      <w:r>
        <w:rPr>
          <w:i/>
          <w:color w:val="212121"/>
          <w:sz w:val="24"/>
        </w:rPr>
        <w:t>31</w:t>
      </w:r>
      <w:r>
        <w:rPr>
          <w:color w:val="212121"/>
          <w:sz w:val="24"/>
        </w:rPr>
        <w:t>(1), 9-20.</w:t>
      </w:r>
    </w:p>
    <w:p>
      <w:pPr>
        <w:pStyle w:val="BodyText"/>
        <w:spacing w:before="83"/>
      </w:pPr>
    </w:p>
    <w:p>
      <w:pPr>
        <w:spacing w:line="276" w:lineRule="auto" w:before="0"/>
        <w:ind w:left="1100" w:right="1175" w:hanging="720"/>
        <w:jc w:val="left"/>
        <w:rPr>
          <w:i/>
          <w:sz w:val="24"/>
        </w:rPr>
      </w:pPr>
      <w:r>
        <w:rPr>
          <w:sz w:val="24"/>
        </w:rPr>
        <w:t>Edwards, J., Rowland, M., Riegelman, S., Harris, P. A. and Sholkoff, S. D. (1951) Absorption</w:t>
      </w:r>
      <w:r>
        <w:rPr>
          <w:spacing w:val="-4"/>
          <w:sz w:val="24"/>
        </w:rPr>
        <w:t> </w:t>
      </w:r>
      <w:r>
        <w:rPr>
          <w:sz w:val="24"/>
        </w:rPr>
        <w:t>kinetics</w:t>
      </w:r>
      <w:r>
        <w:rPr>
          <w:spacing w:val="-4"/>
          <w:sz w:val="24"/>
        </w:rPr>
        <w:t> </w:t>
      </w:r>
      <w:r>
        <w:rPr>
          <w:sz w:val="24"/>
        </w:rPr>
        <w:t>of</w:t>
      </w:r>
      <w:r>
        <w:rPr>
          <w:spacing w:val="-4"/>
          <w:sz w:val="24"/>
        </w:rPr>
        <w:t> </w:t>
      </w:r>
      <w:r>
        <w:rPr>
          <w:sz w:val="24"/>
        </w:rPr>
        <w:t>aspirin</w:t>
      </w:r>
      <w:r>
        <w:rPr>
          <w:spacing w:val="-4"/>
          <w:sz w:val="24"/>
        </w:rPr>
        <w:t> </w:t>
      </w:r>
      <w:r>
        <w:rPr>
          <w:sz w:val="24"/>
        </w:rPr>
        <w:t>in</w:t>
      </w:r>
      <w:r>
        <w:rPr>
          <w:spacing w:val="-4"/>
          <w:sz w:val="24"/>
        </w:rPr>
        <w:t> </w:t>
      </w:r>
      <w:r>
        <w:rPr>
          <w:sz w:val="24"/>
        </w:rPr>
        <w:t>man</w:t>
      </w:r>
      <w:r>
        <w:rPr>
          <w:spacing w:val="-4"/>
          <w:sz w:val="24"/>
        </w:rPr>
        <w:t> </w:t>
      </w:r>
      <w:r>
        <w:rPr>
          <w:sz w:val="24"/>
        </w:rPr>
        <w:t>following</w:t>
      </w:r>
      <w:r>
        <w:rPr>
          <w:spacing w:val="-7"/>
          <w:sz w:val="24"/>
        </w:rPr>
        <w:t> </w:t>
      </w:r>
      <w:r>
        <w:rPr>
          <w:sz w:val="24"/>
        </w:rPr>
        <w:t>oral</w:t>
      </w:r>
      <w:r>
        <w:rPr>
          <w:spacing w:val="-4"/>
          <w:sz w:val="24"/>
        </w:rPr>
        <w:t> </w:t>
      </w:r>
      <w:r>
        <w:rPr>
          <w:sz w:val="24"/>
        </w:rPr>
        <w:t>administration</w:t>
      </w:r>
      <w:r>
        <w:rPr>
          <w:spacing w:val="-4"/>
          <w:sz w:val="24"/>
        </w:rPr>
        <w:t> </w:t>
      </w:r>
      <w:r>
        <w:rPr>
          <w:sz w:val="24"/>
        </w:rPr>
        <w:t>of</w:t>
      </w:r>
      <w:r>
        <w:rPr>
          <w:spacing w:val="-5"/>
          <w:sz w:val="24"/>
        </w:rPr>
        <w:t> </w:t>
      </w:r>
      <w:r>
        <w:rPr>
          <w:sz w:val="24"/>
        </w:rPr>
        <w:t>aqueous solution; </w:t>
      </w:r>
      <w:r>
        <w:rPr>
          <w:i/>
          <w:sz w:val="24"/>
        </w:rPr>
        <w:t>Journal of Pharmaceutical Sciences, 61:379-385</w:t>
      </w:r>
    </w:p>
    <w:p>
      <w:pPr>
        <w:pStyle w:val="BodyText"/>
        <w:spacing w:before="85"/>
        <w:rPr>
          <w:i/>
        </w:rPr>
      </w:pPr>
    </w:p>
    <w:p>
      <w:pPr>
        <w:spacing w:line="276" w:lineRule="auto" w:before="1"/>
        <w:ind w:left="1100" w:right="1175" w:hanging="720"/>
        <w:jc w:val="left"/>
        <w:rPr>
          <w:sz w:val="24"/>
        </w:rPr>
      </w:pPr>
      <w:r>
        <w:rPr>
          <w:color w:val="212121"/>
          <w:sz w:val="24"/>
        </w:rPr>
        <w:t>Emami,</w:t>
      </w:r>
      <w:r>
        <w:rPr>
          <w:color w:val="212121"/>
          <w:spacing w:val="40"/>
          <w:sz w:val="24"/>
        </w:rPr>
        <w:t> </w:t>
      </w:r>
      <w:r>
        <w:rPr>
          <w:color w:val="212121"/>
          <w:sz w:val="24"/>
        </w:rPr>
        <w:t>J.</w:t>
      </w:r>
      <w:r>
        <w:rPr>
          <w:color w:val="212121"/>
          <w:spacing w:val="39"/>
          <w:sz w:val="24"/>
        </w:rPr>
        <w:t> </w:t>
      </w:r>
      <w:r>
        <w:rPr>
          <w:color w:val="212121"/>
          <w:sz w:val="24"/>
        </w:rPr>
        <w:t>(2006).</w:t>
      </w:r>
      <w:r>
        <w:rPr>
          <w:color w:val="212121"/>
          <w:spacing w:val="40"/>
          <w:sz w:val="24"/>
        </w:rPr>
        <w:t> </w:t>
      </w:r>
      <w:r>
        <w:rPr>
          <w:i/>
          <w:color w:val="212121"/>
          <w:sz w:val="24"/>
        </w:rPr>
        <w:t>In</w:t>
      </w:r>
      <w:r>
        <w:rPr>
          <w:i/>
          <w:color w:val="212121"/>
          <w:spacing w:val="39"/>
          <w:sz w:val="24"/>
        </w:rPr>
        <w:t> </w:t>
      </w:r>
      <w:r>
        <w:rPr>
          <w:i/>
          <w:color w:val="212121"/>
          <w:sz w:val="24"/>
        </w:rPr>
        <w:t>vitro–in</w:t>
      </w:r>
      <w:r>
        <w:rPr>
          <w:i/>
          <w:color w:val="212121"/>
          <w:spacing w:val="40"/>
          <w:sz w:val="24"/>
        </w:rPr>
        <w:t> </w:t>
      </w:r>
      <w:r>
        <w:rPr>
          <w:i/>
          <w:color w:val="212121"/>
          <w:sz w:val="24"/>
        </w:rPr>
        <w:t>vivo</w:t>
      </w:r>
      <w:r>
        <w:rPr>
          <w:i/>
          <w:color w:val="212121"/>
          <w:spacing w:val="40"/>
          <w:sz w:val="24"/>
        </w:rPr>
        <w:t> </w:t>
      </w:r>
      <w:r>
        <w:rPr>
          <w:color w:val="212121"/>
          <w:sz w:val="24"/>
        </w:rPr>
        <w:t>correlation:</w:t>
      </w:r>
      <w:r>
        <w:rPr>
          <w:color w:val="212121"/>
          <w:spacing w:val="40"/>
          <w:sz w:val="24"/>
        </w:rPr>
        <w:t> </w:t>
      </w:r>
      <w:r>
        <w:rPr>
          <w:color w:val="212121"/>
          <w:sz w:val="24"/>
        </w:rPr>
        <w:t>from</w:t>
      </w:r>
      <w:r>
        <w:rPr>
          <w:color w:val="212121"/>
          <w:spacing w:val="40"/>
          <w:sz w:val="24"/>
        </w:rPr>
        <w:t> </w:t>
      </w:r>
      <w:r>
        <w:rPr>
          <w:color w:val="212121"/>
          <w:sz w:val="24"/>
        </w:rPr>
        <w:t>theory</w:t>
      </w:r>
      <w:r>
        <w:rPr>
          <w:color w:val="212121"/>
          <w:spacing w:val="35"/>
          <w:sz w:val="24"/>
        </w:rPr>
        <w:t> </w:t>
      </w:r>
      <w:r>
        <w:rPr>
          <w:color w:val="212121"/>
          <w:sz w:val="24"/>
        </w:rPr>
        <w:t>to</w:t>
      </w:r>
      <w:r>
        <w:rPr>
          <w:color w:val="212121"/>
          <w:spacing w:val="40"/>
          <w:sz w:val="24"/>
        </w:rPr>
        <w:t> </w:t>
      </w:r>
      <w:r>
        <w:rPr>
          <w:color w:val="212121"/>
          <w:sz w:val="24"/>
        </w:rPr>
        <w:t>applications.</w:t>
      </w:r>
      <w:r>
        <w:rPr>
          <w:color w:val="212121"/>
          <w:spacing w:val="40"/>
          <w:sz w:val="24"/>
        </w:rPr>
        <w:t> </w:t>
      </w:r>
      <w:r>
        <w:rPr>
          <w:i/>
          <w:color w:val="212121"/>
          <w:sz w:val="24"/>
        </w:rPr>
        <w:t>Journal</w:t>
      </w:r>
      <w:r>
        <w:rPr>
          <w:i/>
          <w:color w:val="212121"/>
          <w:spacing w:val="40"/>
          <w:sz w:val="24"/>
        </w:rPr>
        <w:t> </w:t>
      </w:r>
      <w:r>
        <w:rPr>
          <w:i/>
          <w:color w:val="212121"/>
          <w:sz w:val="24"/>
        </w:rPr>
        <w:t>of Pharmacy and Pharmaceutical Sciences</w:t>
      </w:r>
      <w:r>
        <w:rPr>
          <w:color w:val="212121"/>
          <w:sz w:val="24"/>
        </w:rPr>
        <w:t>, </w:t>
      </w:r>
      <w:r>
        <w:rPr>
          <w:i/>
          <w:color w:val="212121"/>
          <w:sz w:val="24"/>
        </w:rPr>
        <w:t>9</w:t>
      </w:r>
      <w:r>
        <w:rPr>
          <w:color w:val="212121"/>
          <w:sz w:val="24"/>
        </w:rPr>
        <w:t>(2), 169-189.</w:t>
      </w:r>
    </w:p>
    <w:p>
      <w:pPr>
        <w:pStyle w:val="BodyText"/>
        <w:spacing w:before="85"/>
      </w:pPr>
    </w:p>
    <w:p>
      <w:pPr>
        <w:pStyle w:val="BodyText"/>
        <w:spacing w:line="276" w:lineRule="auto"/>
        <w:ind w:left="1100" w:right="1175" w:hanging="720"/>
      </w:pPr>
      <w:r>
        <w:rPr/>
        <w:t>FDA (2011). CFR - Code of Federal Regulations Title 21</w:t>
      </w:r>
      <w:r>
        <w:rPr>
          <w:spacing w:val="24"/>
        </w:rPr>
        <w:t> </w:t>
      </w:r>
      <w:r>
        <w:rPr/>
        <w:t>- Part 320 Bioavailability and</w:t>
      </w:r>
      <w:r>
        <w:rPr>
          <w:spacing w:val="80"/>
        </w:rPr>
        <w:t> </w:t>
      </w:r>
      <w:r>
        <w:rPr/>
        <w:t>bioequivalence</w:t>
      </w:r>
      <w:r>
        <w:rPr>
          <w:spacing w:val="40"/>
        </w:rPr>
        <w:t> </w:t>
      </w:r>
      <w:r>
        <w:rPr/>
        <w:t>requirement.</w:t>
      </w:r>
      <w:r>
        <w:rPr>
          <w:spacing w:val="40"/>
        </w:rPr>
        <w:t> </w:t>
      </w:r>
      <w:r>
        <w:rPr/>
        <w:t>U.S.</w:t>
      </w:r>
      <w:r>
        <w:rPr>
          <w:spacing w:val="40"/>
        </w:rPr>
        <w:t> </w:t>
      </w:r>
      <w:r>
        <w:rPr/>
        <w:t>Department</w:t>
      </w:r>
      <w:r>
        <w:rPr>
          <w:spacing w:val="40"/>
        </w:rPr>
        <w:t> </w:t>
      </w:r>
      <w:r>
        <w:rPr/>
        <w:t>of</w:t>
      </w:r>
      <w:r>
        <w:rPr>
          <w:spacing w:val="40"/>
        </w:rPr>
        <w:t> </w:t>
      </w:r>
      <w:r>
        <w:rPr/>
        <w:t>Health</w:t>
      </w:r>
      <w:r>
        <w:rPr>
          <w:spacing w:val="40"/>
        </w:rPr>
        <w:t> </w:t>
      </w:r>
      <w:r>
        <w:rPr/>
        <w:t>and</w:t>
      </w:r>
      <w:r>
        <w:rPr>
          <w:spacing w:val="40"/>
        </w:rPr>
        <w:t> </w:t>
      </w:r>
      <w:r>
        <w:rPr/>
        <w:t>Human</w:t>
      </w:r>
      <w:r>
        <w:rPr>
          <w:spacing w:val="40"/>
        </w:rPr>
        <w:t> </w:t>
      </w:r>
      <w:r>
        <w:rPr/>
        <w:t>Services. Food</w:t>
      </w:r>
      <w:r>
        <w:rPr>
          <w:spacing w:val="80"/>
        </w:rPr>
        <w:t> </w:t>
      </w:r>
      <w:r>
        <w:rPr/>
        <w:t>and</w:t>
      </w:r>
      <w:r>
        <w:rPr>
          <w:spacing w:val="80"/>
        </w:rPr>
        <w:t> </w:t>
      </w:r>
      <w:r>
        <w:rPr/>
        <w:t>Drug</w:t>
      </w:r>
      <w:r>
        <w:rPr>
          <w:spacing w:val="80"/>
        </w:rPr>
        <w:t> </w:t>
      </w:r>
      <w:r>
        <w:rPr/>
        <w:t>Administration,</w:t>
      </w:r>
      <w:r>
        <w:rPr>
          <w:spacing w:val="80"/>
        </w:rPr>
        <w:t> </w:t>
      </w:r>
      <w:r>
        <w:rPr/>
        <w:t>Center</w:t>
      </w:r>
      <w:r>
        <w:rPr>
          <w:spacing w:val="80"/>
        </w:rPr>
        <w:t> </w:t>
      </w:r>
      <w:r>
        <w:rPr/>
        <w:t>for</w:t>
      </w:r>
      <w:r>
        <w:rPr>
          <w:spacing w:val="80"/>
        </w:rPr>
        <w:t> </w:t>
      </w:r>
      <w:r>
        <w:rPr/>
        <w:t>Drug</w:t>
      </w:r>
      <w:r>
        <w:rPr>
          <w:spacing w:val="80"/>
        </w:rPr>
        <w:t> </w:t>
      </w:r>
      <w:r>
        <w:rPr/>
        <w:t>Evaluation</w:t>
      </w:r>
      <w:r>
        <w:rPr>
          <w:spacing w:val="80"/>
        </w:rPr>
        <w:t> </w:t>
      </w:r>
      <w:r>
        <w:rPr/>
        <w:t>and</w:t>
      </w:r>
      <w:r>
        <w:rPr>
          <w:spacing w:val="80"/>
        </w:rPr>
        <w:t> </w:t>
      </w:r>
      <w:r>
        <w:rPr/>
        <w:t>Research (CDER). Available from: </w:t>
      </w:r>
      <w:hyperlink r:id="rId25">
        <w:r>
          <w:rPr/>
          <w:t>http://www.accessdata.fda.gov/scripts/cdrh/cfdocs/cfcfr/</w:t>
        </w:r>
      </w:hyperlink>
      <w:r>
        <w:rPr/>
        <w:t> </w:t>
      </w:r>
      <w:r>
        <w:rPr>
          <w:spacing w:val="-2"/>
        </w:rPr>
        <w:t>cfrsearch.cfm?cfrpart=320</w:t>
      </w:r>
    </w:p>
    <w:p>
      <w:pPr>
        <w:pStyle w:val="BodyText"/>
        <w:spacing w:before="84"/>
      </w:pPr>
    </w:p>
    <w:p>
      <w:pPr>
        <w:spacing w:line="276" w:lineRule="auto" w:before="0"/>
        <w:ind w:left="1100" w:right="1268" w:hanging="720"/>
        <w:jc w:val="both"/>
        <w:rPr>
          <w:sz w:val="24"/>
        </w:rPr>
      </w:pPr>
      <w:r>
        <w:rPr>
          <w:color w:val="212121"/>
          <w:sz w:val="24"/>
        </w:rPr>
        <w:t>FDA, U. (2003). Draft guidance for industry: bioavailability and bioequivalence studies</w:t>
      </w:r>
      <w:r>
        <w:rPr>
          <w:color w:val="212121"/>
          <w:spacing w:val="40"/>
          <w:sz w:val="24"/>
        </w:rPr>
        <w:t> </w:t>
      </w:r>
      <w:r>
        <w:rPr>
          <w:color w:val="212121"/>
          <w:sz w:val="24"/>
        </w:rPr>
        <w:t>for nasal aerosols and nasal sprays for local action. </w:t>
      </w:r>
      <w:r>
        <w:rPr>
          <w:i/>
          <w:color w:val="212121"/>
          <w:sz w:val="24"/>
        </w:rPr>
        <w:t>Rockville (MD): Center for Drug Evaluation and Research, US Department of Health and Human Services</w:t>
      </w:r>
      <w:r>
        <w:rPr>
          <w:color w:val="212121"/>
          <w:sz w:val="24"/>
        </w:rPr>
        <w:t>.</w:t>
      </w:r>
    </w:p>
    <w:p>
      <w:pPr>
        <w:pStyle w:val="BodyText"/>
        <w:spacing w:before="84"/>
      </w:pPr>
    </w:p>
    <w:p>
      <w:pPr>
        <w:pStyle w:val="BodyText"/>
        <w:spacing w:before="1"/>
        <w:ind w:left="380"/>
      </w:pPr>
      <w:r>
        <w:rPr>
          <w:color w:val="212121"/>
        </w:rPr>
        <w:t>Fung,</w:t>
      </w:r>
      <w:r>
        <w:rPr>
          <w:color w:val="212121"/>
          <w:spacing w:val="38"/>
        </w:rPr>
        <w:t> </w:t>
      </w:r>
      <w:r>
        <w:rPr>
          <w:color w:val="212121"/>
        </w:rPr>
        <w:t>H.</w:t>
      </w:r>
      <w:r>
        <w:rPr>
          <w:color w:val="212121"/>
          <w:spacing w:val="43"/>
        </w:rPr>
        <w:t> </w:t>
      </w:r>
      <w:r>
        <w:rPr>
          <w:color w:val="212121"/>
        </w:rPr>
        <w:t>B.</w:t>
      </w:r>
      <w:r>
        <w:rPr>
          <w:color w:val="212121"/>
          <w:spacing w:val="41"/>
        </w:rPr>
        <w:t> </w:t>
      </w:r>
      <w:r>
        <w:rPr>
          <w:color w:val="212121"/>
        </w:rPr>
        <w:t>and</w:t>
      </w:r>
      <w:r>
        <w:rPr>
          <w:color w:val="212121"/>
          <w:spacing w:val="41"/>
        </w:rPr>
        <w:t> </w:t>
      </w:r>
      <w:r>
        <w:rPr>
          <w:color w:val="212121"/>
        </w:rPr>
        <w:t>Doan,</w:t>
      </w:r>
      <w:r>
        <w:rPr>
          <w:color w:val="212121"/>
          <w:spacing w:val="43"/>
        </w:rPr>
        <w:t> </w:t>
      </w:r>
      <w:r>
        <w:rPr>
          <w:color w:val="212121"/>
        </w:rPr>
        <w:t>T.</w:t>
      </w:r>
      <w:r>
        <w:rPr>
          <w:color w:val="212121"/>
          <w:spacing w:val="44"/>
        </w:rPr>
        <w:t> </w:t>
      </w:r>
      <w:r>
        <w:rPr>
          <w:color w:val="212121"/>
        </w:rPr>
        <w:t>L.</w:t>
      </w:r>
      <w:r>
        <w:rPr>
          <w:color w:val="212121"/>
          <w:spacing w:val="44"/>
        </w:rPr>
        <w:t> </w:t>
      </w:r>
      <w:r>
        <w:rPr>
          <w:color w:val="212121"/>
        </w:rPr>
        <w:t>(2005).</w:t>
      </w:r>
      <w:r>
        <w:rPr>
          <w:color w:val="212121"/>
          <w:spacing w:val="40"/>
        </w:rPr>
        <w:t> </w:t>
      </w:r>
      <w:r>
        <w:rPr>
          <w:color w:val="212121"/>
        </w:rPr>
        <w:t>Tinidazole:</w:t>
      </w:r>
      <w:r>
        <w:rPr>
          <w:color w:val="212121"/>
          <w:spacing w:val="41"/>
        </w:rPr>
        <w:t> </w:t>
      </w:r>
      <w:r>
        <w:rPr>
          <w:color w:val="212121"/>
        </w:rPr>
        <w:t>a</w:t>
      </w:r>
      <w:r>
        <w:rPr>
          <w:color w:val="212121"/>
          <w:spacing w:val="41"/>
        </w:rPr>
        <w:t> </w:t>
      </w:r>
      <w:r>
        <w:rPr>
          <w:color w:val="212121"/>
        </w:rPr>
        <w:t>nitroimidazole</w:t>
      </w:r>
      <w:r>
        <w:rPr>
          <w:color w:val="212121"/>
          <w:spacing w:val="41"/>
        </w:rPr>
        <w:t> </w:t>
      </w:r>
      <w:r>
        <w:rPr>
          <w:color w:val="212121"/>
        </w:rPr>
        <w:t>antiprotozoal</w:t>
      </w:r>
      <w:r>
        <w:rPr>
          <w:color w:val="212121"/>
          <w:spacing w:val="42"/>
        </w:rPr>
        <w:t> </w:t>
      </w:r>
      <w:r>
        <w:rPr>
          <w:color w:val="212121"/>
          <w:spacing w:val="-2"/>
        </w:rPr>
        <w:t>agent.</w:t>
      </w:r>
    </w:p>
    <w:p>
      <w:pPr>
        <w:spacing w:before="40"/>
        <w:ind w:left="1100" w:right="0" w:firstLine="0"/>
        <w:jc w:val="left"/>
        <w:rPr>
          <w:sz w:val="24"/>
        </w:rPr>
      </w:pPr>
      <w:r>
        <w:rPr>
          <w:i/>
          <w:color w:val="212121"/>
          <w:sz w:val="24"/>
        </w:rPr>
        <w:t>Clinical</w:t>
      </w:r>
      <w:r>
        <w:rPr>
          <w:i/>
          <w:color w:val="212121"/>
          <w:spacing w:val="-2"/>
          <w:sz w:val="24"/>
        </w:rPr>
        <w:t> </w:t>
      </w:r>
      <w:r>
        <w:rPr>
          <w:i/>
          <w:color w:val="212121"/>
          <w:sz w:val="24"/>
        </w:rPr>
        <w:t>therapeutics</w:t>
      </w:r>
      <w:r>
        <w:rPr>
          <w:color w:val="212121"/>
          <w:sz w:val="24"/>
        </w:rPr>
        <w:t>,</w:t>
      </w:r>
      <w:r>
        <w:rPr>
          <w:color w:val="212121"/>
          <w:spacing w:val="-2"/>
          <w:sz w:val="24"/>
        </w:rPr>
        <w:t> </w:t>
      </w:r>
      <w:r>
        <w:rPr>
          <w:i/>
          <w:color w:val="212121"/>
          <w:sz w:val="24"/>
        </w:rPr>
        <w:t>27</w:t>
      </w:r>
      <w:r>
        <w:rPr>
          <w:color w:val="212121"/>
          <w:sz w:val="24"/>
        </w:rPr>
        <w:t>(12),</w:t>
      </w:r>
      <w:r>
        <w:rPr>
          <w:color w:val="212121"/>
          <w:spacing w:val="-1"/>
          <w:sz w:val="24"/>
        </w:rPr>
        <w:t> </w:t>
      </w:r>
      <w:r>
        <w:rPr>
          <w:color w:val="212121"/>
          <w:sz w:val="24"/>
        </w:rPr>
        <w:t>1859-</w:t>
      </w:r>
      <w:r>
        <w:rPr>
          <w:color w:val="212121"/>
          <w:spacing w:val="-2"/>
          <w:sz w:val="24"/>
        </w:rPr>
        <w:t>1884.</w:t>
      </w:r>
    </w:p>
    <w:p>
      <w:pPr>
        <w:pStyle w:val="BodyText"/>
        <w:spacing w:before="125"/>
      </w:pPr>
    </w:p>
    <w:p>
      <w:pPr>
        <w:pStyle w:val="BodyText"/>
        <w:spacing w:line="276" w:lineRule="auto"/>
        <w:ind w:left="1100" w:right="1268" w:hanging="720"/>
        <w:jc w:val="both"/>
      </w:pPr>
      <w:r>
        <w:rPr>
          <w:color w:val="212121"/>
        </w:rPr>
        <w:t>Gajendran, J., Kraemer, J.and Knudsen, S. R. (2008). Product performance test for medicated chewing gums. In </w:t>
      </w:r>
      <w:r>
        <w:rPr>
          <w:i/>
          <w:color w:val="212121"/>
        </w:rPr>
        <w:t>Pharmacopeial Forum </w:t>
      </w:r>
      <w:r>
        <w:rPr>
          <w:color w:val="212121"/>
        </w:rPr>
        <w:t>34, (3), pp. 843-847.</w:t>
      </w:r>
    </w:p>
    <w:p>
      <w:pPr>
        <w:pStyle w:val="BodyText"/>
        <w:spacing w:before="83"/>
      </w:pPr>
    </w:p>
    <w:p>
      <w:pPr>
        <w:spacing w:line="278" w:lineRule="auto" w:before="1"/>
        <w:ind w:left="1100" w:right="1270" w:hanging="720"/>
        <w:jc w:val="both"/>
        <w:rPr>
          <w:sz w:val="24"/>
        </w:rPr>
      </w:pPr>
      <w:r>
        <w:rPr>
          <w:color w:val="212121"/>
          <w:sz w:val="24"/>
        </w:rPr>
        <w:t>Gibson, M. (Ed.). (2009). </w:t>
      </w:r>
      <w:r>
        <w:rPr>
          <w:i/>
          <w:color w:val="212121"/>
          <w:sz w:val="24"/>
        </w:rPr>
        <w:t>Pharmaceutical preformulation and formulation: a practical guide from candidate drug selection to commercial dosage form</w:t>
      </w:r>
      <w:r>
        <w:rPr>
          <w:color w:val="212121"/>
          <w:sz w:val="24"/>
        </w:rPr>
        <w:t>. </w:t>
      </w:r>
      <w:r>
        <w:rPr>
          <w:sz w:val="24"/>
        </w:rPr>
        <w:t>pp. 71-9</w:t>
      </w:r>
    </w:p>
    <w:p>
      <w:pPr>
        <w:pStyle w:val="BodyText"/>
        <w:spacing w:before="79"/>
      </w:pPr>
    </w:p>
    <w:p>
      <w:pPr>
        <w:spacing w:line="276" w:lineRule="auto" w:before="0"/>
        <w:ind w:left="1100" w:right="1261" w:hanging="720"/>
        <w:jc w:val="both"/>
        <w:rPr>
          <w:sz w:val="24"/>
        </w:rPr>
      </w:pPr>
      <w:r>
        <w:rPr>
          <w:color w:val="212121"/>
          <w:sz w:val="24"/>
        </w:rPr>
        <w:t>Goodman, L. S., and Gilman, A. (2006). Pharmacokinetics and Pharmacodynamics: The dynamics of drug absorption, distribution, action, and elimination. </w:t>
      </w:r>
      <w:r>
        <w:rPr>
          <w:i/>
          <w:color w:val="212121"/>
          <w:sz w:val="24"/>
        </w:rPr>
        <w:t>The Pharmacological Basis of Therapeutics (11th edn.). New York: McGraw Hill</w:t>
      </w:r>
      <w:r>
        <w:rPr>
          <w:color w:val="212121"/>
          <w:sz w:val="24"/>
        </w:rPr>
        <w:t>. </w:t>
      </w:r>
      <w:r>
        <w:rPr>
          <w:sz w:val="24"/>
        </w:rPr>
        <w:t>pp. </w:t>
      </w:r>
      <w:r>
        <w:rPr>
          <w:spacing w:val="-4"/>
          <w:sz w:val="24"/>
        </w:rPr>
        <w:t>1-20</w:t>
      </w:r>
    </w:p>
    <w:p>
      <w:pPr>
        <w:spacing w:after="0" w:line="276" w:lineRule="auto"/>
        <w:jc w:val="both"/>
        <w:rPr>
          <w:sz w:val="24"/>
        </w:rPr>
        <w:sectPr>
          <w:pgSz w:w="12240" w:h="15840"/>
          <w:pgMar w:header="0" w:footer="1068" w:top="1540" w:bottom="1260" w:left="1420" w:right="440"/>
        </w:sectPr>
      </w:pPr>
    </w:p>
    <w:p>
      <w:pPr>
        <w:pStyle w:val="BodyText"/>
        <w:spacing w:before="72"/>
        <w:ind w:left="1100" w:right="1175" w:hanging="720"/>
      </w:pPr>
      <w:r>
        <w:rPr>
          <w:color w:val="212121"/>
        </w:rPr>
        <w:t>Gummadi, S., Thota, D., Varri, S. V., Vaddi, P., and Jillella, V. L. N. S. R. (2012). Development and validation of UV spectroscopic methods for simultaneous estimation</w:t>
      </w:r>
      <w:r>
        <w:rPr>
          <w:color w:val="212121"/>
          <w:spacing w:val="-5"/>
        </w:rPr>
        <w:t> </w:t>
      </w:r>
      <w:r>
        <w:rPr>
          <w:color w:val="212121"/>
        </w:rPr>
        <w:t>of</w:t>
      </w:r>
      <w:r>
        <w:rPr>
          <w:color w:val="212121"/>
          <w:spacing w:val="-5"/>
        </w:rPr>
        <w:t> </w:t>
      </w:r>
      <w:r>
        <w:rPr>
          <w:color w:val="212121"/>
        </w:rPr>
        <w:t>ciprofloxacin</w:t>
      </w:r>
      <w:r>
        <w:rPr>
          <w:color w:val="212121"/>
          <w:spacing w:val="-5"/>
        </w:rPr>
        <w:t> </w:t>
      </w:r>
      <w:r>
        <w:rPr>
          <w:color w:val="212121"/>
        </w:rPr>
        <w:t>and</w:t>
      </w:r>
      <w:r>
        <w:rPr>
          <w:color w:val="212121"/>
          <w:spacing w:val="-5"/>
        </w:rPr>
        <w:t> </w:t>
      </w:r>
      <w:r>
        <w:rPr>
          <w:color w:val="212121"/>
        </w:rPr>
        <w:t>tinidazole</w:t>
      </w:r>
      <w:r>
        <w:rPr>
          <w:color w:val="212121"/>
          <w:spacing w:val="-5"/>
        </w:rPr>
        <w:t> </w:t>
      </w:r>
      <w:r>
        <w:rPr>
          <w:color w:val="212121"/>
        </w:rPr>
        <w:t>in</w:t>
      </w:r>
      <w:r>
        <w:rPr>
          <w:color w:val="212121"/>
          <w:spacing w:val="-5"/>
        </w:rPr>
        <w:t> </w:t>
      </w:r>
      <w:r>
        <w:rPr>
          <w:color w:val="212121"/>
        </w:rPr>
        <w:t>tablet</w:t>
      </w:r>
      <w:r>
        <w:rPr>
          <w:color w:val="212121"/>
          <w:spacing w:val="-7"/>
        </w:rPr>
        <w:t> </w:t>
      </w:r>
      <w:r>
        <w:rPr>
          <w:color w:val="212121"/>
        </w:rPr>
        <w:t>formulation. </w:t>
      </w:r>
      <w:r>
        <w:rPr>
          <w:i/>
        </w:rPr>
        <w:t>World</w:t>
      </w:r>
      <w:r>
        <w:rPr>
          <w:i/>
          <w:spacing w:val="-3"/>
        </w:rPr>
        <w:t> </w:t>
      </w:r>
      <w:r>
        <w:rPr>
          <w:i/>
        </w:rPr>
        <w:t>Journal</w:t>
      </w:r>
      <w:r>
        <w:rPr>
          <w:i/>
          <w:spacing w:val="-5"/>
        </w:rPr>
        <w:t> </w:t>
      </w:r>
      <w:r>
        <w:rPr>
          <w:i/>
        </w:rPr>
        <w:t>of Chemistry </w:t>
      </w:r>
      <w:r>
        <w:rPr/>
        <w:t>3 (2): 83-86</w:t>
      </w:r>
    </w:p>
    <w:p>
      <w:pPr>
        <w:pStyle w:val="BodyText"/>
        <w:spacing w:before="2"/>
      </w:pPr>
    </w:p>
    <w:p>
      <w:pPr>
        <w:pStyle w:val="BodyText"/>
        <w:spacing w:line="276" w:lineRule="auto" w:before="1"/>
        <w:ind w:left="1100" w:right="1268" w:hanging="720"/>
        <w:jc w:val="both"/>
      </w:pPr>
      <w:r>
        <w:rPr>
          <w:color w:val="212121"/>
        </w:rPr>
        <w:t>Günay, N. S., Çapan, G., Ulusoy, N., Ergenç, N., Ötük, G. and Kaya, D.(1999). 5- Nitroimidazole derivatives as possible antibacterial and antifungal agents. </w:t>
      </w:r>
      <w:r>
        <w:rPr>
          <w:i/>
          <w:color w:val="212121"/>
        </w:rPr>
        <w:t>Il Farmaco</w:t>
      </w:r>
      <w:r>
        <w:rPr>
          <w:color w:val="212121"/>
        </w:rPr>
        <w:t>, </w:t>
      </w:r>
      <w:r>
        <w:rPr>
          <w:i/>
          <w:color w:val="212121"/>
        </w:rPr>
        <w:t>54</w:t>
      </w:r>
      <w:r>
        <w:rPr>
          <w:color w:val="212121"/>
        </w:rPr>
        <w:t>(11), 826-831.</w:t>
      </w:r>
    </w:p>
    <w:p>
      <w:pPr>
        <w:pStyle w:val="BodyText"/>
        <w:spacing w:before="84"/>
      </w:pPr>
    </w:p>
    <w:p>
      <w:pPr>
        <w:pStyle w:val="BodyText"/>
        <w:spacing w:line="276" w:lineRule="auto"/>
        <w:ind w:left="1100" w:right="1268" w:hanging="720"/>
        <w:jc w:val="both"/>
      </w:pPr>
      <w:r>
        <w:rPr>
          <w:color w:val="212121"/>
        </w:rPr>
        <w:t>Hardwidge, E. A., Sarapu, A. C. and Laughlin, W. C. (1978). Comparison of operational characteristics of different dissolution testing systems; </w:t>
      </w:r>
      <w:r>
        <w:rPr>
          <w:i/>
          <w:color w:val="212121"/>
        </w:rPr>
        <w:t>Journal of Pharmaceutical Sciences</w:t>
      </w:r>
      <w:r>
        <w:rPr>
          <w:color w:val="212121"/>
        </w:rPr>
        <w:t>, </w:t>
      </w:r>
      <w:r>
        <w:rPr>
          <w:i/>
          <w:color w:val="212121"/>
        </w:rPr>
        <w:t>67</w:t>
      </w:r>
      <w:r>
        <w:rPr>
          <w:color w:val="212121"/>
        </w:rPr>
        <w:t>(12), 1732-1735.</w:t>
      </w:r>
    </w:p>
    <w:p>
      <w:pPr>
        <w:pStyle w:val="BodyText"/>
        <w:spacing w:before="83"/>
      </w:pPr>
    </w:p>
    <w:p>
      <w:pPr>
        <w:pStyle w:val="BodyText"/>
        <w:ind w:left="380"/>
      </w:pPr>
      <w:r>
        <w:rPr>
          <w:color w:val="212121"/>
        </w:rPr>
        <w:t>Holford,</w:t>
      </w:r>
      <w:r>
        <w:rPr>
          <w:color w:val="212121"/>
          <w:spacing w:val="-5"/>
        </w:rPr>
        <w:t> </w:t>
      </w:r>
      <w:r>
        <w:rPr>
          <w:color w:val="212121"/>
        </w:rPr>
        <w:t>N.</w:t>
      </w:r>
      <w:r>
        <w:rPr>
          <w:color w:val="212121"/>
          <w:spacing w:val="-2"/>
        </w:rPr>
        <w:t> </w:t>
      </w:r>
      <w:r>
        <w:rPr>
          <w:color w:val="212121"/>
        </w:rPr>
        <w:t>H.</w:t>
      </w:r>
      <w:r>
        <w:rPr>
          <w:color w:val="212121"/>
          <w:spacing w:val="-2"/>
        </w:rPr>
        <w:t> </w:t>
      </w:r>
      <w:r>
        <w:rPr>
          <w:color w:val="212121"/>
        </w:rPr>
        <w:t>G.</w:t>
      </w:r>
      <w:r>
        <w:rPr>
          <w:color w:val="212121"/>
          <w:spacing w:val="25"/>
        </w:rPr>
        <w:t> </w:t>
      </w:r>
      <w:r>
        <w:rPr>
          <w:color w:val="212121"/>
        </w:rPr>
        <w:t>(2003)</w:t>
      </w:r>
      <w:r>
        <w:rPr>
          <w:color w:val="212121"/>
          <w:spacing w:val="26"/>
        </w:rPr>
        <w:t> </w:t>
      </w:r>
      <w:r>
        <w:rPr>
          <w:color w:val="212121"/>
        </w:rPr>
        <w:t>Pharmacokinetic</w:t>
      </w:r>
      <w:r>
        <w:rPr>
          <w:color w:val="212121"/>
          <w:spacing w:val="23"/>
        </w:rPr>
        <w:t> </w:t>
      </w:r>
      <w:r>
        <w:rPr>
          <w:color w:val="212121"/>
        </w:rPr>
        <w:t>and</w:t>
      </w:r>
      <w:r>
        <w:rPr>
          <w:color w:val="212121"/>
          <w:spacing w:val="26"/>
        </w:rPr>
        <w:t> </w:t>
      </w:r>
      <w:r>
        <w:rPr>
          <w:color w:val="212121"/>
        </w:rPr>
        <w:t>pharmacodynamic</w:t>
      </w:r>
      <w:r>
        <w:rPr>
          <w:color w:val="212121"/>
          <w:spacing w:val="23"/>
        </w:rPr>
        <w:t> </w:t>
      </w:r>
      <w:r>
        <w:rPr>
          <w:color w:val="212121"/>
        </w:rPr>
        <w:t>principles.In:</w:t>
      </w:r>
      <w:r>
        <w:rPr>
          <w:color w:val="212121"/>
          <w:spacing w:val="25"/>
        </w:rPr>
        <w:t> </w:t>
      </w:r>
      <w:r>
        <w:rPr>
          <w:spacing w:val="-2"/>
        </w:rPr>
        <w:t>Katzung,</w:t>
      </w:r>
    </w:p>
    <w:p>
      <w:pPr>
        <w:spacing w:line="276" w:lineRule="auto" w:before="43"/>
        <w:ind w:left="1100" w:right="1267" w:firstLine="0"/>
        <w:jc w:val="left"/>
        <w:rPr>
          <w:sz w:val="24"/>
        </w:rPr>
      </w:pPr>
      <w:r>
        <w:rPr>
          <w:sz w:val="24"/>
        </w:rPr>
        <w:t>B.</w:t>
      </w:r>
      <w:r>
        <w:rPr>
          <w:spacing w:val="31"/>
          <w:sz w:val="24"/>
        </w:rPr>
        <w:t> </w:t>
      </w:r>
      <w:r>
        <w:rPr>
          <w:sz w:val="24"/>
        </w:rPr>
        <w:t>G.</w:t>
      </w:r>
      <w:r>
        <w:rPr>
          <w:spacing w:val="31"/>
          <w:sz w:val="24"/>
        </w:rPr>
        <w:t> </w:t>
      </w:r>
      <w:r>
        <w:rPr>
          <w:i/>
          <w:sz w:val="24"/>
        </w:rPr>
        <w:t>Basic</w:t>
      </w:r>
      <w:r>
        <w:rPr>
          <w:i/>
          <w:spacing w:val="33"/>
          <w:sz w:val="24"/>
        </w:rPr>
        <w:t> </w:t>
      </w:r>
      <w:r>
        <w:rPr>
          <w:i/>
          <w:sz w:val="24"/>
        </w:rPr>
        <w:t>and</w:t>
      </w:r>
      <w:r>
        <w:rPr>
          <w:i/>
          <w:spacing w:val="31"/>
          <w:sz w:val="24"/>
        </w:rPr>
        <w:t> </w:t>
      </w:r>
      <w:r>
        <w:rPr>
          <w:i/>
          <w:sz w:val="24"/>
        </w:rPr>
        <w:t>Clinical</w:t>
      </w:r>
      <w:r>
        <w:rPr>
          <w:i/>
          <w:spacing w:val="31"/>
          <w:sz w:val="24"/>
        </w:rPr>
        <w:t> </w:t>
      </w:r>
      <w:r>
        <w:rPr>
          <w:i/>
          <w:sz w:val="24"/>
        </w:rPr>
        <w:t>Pharmacology</w:t>
      </w:r>
      <w:r>
        <w:rPr>
          <w:sz w:val="24"/>
        </w:rPr>
        <w:t>.</w:t>
      </w:r>
      <w:r>
        <w:rPr>
          <w:spacing w:val="31"/>
          <w:sz w:val="24"/>
        </w:rPr>
        <w:t> </w:t>
      </w:r>
      <w:r>
        <w:rPr>
          <w:sz w:val="24"/>
        </w:rPr>
        <w:t>The</w:t>
      </w:r>
      <w:r>
        <w:rPr>
          <w:spacing w:val="33"/>
          <w:sz w:val="24"/>
        </w:rPr>
        <w:t> </w:t>
      </w:r>
      <w:r>
        <w:rPr>
          <w:sz w:val="24"/>
        </w:rPr>
        <w:t>McGraw-Hill</w:t>
      </w:r>
      <w:r>
        <w:rPr>
          <w:spacing w:val="32"/>
          <w:sz w:val="24"/>
        </w:rPr>
        <w:t> </w:t>
      </w:r>
      <w:r>
        <w:rPr>
          <w:sz w:val="24"/>
        </w:rPr>
        <w:t>Companies</w:t>
      </w:r>
      <w:r>
        <w:rPr>
          <w:spacing w:val="34"/>
          <w:sz w:val="24"/>
        </w:rPr>
        <w:t> </w:t>
      </w:r>
      <w:r>
        <w:rPr>
          <w:sz w:val="24"/>
        </w:rPr>
        <w:t>Inc.</w:t>
      </w:r>
      <w:r>
        <w:rPr>
          <w:spacing w:val="31"/>
          <w:sz w:val="24"/>
        </w:rPr>
        <w:t> </w:t>
      </w:r>
      <w:r>
        <w:rPr>
          <w:sz w:val="24"/>
        </w:rPr>
        <w:t>PP. </w:t>
      </w:r>
      <w:r>
        <w:rPr>
          <w:spacing w:val="-2"/>
          <w:sz w:val="24"/>
        </w:rPr>
        <w:t>34-50</w:t>
      </w:r>
    </w:p>
    <w:p>
      <w:pPr>
        <w:pStyle w:val="BodyText"/>
        <w:spacing w:before="83"/>
      </w:pPr>
    </w:p>
    <w:p>
      <w:pPr>
        <w:pStyle w:val="BodyText"/>
        <w:spacing w:line="276" w:lineRule="auto"/>
        <w:ind w:left="1100" w:right="1264" w:hanging="720"/>
        <w:jc w:val="both"/>
      </w:pPr>
      <w:r>
        <w:rPr/>
        <w:t>Iain, L. O. B. (2006). Pharmacokinetics and Pharmacodynamics: The Dynamics of Drug Absorption,</w:t>
      </w:r>
      <w:r>
        <w:rPr>
          <w:spacing w:val="-1"/>
        </w:rPr>
        <w:t> </w:t>
      </w:r>
      <w:r>
        <w:rPr/>
        <w:t>Distribution,</w:t>
      </w:r>
      <w:r>
        <w:rPr>
          <w:spacing w:val="-1"/>
        </w:rPr>
        <w:t> </w:t>
      </w:r>
      <w:r>
        <w:rPr/>
        <w:t>Action,</w:t>
      </w:r>
      <w:r>
        <w:rPr>
          <w:spacing w:val="-1"/>
        </w:rPr>
        <w:t> </w:t>
      </w:r>
      <w:r>
        <w:rPr/>
        <w:t>and Elimination. In:</w:t>
      </w:r>
      <w:r>
        <w:rPr>
          <w:spacing w:val="-1"/>
        </w:rPr>
        <w:t> </w:t>
      </w:r>
      <w:r>
        <w:rPr/>
        <w:t>Goodman and</w:t>
      </w:r>
      <w:r>
        <w:rPr>
          <w:spacing w:val="80"/>
        </w:rPr>
        <w:t> </w:t>
      </w:r>
      <w:r>
        <w:rPr/>
        <w:t>Gilman </w:t>
      </w:r>
      <w:r>
        <w:rPr>
          <w:i/>
        </w:rPr>
        <w:t>The Pharmacology Basis of Therapeutics</w:t>
      </w:r>
      <w:r>
        <w:rPr/>
        <w:t>. McGraw-Hill Companies, Inc. pp. 1-20.</w:t>
      </w:r>
    </w:p>
    <w:p>
      <w:pPr>
        <w:pStyle w:val="BodyText"/>
        <w:spacing w:before="85"/>
      </w:pPr>
    </w:p>
    <w:p>
      <w:pPr>
        <w:pStyle w:val="BodyText"/>
        <w:spacing w:line="276" w:lineRule="auto"/>
        <w:ind w:left="1100" w:right="1272" w:hanging="720"/>
        <w:jc w:val="both"/>
      </w:pPr>
      <w:r>
        <w:rPr/>
        <w:t>Issa, M. G. and Ferraz, H. G. (2011). Intrinsic dissolution as a tool for evaluating drug solubility in accordance with the biopharmaceutics classification system. </w:t>
      </w:r>
      <w:r>
        <w:rPr>
          <w:i/>
        </w:rPr>
        <w:t>Dissolution</w:t>
      </w:r>
      <w:r>
        <w:rPr>
          <w:i/>
          <w:spacing w:val="40"/>
        </w:rPr>
        <w:t> </w:t>
      </w:r>
      <w:r>
        <w:rPr>
          <w:i/>
        </w:rPr>
        <w:t>Technology</w:t>
      </w:r>
      <w:r>
        <w:rPr/>
        <w:t>, </w:t>
      </w:r>
      <w:r>
        <w:rPr>
          <w:i/>
        </w:rPr>
        <w:t>18</w:t>
      </w:r>
      <w:r>
        <w:rPr/>
        <w:t>(3), 6-11.</w:t>
      </w:r>
    </w:p>
    <w:p>
      <w:pPr>
        <w:pStyle w:val="BodyText"/>
        <w:spacing w:before="85"/>
      </w:pPr>
    </w:p>
    <w:p>
      <w:pPr>
        <w:spacing w:line="276" w:lineRule="auto" w:before="0"/>
        <w:ind w:left="1100" w:right="1266" w:hanging="720"/>
        <w:jc w:val="both"/>
        <w:rPr>
          <w:sz w:val="24"/>
        </w:rPr>
      </w:pPr>
      <w:r>
        <w:rPr>
          <w:sz w:val="24"/>
        </w:rPr>
        <w:t>Katzung, B. G. (2004). </w:t>
      </w:r>
      <w:r>
        <w:rPr>
          <w:i/>
          <w:sz w:val="24"/>
        </w:rPr>
        <w:t>Basic and Clinical pharmacology</w:t>
      </w:r>
      <w:r>
        <w:rPr>
          <w:sz w:val="24"/>
        </w:rPr>
        <w:t>. The McGraw-Hill Companies Inc. PP. 34-50.</w:t>
      </w:r>
    </w:p>
    <w:p>
      <w:pPr>
        <w:pStyle w:val="BodyText"/>
        <w:spacing w:before="83"/>
      </w:pPr>
    </w:p>
    <w:p>
      <w:pPr>
        <w:pStyle w:val="BodyText"/>
        <w:spacing w:line="276" w:lineRule="auto"/>
        <w:ind w:left="1100" w:right="1263" w:hanging="720"/>
        <w:jc w:val="both"/>
      </w:pPr>
      <w:r>
        <w:rPr>
          <w:color w:val="212121"/>
        </w:rPr>
        <w:t>Kim, M. S.,</w:t>
      </w:r>
      <w:r>
        <w:rPr>
          <w:color w:val="212121"/>
          <w:spacing w:val="-1"/>
        </w:rPr>
        <w:t> </w:t>
      </w:r>
      <w:r>
        <w:rPr>
          <w:color w:val="212121"/>
        </w:rPr>
        <w:t>Jin, S.</w:t>
      </w:r>
      <w:r>
        <w:rPr>
          <w:color w:val="212121"/>
          <w:spacing w:val="-4"/>
        </w:rPr>
        <w:t> </w:t>
      </w:r>
      <w:r>
        <w:rPr>
          <w:color w:val="212121"/>
        </w:rPr>
        <w:t>J., Kim,</w:t>
      </w:r>
      <w:r>
        <w:rPr>
          <w:color w:val="212121"/>
          <w:spacing w:val="-1"/>
        </w:rPr>
        <w:t> </w:t>
      </w:r>
      <w:r>
        <w:rPr>
          <w:color w:val="212121"/>
        </w:rPr>
        <w:t>J. S.,</w:t>
      </w:r>
      <w:r>
        <w:rPr>
          <w:color w:val="212121"/>
          <w:spacing w:val="-2"/>
        </w:rPr>
        <w:t> </w:t>
      </w:r>
      <w:r>
        <w:rPr>
          <w:color w:val="212121"/>
        </w:rPr>
        <w:t>Park, H.</w:t>
      </w:r>
      <w:r>
        <w:rPr>
          <w:color w:val="212121"/>
          <w:spacing w:val="-1"/>
        </w:rPr>
        <w:t> </w:t>
      </w:r>
      <w:r>
        <w:rPr>
          <w:color w:val="212121"/>
        </w:rPr>
        <w:t>J., Song, H. S., Neubert, R. H., and Hwang, S. J. (2008). Preparation, characterization and </w:t>
      </w:r>
      <w:r>
        <w:rPr>
          <w:i/>
          <w:color w:val="212121"/>
        </w:rPr>
        <w:t>in vivo </w:t>
      </w:r>
      <w:r>
        <w:rPr>
          <w:color w:val="212121"/>
        </w:rPr>
        <w:t>evaluation of amorphous atorvastatin calcium nanoparticles using supercritical antisolvent (SAS) process; </w:t>
      </w:r>
      <w:r>
        <w:rPr>
          <w:i/>
          <w:color w:val="212121"/>
        </w:rPr>
        <w:t>European Journal of Pharmaceutics and Biopharmaceutics</w:t>
      </w:r>
      <w:r>
        <w:rPr>
          <w:color w:val="212121"/>
        </w:rPr>
        <w:t>, </w:t>
      </w:r>
      <w:r>
        <w:rPr>
          <w:i/>
          <w:color w:val="212121"/>
        </w:rPr>
        <w:t>69</w:t>
      </w:r>
      <w:r>
        <w:rPr>
          <w:color w:val="212121"/>
        </w:rPr>
        <w:t>(2), 454-465.</w:t>
      </w:r>
    </w:p>
    <w:p>
      <w:pPr>
        <w:pStyle w:val="BodyText"/>
        <w:spacing w:before="82"/>
      </w:pPr>
    </w:p>
    <w:p>
      <w:pPr>
        <w:spacing w:before="0"/>
        <w:ind w:left="1100" w:right="1175" w:hanging="720"/>
        <w:jc w:val="left"/>
        <w:rPr>
          <w:sz w:val="24"/>
        </w:rPr>
      </w:pPr>
      <w:r>
        <w:rPr>
          <w:color w:val="212121"/>
          <w:sz w:val="24"/>
        </w:rPr>
        <w:t>Kothapalli,</w:t>
      </w:r>
      <w:r>
        <w:rPr>
          <w:color w:val="212121"/>
          <w:spacing w:val="-3"/>
          <w:sz w:val="24"/>
        </w:rPr>
        <w:t> </w:t>
      </w:r>
      <w:r>
        <w:rPr>
          <w:color w:val="212121"/>
          <w:sz w:val="24"/>
        </w:rPr>
        <w:t>U.,</w:t>
      </w:r>
      <w:r>
        <w:rPr>
          <w:color w:val="212121"/>
          <w:spacing w:val="-3"/>
          <w:sz w:val="24"/>
        </w:rPr>
        <w:t> </w:t>
      </w:r>
      <w:r>
        <w:rPr>
          <w:color w:val="212121"/>
          <w:sz w:val="24"/>
        </w:rPr>
        <w:t>Vandana,</w:t>
      </w:r>
      <w:r>
        <w:rPr>
          <w:color w:val="212121"/>
          <w:spacing w:val="-1"/>
          <w:sz w:val="24"/>
        </w:rPr>
        <w:t> </w:t>
      </w:r>
      <w:r>
        <w:rPr>
          <w:color w:val="212121"/>
          <w:sz w:val="24"/>
        </w:rPr>
        <w:t>K.,</w:t>
      </w:r>
      <w:r>
        <w:rPr>
          <w:color w:val="212121"/>
          <w:spacing w:val="-3"/>
          <w:sz w:val="24"/>
        </w:rPr>
        <w:t> </w:t>
      </w:r>
      <w:r>
        <w:rPr>
          <w:color w:val="212121"/>
          <w:sz w:val="24"/>
        </w:rPr>
        <w:t>Dash,</w:t>
      </w:r>
      <w:r>
        <w:rPr>
          <w:color w:val="212121"/>
          <w:spacing w:val="-3"/>
          <w:sz w:val="24"/>
        </w:rPr>
        <w:t> </w:t>
      </w:r>
      <w:r>
        <w:rPr>
          <w:color w:val="212121"/>
          <w:sz w:val="24"/>
        </w:rPr>
        <w:t>A.</w:t>
      </w:r>
      <w:r>
        <w:rPr>
          <w:color w:val="212121"/>
          <w:spacing w:val="-3"/>
          <w:sz w:val="24"/>
        </w:rPr>
        <w:t> </w:t>
      </w:r>
      <w:r>
        <w:rPr>
          <w:color w:val="212121"/>
          <w:sz w:val="24"/>
        </w:rPr>
        <w:t>K.,</w:t>
      </w:r>
      <w:r>
        <w:rPr>
          <w:color w:val="212121"/>
          <w:spacing w:val="-3"/>
          <w:sz w:val="24"/>
        </w:rPr>
        <w:t> </w:t>
      </w:r>
      <w:r>
        <w:rPr>
          <w:color w:val="212121"/>
          <w:sz w:val="24"/>
        </w:rPr>
        <w:t>Kishore,</w:t>
      </w:r>
      <w:r>
        <w:rPr>
          <w:color w:val="212121"/>
          <w:spacing w:val="-3"/>
          <w:sz w:val="24"/>
        </w:rPr>
        <w:t> </w:t>
      </w:r>
      <w:r>
        <w:rPr>
          <w:color w:val="212121"/>
          <w:sz w:val="24"/>
        </w:rPr>
        <w:t>T.</w:t>
      </w:r>
      <w:r>
        <w:rPr>
          <w:color w:val="212121"/>
          <w:spacing w:val="-3"/>
          <w:sz w:val="24"/>
        </w:rPr>
        <w:t> </w:t>
      </w:r>
      <w:r>
        <w:rPr>
          <w:color w:val="212121"/>
          <w:sz w:val="24"/>
        </w:rPr>
        <w:t>S.,</w:t>
      </w:r>
      <w:r>
        <w:rPr>
          <w:color w:val="212121"/>
          <w:spacing w:val="-3"/>
          <w:sz w:val="24"/>
        </w:rPr>
        <w:t> </w:t>
      </w:r>
      <w:r>
        <w:rPr>
          <w:color w:val="212121"/>
          <w:sz w:val="24"/>
        </w:rPr>
        <w:t>Harika,</w:t>
      </w:r>
      <w:r>
        <w:rPr>
          <w:color w:val="212121"/>
          <w:spacing w:val="-1"/>
          <w:sz w:val="24"/>
        </w:rPr>
        <w:t> </w:t>
      </w:r>
      <w:r>
        <w:rPr>
          <w:color w:val="212121"/>
          <w:sz w:val="24"/>
        </w:rPr>
        <w:t>L.,</w:t>
      </w:r>
      <w:r>
        <w:rPr>
          <w:color w:val="212121"/>
          <w:spacing w:val="-3"/>
          <w:sz w:val="24"/>
        </w:rPr>
        <w:t> </w:t>
      </w:r>
      <w:r>
        <w:rPr>
          <w:color w:val="212121"/>
          <w:sz w:val="24"/>
        </w:rPr>
        <w:t>and</w:t>
      </w:r>
      <w:r>
        <w:rPr>
          <w:color w:val="212121"/>
          <w:spacing w:val="-2"/>
          <w:sz w:val="24"/>
        </w:rPr>
        <w:t> </w:t>
      </w:r>
      <w:r>
        <w:rPr>
          <w:color w:val="212121"/>
          <w:sz w:val="24"/>
        </w:rPr>
        <w:t>Pradhan,</w:t>
      </w:r>
      <w:r>
        <w:rPr>
          <w:color w:val="212121"/>
          <w:spacing w:val="-3"/>
          <w:sz w:val="24"/>
        </w:rPr>
        <w:t> </w:t>
      </w:r>
      <w:r>
        <w:rPr>
          <w:color w:val="212121"/>
          <w:sz w:val="24"/>
        </w:rPr>
        <w:t>K.</w:t>
      </w:r>
      <w:r>
        <w:rPr>
          <w:color w:val="212121"/>
          <w:spacing w:val="-3"/>
          <w:sz w:val="24"/>
        </w:rPr>
        <w:t> </w:t>
      </w:r>
      <w:r>
        <w:rPr>
          <w:color w:val="212121"/>
          <w:sz w:val="24"/>
        </w:rPr>
        <w:t>K. (2011). A Validated UV-Spectrophotometric Method for the Estimation of Tinidazole in Bulk and Pharmaceutical Dosage Form. </w:t>
      </w:r>
      <w:r>
        <w:rPr>
          <w:i/>
          <w:color w:val="212121"/>
          <w:sz w:val="24"/>
        </w:rPr>
        <w:t>International Journal of Pharmaceutical and Biological Archives</w:t>
      </w:r>
      <w:r>
        <w:rPr>
          <w:color w:val="212121"/>
          <w:sz w:val="24"/>
        </w:rPr>
        <w:t>, </w:t>
      </w:r>
      <w:r>
        <w:rPr>
          <w:i/>
          <w:color w:val="212121"/>
          <w:sz w:val="24"/>
        </w:rPr>
        <w:t>2</w:t>
      </w:r>
      <w:r>
        <w:rPr>
          <w:color w:val="212121"/>
          <w:sz w:val="24"/>
        </w:rPr>
        <w:t>(4), 1152-1156.</w:t>
      </w:r>
    </w:p>
    <w:p>
      <w:pPr>
        <w:pStyle w:val="BodyText"/>
        <w:spacing w:before="3"/>
      </w:pPr>
    </w:p>
    <w:p>
      <w:pPr>
        <w:pStyle w:val="BodyText"/>
        <w:spacing w:line="276" w:lineRule="auto"/>
        <w:ind w:left="1100" w:right="1264" w:hanging="720"/>
        <w:jc w:val="both"/>
      </w:pPr>
      <w:r>
        <w:rPr>
          <w:color w:val="212121"/>
        </w:rPr>
        <w:t>Kowalski, P. and Bieniecki, M. (2006). Pharmacokinetics and bioavailability study of l- ornithine–l-aspartate</w:t>
      </w:r>
      <w:r>
        <w:rPr>
          <w:color w:val="212121"/>
          <w:spacing w:val="73"/>
        </w:rPr>
        <w:t> </w:t>
      </w:r>
      <w:r>
        <w:rPr>
          <w:color w:val="212121"/>
        </w:rPr>
        <w:t>in</w:t>
      </w:r>
      <w:r>
        <w:rPr>
          <w:color w:val="212121"/>
          <w:spacing w:val="77"/>
        </w:rPr>
        <w:t> </w:t>
      </w:r>
      <w:r>
        <w:rPr>
          <w:color w:val="212121"/>
        </w:rPr>
        <w:t>healthy</w:t>
      </w:r>
      <w:r>
        <w:rPr>
          <w:color w:val="212121"/>
          <w:spacing w:val="71"/>
        </w:rPr>
        <w:t> </w:t>
      </w:r>
      <w:r>
        <w:rPr>
          <w:color w:val="212121"/>
        </w:rPr>
        <w:t>volunteers—A</w:t>
      </w:r>
      <w:r>
        <w:rPr>
          <w:color w:val="212121"/>
          <w:spacing w:val="78"/>
        </w:rPr>
        <w:t> </w:t>
      </w:r>
      <w:r>
        <w:rPr>
          <w:color w:val="212121"/>
        </w:rPr>
        <w:t>comparative</w:t>
      </w:r>
      <w:r>
        <w:rPr>
          <w:color w:val="212121"/>
          <w:spacing w:val="73"/>
        </w:rPr>
        <w:t> </w:t>
      </w:r>
      <w:r>
        <w:rPr>
          <w:color w:val="212121"/>
        </w:rPr>
        <w:t>study</w:t>
      </w:r>
      <w:r>
        <w:rPr>
          <w:color w:val="212121"/>
          <w:spacing w:val="69"/>
        </w:rPr>
        <w:t> </w:t>
      </w:r>
      <w:r>
        <w:rPr>
          <w:color w:val="212121"/>
        </w:rPr>
        <w:t>of</w:t>
      </w:r>
      <w:r>
        <w:rPr>
          <w:color w:val="212121"/>
          <w:spacing w:val="73"/>
        </w:rPr>
        <w:t> </w:t>
      </w:r>
      <w:r>
        <w:rPr>
          <w:color w:val="212121"/>
        </w:rPr>
        <w:t>two</w:t>
      </w:r>
      <w:r>
        <w:rPr>
          <w:color w:val="212121"/>
          <w:spacing w:val="74"/>
        </w:rPr>
        <w:t> </w:t>
      </w:r>
      <w:r>
        <w:rPr>
          <w:color w:val="212121"/>
          <w:spacing w:val="-4"/>
        </w:rPr>
        <w:t>oral</w:t>
      </w:r>
    </w:p>
    <w:p>
      <w:pPr>
        <w:spacing w:after="0" w:line="276" w:lineRule="auto"/>
        <w:jc w:val="both"/>
        <w:sectPr>
          <w:pgSz w:w="12240" w:h="15840"/>
          <w:pgMar w:header="0" w:footer="1068" w:top="1540" w:bottom="1260" w:left="1420" w:right="440"/>
        </w:sectPr>
      </w:pPr>
    </w:p>
    <w:p>
      <w:pPr>
        <w:spacing w:line="276" w:lineRule="auto" w:before="74"/>
        <w:ind w:left="1100" w:right="1175" w:firstLine="0"/>
        <w:jc w:val="left"/>
        <w:rPr>
          <w:sz w:val="24"/>
        </w:rPr>
      </w:pPr>
      <w:r>
        <w:rPr>
          <w:color w:val="212121"/>
          <w:sz w:val="24"/>
        </w:rPr>
        <w:t>formulations.</w:t>
      </w:r>
      <w:r>
        <w:rPr>
          <w:color w:val="212121"/>
          <w:spacing w:val="34"/>
          <w:sz w:val="24"/>
        </w:rPr>
        <w:t> </w:t>
      </w:r>
      <w:r>
        <w:rPr>
          <w:i/>
          <w:color w:val="212121"/>
          <w:sz w:val="24"/>
        </w:rPr>
        <w:t>Journal</w:t>
      </w:r>
      <w:r>
        <w:rPr>
          <w:i/>
          <w:color w:val="212121"/>
          <w:spacing w:val="33"/>
          <w:sz w:val="24"/>
        </w:rPr>
        <w:t> </w:t>
      </w:r>
      <w:r>
        <w:rPr>
          <w:i/>
          <w:color w:val="212121"/>
          <w:sz w:val="24"/>
        </w:rPr>
        <w:t>of</w:t>
      </w:r>
      <w:r>
        <w:rPr>
          <w:i/>
          <w:color w:val="212121"/>
          <w:spacing w:val="33"/>
          <w:sz w:val="24"/>
        </w:rPr>
        <w:t> </w:t>
      </w:r>
      <w:r>
        <w:rPr>
          <w:i/>
          <w:color w:val="212121"/>
          <w:sz w:val="24"/>
        </w:rPr>
        <w:t>Pharmaceutical</w:t>
      </w:r>
      <w:r>
        <w:rPr>
          <w:i/>
          <w:color w:val="212121"/>
          <w:spacing w:val="33"/>
          <w:sz w:val="24"/>
        </w:rPr>
        <w:t> </w:t>
      </w:r>
      <w:r>
        <w:rPr>
          <w:i/>
          <w:color w:val="212121"/>
          <w:sz w:val="24"/>
        </w:rPr>
        <w:t>and</w:t>
      </w:r>
      <w:r>
        <w:rPr>
          <w:i/>
          <w:color w:val="212121"/>
          <w:spacing w:val="35"/>
          <w:sz w:val="24"/>
        </w:rPr>
        <w:t> </w:t>
      </w:r>
      <w:r>
        <w:rPr>
          <w:i/>
          <w:color w:val="212121"/>
          <w:sz w:val="24"/>
        </w:rPr>
        <w:t>Biomedical</w:t>
      </w:r>
      <w:r>
        <w:rPr>
          <w:i/>
          <w:color w:val="212121"/>
          <w:spacing w:val="33"/>
          <w:sz w:val="24"/>
        </w:rPr>
        <w:t> </w:t>
      </w:r>
      <w:r>
        <w:rPr>
          <w:i/>
          <w:color w:val="212121"/>
          <w:sz w:val="24"/>
        </w:rPr>
        <w:t>Analysis</w:t>
      </w:r>
      <w:r>
        <w:rPr>
          <w:color w:val="212121"/>
          <w:sz w:val="24"/>
        </w:rPr>
        <w:t>,</w:t>
      </w:r>
      <w:r>
        <w:rPr>
          <w:color w:val="212121"/>
          <w:spacing w:val="33"/>
          <w:sz w:val="24"/>
        </w:rPr>
        <w:t> </w:t>
      </w:r>
      <w:r>
        <w:rPr>
          <w:i/>
          <w:color w:val="212121"/>
          <w:sz w:val="24"/>
        </w:rPr>
        <w:t>41</w:t>
      </w:r>
      <w:r>
        <w:rPr>
          <w:color w:val="212121"/>
          <w:sz w:val="24"/>
        </w:rPr>
        <w:t>(3),</w:t>
      </w:r>
      <w:r>
        <w:rPr>
          <w:color w:val="212121"/>
          <w:spacing w:val="32"/>
          <w:sz w:val="24"/>
        </w:rPr>
        <w:t> </w:t>
      </w:r>
      <w:r>
        <w:rPr>
          <w:color w:val="212121"/>
          <w:sz w:val="24"/>
        </w:rPr>
        <w:t>1061- </w:t>
      </w:r>
      <w:r>
        <w:rPr>
          <w:color w:val="212121"/>
          <w:spacing w:val="-2"/>
          <w:sz w:val="24"/>
        </w:rPr>
        <w:t>1064.</w:t>
      </w:r>
    </w:p>
    <w:p>
      <w:pPr>
        <w:pStyle w:val="BodyText"/>
        <w:spacing w:before="83"/>
      </w:pPr>
    </w:p>
    <w:p>
      <w:pPr>
        <w:pStyle w:val="BodyText"/>
        <w:spacing w:line="276" w:lineRule="auto"/>
        <w:ind w:left="1100" w:right="1273" w:hanging="720"/>
        <w:jc w:val="both"/>
      </w:pPr>
      <w:r>
        <w:rPr>
          <w:color w:val="212121"/>
        </w:rPr>
        <w:t>Krishnaiah, Y. S. R., Devi, A. S., Muzib, Y. I., Karthikeyan, R. S., and Satyanarayana, V. (2001). Estimation of Tinidazole in pharmaceutical dosage forms by reverse phase HPLC. </w:t>
      </w:r>
      <w:r>
        <w:rPr>
          <w:i/>
          <w:color w:val="212121"/>
        </w:rPr>
        <w:t>Acta Ciencia Indica Chemistry</w:t>
      </w:r>
      <w:r>
        <w:rPr>
          <w:color w:val="212121"/>
        </w:rPr>
        <w:t>, </w:t>
      </w:r>
      <w:r>
        <w:rPr>
          <w:i/>
          <w:color w:val="212121"/>
        </w:rPr>
        <w:t>27</w:t>
      </w:r>
      <w:r>
        <w:rPr>
          <w:color w:val="212121"/>
        </w:rPr>
        <w:t>(3), 109-112.</w:t>
      </w:r>
    </w:p>
    <w:p>
      <w:pPr>
        <w:pStyle w:val="BodyText"/>
        <w:spacing w:before="85"/>
      </w:pPr>
    </w:p>
    <w:p>
      <w:pPr>
        <w:pStyle w:val="BodyText"/>
        <w:spacing w:line="276" w:lineRule="auto"/>
        <w:ind w:left="1100" w:right="1269" w:hanging="720"/>
        <w:jc w:val="both"/>
      </w:pPr>
      <w:r>
        <w:rPr>
          <w:color w:val="212121"/>
        </w:rPr>
        <w:t>Ku, M. S. (2008). Use of the biopharmaceutical classification system in early drug development; </w:t>
      </w:r>
      <w:r>
        <w:rPr>
          <w:i/>
          <w:color w:val="212121"/>
        </w:rPr>
        <w:t>The AAPS Journal</w:t>
      </w:r>
      <w:r>
        <w:rPr>
          <w:color w:val="212121"/>
        </w:rPr>
        <w:t>, </w:t>
      </w:r>
      <w:r>
        <w:rPr>
          <w:i/>
          <w:color w:val="212121"/>
        </w:rPr>
        <w:t>10</w:t>
      </w:r>
      <w:r>
        <w:rPr>
          <w:color w:val="212121"/>
        </w:rPr>
        <w:t>(1), 208-212.</w:t>
      </w:r>
    </w:p>
    <w:p>
      <w:pPr>
        <w:pStyle w:val="BodyText"/>
        <w:spacing w:before="86"/>
      </w:pPr>
    </w:p>
    <w:p>
      <w:pPr>
        <w:pStyle w:val="BodyText"/>
        <w:spacing w:line="276" w:lineRule="auto"/>
        <w:ind w:left="1100" w:right="1267" w:hanging="720"/>
        <w:jc w:val="both"/>
      </w:pPr>
      <w:r>
        <w:rPr>
          <w:color w:val="212121"/>
        </w:rPr>
        <w:t>Kumar, L., Jain, A., Lal, N., Sarswat, A., Jangir, S., Kumar, L. and Siddiqi, M. I. (2011). Potentiating Metronidazole Scaffold against Resistant Trichomonas: Design, Synthesis, Biology and 3D–QSAR Analysis. </w:t>
      </w:r>
      <w:r>
        <w:rPr>
          <w:i/>
          <w:color w:val="212121"/>
        </w:rPr>
        <w:t>ACS Medicinal Chemistry letters</w:t>
      </w:r>
      <w:r>
        <w:rPr>
          <w:color w:val="212121"/>
        </w:rPr>
        <w:t>, </w:t>
      </w:r>
      <w:r>
        <w:rPr>
          <w:i/>
          <w:color w:val="212121"/>
        </w:rPr>
        <w:t>3</w:t>
      </w:r>
      <w:r>
        <w:rPr>
          <w:color w:val="212121"/>
        </w:rPr>
        <w:t>(2), 83-87.</w:t>
      </w:r>
    </w:p>
    <w:p>
      <w:pPr>
        <w:pStyle w:val="BodyText"/>
        <w:spacing w:before="84"/>
      </w:pPr>
    </w:p>
    <w:p>
      <w:pPr>
        <w:pStyle w:val="BodyText"/>
        <w:spacing w:line="276" w:lineRule="auto"/>
        <w:ind w:left="1100" w:right="1267" w:hanging="720"/>
        <w:jc w:val="both"/>
      </w:pPr>
      <w:r>
        <w:rPr>
          <w:color w:val="212121"/>
        </w:rPr>
        <w:t>Kumar, L., Sarswat, A., Lal, N., Sharma, V. L., Jain, A., Kumar, R. and Gupta, G. (2010). Imidazole derivatives as possible microbicides with dual protection; </w:t>
      </w:r>
      <w:r>
        <w:rPr>
          <w:i/>
          <w:color w:val="212121"/>
        </w:rPr>
        <w:t>European Journal of Medicinal Chemistry</w:t>
      </w:r>
      <w:r>
        <w:rPr>
          <w:color w:val="212121"/>
        </w:rPr>
        <w:t>, </w:t>
      </w:r>
      <w:r>
        <w:rPr>
          <w:i/>
          <w:color w:val="212121"/>
        </w:rPr>
        <w:t>45</w:t>
      </w:r>
      <w:r>
        <w:rPr>
          <w:color w:val="212121"/>
        </w:rPr>
        <w:t>(2), 817-824.</w:t>
      </w:r>
    </w:p>
    <w:p>
      <w:pPr>
        <w:pStyle w:val="BodyText"/>
        <w:spacing w:before="82"/>
      </w:pPr>
    </w:p>
    <w:p>
      <w:pPr>
        <w:spacing w:line="276" w:lineRule="auto" w:before="0"/>
        <w:ind w:left="1100" w:right="1269" w:hanging="720"/>
        <w:jc w:val="both"/>
        <w:rPr>
          <w:sz w:val="24"/>
        </w:rPr>
      </w:pPr>
      <w:r>
        <w:rPr>
          <w:color w:val="212121"/>
          <w:sz w:val="24"/>
        </w:rPr>
        <w:t>Kumar, N., Rohilla, R. K., Roy, N., and Rawat, D. S. (2009). Synthesis and antibacterial activity evaluation of metronidazole–triazole conjugates; </w:t>
      </w:r>
      <w:r>
        <w:rPr>
          <w:i/>
          <w:color w:val="212121"/>
          <w:sz w:val="24"/>
        </w:rPr>
        <w:t>Bioorganic &amp; Medicinal Chemistry Letters</w:t>
      </w:r>
      <w:r>
        <w:rPr>
          <w:color w:val="212121"/>
          <w:sz w:val="24"/>
        </w:rPr>
        <w:t>, </w:t>
      </w:r>
      <w:r>
        <w:rPr>
          <w:i/>
          <w:color w:val="212121"/>
          <w:sz w:val="24"/>
        </w:rPr>
        <w:t>19</w:t>
      </w:r>
      <w:r>
        <w:rPr>
          <w:color w:val="212121"/>
          <w:sz w:val="24"/>
        </w:rPr>
        <w:t>(5), 1396-1398.</w:t>
      </w:r>
    </w:p>
    <w:p>
      <w:pPr>
        <w:pStyle w:val="BodyText"/>
        <w:spacing w:before="85"/>
      </w:pPr>
    </w:p>
    <w:p>
      <w:pPr>
        <w:pStyle w:val="BodyText"/>
        <w:spacing w:line="276" w:lineRule="auto"/>
        <w:ind w:left="1100" w:right="1263" w:hanging="720"/>
        <w:jc w:val="both"/>
      </w:pPr>
      <w:r>
        <w:rPr>
          <w:color w:val="212121"/>
        </w:rPr>
        <w:t>Lamp, K. C., Freeman, C. D., Klutman, N. E., and Lacy, M. K. (1999). Pharmacokinetics and pharmacodynamics of the nitroimidazole antimicrobials; </w:t>
      </w:r>
      <w:r>
        <w:rPr>
          <w:i/>
          <w:color w:val="212121"/>
        </w:rPr>
        <w:t>Clinical Pharmacokinetics</w:t>
      </w:r>
      <w:r>
        <w:rPr>
          <w:color w:val="212121"/>
        </w:rPr>
        <w:t>, </w:t>
      </w:r>
      <w:r>
        <w:rPr>
          <w:i/>
          <w:color w:val="212121"/>
        </w:rPr>
        <w:t>36</w:t>
      </w:r>
      <w:r>
        <w:rPr>
          <w:color w:val="212121"/>
        </w:rPr>
        <w:t>(5), 353-373.</w:t>
      </w:r>
    </w:p>
    <w:p>
      <w:pPr>
        <w:pStyle w:val="BodyText"/>
        <w:spacing w:before="83"/>
      </w:pPr>
    </w:p>
    <w:p>
      <w:pPr>
        <w:spacing w:before="0"/>
        <w:ind w:left="380" w:right="0" w:firstLine="0"/>
        <w:jc w:val="left"/>
        <w:rPr>
          <w:sz w:val="24"/>
        </w:rPr>
      </w:pPr>
      <w:r>
        <w:rPr>
          <w:sz w:val="24"/>
        </w:rPr>
        <w:t>Larry,</w:t>
      </w:r>
      <w:r>
        <w:rPr>
          <w:spacing w:val="33"/>
          <w:sz w:val="24"/>
        </w:rPr>
        <w:t> </w:t>
      </w:r>
      <w:r>
        <w:rPr>
          <w:sz w:val="24"/>
        </w:rPr>
        <w:t>A.</w:t>
      </w:r>
      <w:r>
        <w:rPr>
          <w:spacing w:val="35"/>
          <w:sz w:val="24"/>
        </w:rPr>
        <w:t> </w:t>
      </w:r>
      <w:r>
        <w:rPr>
          <w:sz w:val="24"/>
        </w:rPr>
        <w:t>B.</w:t>
      </w:r>
      <w:r>
        <w:rPr>
          <w:spacing w:val="33"/>
          <w:sz w:val="24"/>
        </w:rPr>
        <w:t> </w:t>
      </w:r>
      <w:r>
        <w:rPr>
          <w:sz w:val="24"/>
        </w:rPr>
        <w:t>(2008).</w:t>
      </w:r>
      <w:r>
        <w:rPr>
          <w:spacing w:val="35"/>
          <w:sz w:val="24"/>
        </w:rPr>
        <w:t> </w:t>
      </w:r>
      <w:r>
        <w:rPr>
          <w:i/>
          <w:sz w:val="24"/>
        </w:rPr>
        <w:t>Applied</w:t>
      </w:r>
      <w:r>
        <w:rPr>
          <w:i/>
          <w:spacing w:val="34"/>
          <w:sz w:val="24"/>
        </w:rPr>
        <w:t> </w:t>
      </w:r>
      <w:r>
        <w:rPr>
          <w:i/>
          <w:sz w:val="24"/>
        </w:rPr>
        <w:t>Clinical</w:t>
      </w:r>
      <w:r>
        <w:rPr>
          <w:i/>
          <w:spacing w:val="33"/>
          <w:sz w:val="24"/>
        </w:rPr>
        <w:t> </w:t>
      </w:r>
      <w:r>
        <w:rPr>
          <w:i/>
          <w:sz w:val="24"/>
        </w:rPr>
        <w:t>Pharmacokinetics</w:t>
      </w:r>
      <w:r>
        <w:rPr>
          <w:sz w:val="24"/>
        </w:rPr>
        <w:t>.</w:t>
      </w:r>
      <w:r>
        <w:rPr>
          <w:spacing w:val="33"/>
          <w:sz w:val="24"/>
        </w:rPr>
        <w:t> </w:t>
      </w:r>
      <w:r>
        <w:rPr>
          <w:sz w:val="24"/>
        </w:rPr>
        <w:t>McGraw-Hill</w:t>
      </w:r>
      <w:r>
        <w:rPr>
          <w:spacing w:val="34"/>
          <w:sz w:val="24"/>
        </w:rPr>
        <w:t> </w:t>
      </w:r>
      <w:r>
        <w:rPr>
          <w:sz w:val="24"/>
        </w:rPr>
        <w:t>Companies,</w:t>
      </w:r>
      <w:r>
        <w:rPr>
          <w:spacing w:val="37"/>
          <w:sz w:val="24"/>
        </w:rPr>
        <w:t> </w:t>
      </w:r>
      <w:r>
        <w:rPr>
          <w:spacing w:val="-4"/>
          <w:sz w:val="24"/>
        </w:rPr>
        <w:t>Inc.</w:t>
      </w:r>
    </w:p>
    <w:p>
      <w:pPr>
        <w:pStyle w:val="BodyText"/>
        <w:ind w:left="1100"/>
      </w:pPr>
      <w:r>
        <w:rPr/>
        <w:t>PP.</w:t>
      </w:r>
      <w:r>
        <w:rPr>
          <w:spacing w:val="-1"/>
        </w:rPr>
        <w:t> </w:t>
      </w:r>
      <w:r>
        <w:rPr/>
        <w:t>19-</w:t>
      </w:r>
      <w:r>
        <w:rPr>
          <w:spacing w:val="-5"/>
        </w:rPr>
        <w:t>38.</w:t>
      </w:r>
    </w:p>
    <w:p>
      <w:pPr>
        <w:pStyle w:val="BodyText"/>
        <w:spacing w:before="2"/>
      </w:pPr>
    </w:p>
    <w:p>
      <w:pPr>
        <w:pStyle w:val="BodyText"/>
        <w:spacing w:line="276" w:lineRule="auto"/>
        <w:ind w:left="1100" w:right="1265" w:hanging="720"/>
        <w:jc w:val="both"/>
      </w:pPr>
      <w:r>
        <w:rPr>
          <w:color w:val="212121"/>
        </w:rPr>
        <w:t>Lawrence, X. Y., Carlin, A. S., Amidon, G. L., and Hussain, A. S. (2004). Feasibility studies of utilizing disk intrinsic dissolution rate to classify drugs; </w:t>
      </w:r>
      <w:r>
        <w:rPr>
          <w:i/>
          <w:color w:val="212121"/>
        </w:rPr>
        <w:t>International Journal of Pharmaceutics</w:t>
      </w:r>
      <w:r>
        <w:rPr>
          <w:color w:val="212121"/>
        </w:rPr>
        <w:t>, </w:t>
      </w:r>
      <w:r>
        <w:rPr>
          <w:i/>
          <w:color w:val="212121"/>
        </w:rPr>
        <w:t>270</w:t>
      </w:r>
      <w:r>
        <w:rPr>
          <w:color w:val="212121"/>
        </w:rPr>
        <w:t>(1), 221-227.</w:t>
      </w:r>
    </w:p>
    <w:p>
      <w:pPr>
        <w:pStyle w:val="BodyText"/>
        <w:spacing w:before="83"/>
      </w:pPr>
    </w:p>
    <w:p>
      <w:pPr>
        <w:spacing w:line="278" w:lineRule="auto" w:before="0"/>
        <w:ind w:left="1100" w:right="1268" w:hanging="720"/>
        <w:jc w:val="both"/>
        <w:rPr>
          <w:sz w:val="24"/>
        </w:rPr>
      </w:pPr>
      <w:r>
        <w:rPr>
          <w:color w:val="212121"/>
          <w:sz w:val="24"/>
        </w:rPr>
        <w:t>Leeson, L. J. (1995). </w:t>
      </w:r>
      <w:r>
        <w:rPr>
          <w:i/>
          <w:color w:val="212121"/>
          <w:sz w:val="24"/>
        </w:rPr>
        <w:t>In vitro/in vivo </w:t>
      </w:r>
      <w:r>
        <w:rPr>
          <w:color w:val="212121"/>
          <w:sz w:val="24"/>
        </w:rPr>
        <w:t>correlations; </w:t>
      </w:r>
      <w:r>
        <w:rPr>
          <w:i/>
          <w:color w:val="212121"/>
          <w:sz w:val="24"/>
        </w:rPr>
        <w:t>Drug Information Journal</w:t>
      </w:r>
      <w:r>
        <w:rPr>
          <w:color w:val="212121"/>
          <w:sz w:val="24"/>
        </w:rPr>
        <w:t>, </w:t>
      </w:r>
      <w:r>
        <w:rPr>
          <w:i/>
          <w:color w:val="212121"/>
          <w:sz w:val="24"/>
        </w:rPr>
        <w:t>29</w:t>
      </w:r>
      <w:r>
        <w:rPr>
          <w:color w:val="212121"/>
          <w:sz w:val="24"/>
        </w:rPr>
        <w:t>(3), 903- </w:t>
      </w:r>
      <w:r>
        <w:rPr>
          <w:color w:val="212121"/>
          <w:spacing w:val="-4"/>
          <w:sz w:val="24"/>
        </w:rPr>
        <w:t>915.</w:t>
      </w:r>
    </w:p>
    <w:p>
      <w:pPr>
        <w:pStyle w:val="BodyText"/>
        <w:spacing w:before="80"/>
      </w:pPr>
    </w:p>
    <w:p>
      <w:pPr>
        <w:pStyle w:val="BodyText"/>
        <w:spacing w:line="276" w:lineRule="auto"/>
        <w:ind w:left="1100" w:right="1264" w:hanging="720"/>
        <w:jc w:val="both"/>
      </w:pPr>
      <w:r>
        <w:rPr>
          <w:color w:val="212121"/>
        </w:rPr>
        <w:t>Lehto, P., Aaltonen, J., Niemelä, P., Rantanen, J., Hirvonen, J., Tanninen, V. P. and Peltonen,</w:t>
      </w:r>
      <w:r>
        <w:rPr>
          <w:color w:val="212121"/>
          <w:spacing w:val="39"/>
        </w:rPr>
        <w:t> </w:t>
      </w:r>
      <w:r>
        <w:rPr>
          <w:color w:val="212121"/>
        </w:rPr>
        <w:t>L.</w:t>
      </w:r>
      <w:r>
        <w:rPr>
          <w:color w:val="212121"/>
          <w:spacing w:val="39"/>
        </w:rPr>
        <w:t> </w:t>
      </w:r>
      <w:r>
        <w:rPr>
          <w:color w:val="212121"/>
        </w:rPr>
        <w:t>(2008).</w:t>
      </w:r>
      <w:r>
        <w:rPr>
          <w:color w:val="212121"/>
          <w:spacing w:val="36"/>
        </w:rPr>
        <w:t> </w:t>
      </w:r>
      <w:r>
        <w:rPr>
          <w:color w:val="212121"/>
        </w:rPr>
        <w:t>Simultaneous</w:t>
      </w:r>
      <w:r>
        <w:rPr>
          <w:color w:val="212121"/>
          <w:spacing w:val="37"/>
        </w:rPr>
        <w:t> </w:t>
      </w:r>
      <w:r>
        <w:rPr>
          <w:color w:val="212121"/>
        </w:rPr>
        <w:t>measurement</w:t>
      </w:r>
      <w:r>
        <w:rPr>
          <w:color w:val="212121"/>
          <w:spacing w:val="38"/>
        </w:rPr>
        <w:t> </w:t>
      </w:r>
      <w:r>
        <w:rPr>
          <w:color w:val="212121"/>
        </w:rPr>
        <w:t>of</w:t>
      </w:r>
      <w:r>
        <w:rPr>
          <w:color w:val="212121"/>
          <w:spacing w:val="36"/>
        </w:rPr>
        <w:t> </w:t>
      </w:r>
      <w:r>
        <w:rPr>
          <w:color w:val="212121"/>
        </w:rPr>
        <w:t>liquid-phase</w:t>
      </w:r>
      <w:r>
        <w:rPr>
          <w:color w:val="212121"/>
          <w:spacing w:val="38"/>
        </w:rPr>
        <w:t> </w:t>
      </w:r>
      <w:r>
        <w:rPr>
          <w:color w:val="212121"/>
        </w:rPr>
        <w:t>and</w:t>
      </w:r>
      <w:r>
        <w:rPr>
          <w:color w:val="212121"/>
          <w:spacing w:val="38"/>
        </w:rPr>
        <w:t> </w:t>
      </w:r>
      <w:r>
        <w:rPr>
          <w:color w:val="212121"/>
        </w:rPr>
        <w:t>solid-</w:t>
      </w:r>
      <w:r>
        <w:rPr>
          <w:color w:val="212121"/>
          <w:spacing w:val="-2"/>
        </w:rPr>
        <w:t>phase</w:t>
      </w:r>
    </w:p>
    <w:p>
      <w:pPr>
        <w:spacing w:after="0" w:line="276" w:lineRule="auto"/>
        <w:jc w:val="both"/>
        <w:sectPr>
          <w:pgSz w:w="12240" w:h="15840"/>
          <w:pgMar w:header="0" w:footer="1068" w:top="1540" w:bottom="1260" w:left="1420" w:right="440"/>
        </w:sectPr>
      </w:pPr>
    </w:p>
    <w:p>
      <w:pPr>
        <w:pStyle w:val="BodyText"/>
        <w:spacing w:before="74"/>
        <w:ind w:left="1100"/>
      </w:pPr>
      <w:r>
        <w:rPr>
          <w:color w:val="212121"/>
        </w:rPr>
        <w:t>transformation</w:t>
      </w:r>
      <w:r>
        <w:rPr>
          <w:color w:val="212121"/>
          <w:spacing w:val="18"/>
        </w:rPr>
        <w:t> </w:t>
      </w:r>
      <w:r>
        <w:rPr>
          <w:color w:val="212121"/>
        </w:rPr>
        <w:t>kinetics</w:t>
      </w:r>
      <w:r>
        <w:rPr>
          <w:color w:val="212121"/>
          <w:spacing w:val="20"/>
        </w:rPr>
        <w:t> </w:t>
      </w:r>
      <w:r>
        <w:rPr>
          <w:color w:val="212121"/>
        </w:rPr>
        <w:t>in</w:t>
      </w:r>
      <w:r>
        <w:rPr>
          <w:color w:val="212121"/>
          <w:spacing w:val="20"/>
        </w:rPr>
        <w:t> </w:t>
      </w:r>
      <w:r>
        <w:rPr>
          <w:color w:val="212121"/>
        </w:rPr>
        <w:t>rotating</w:t>
      </w:r>
      <w:r>
        <w:rPr>
          <w:color w:val="212121"/>
          <w:spacing w:val="17"/>
        </w:rPr>
        <w:t> </w:t>
      </w:r>
      <w:r>
        <w:rPr>
          <w:color w:val="212121"/>
        </w:rPr>
        <w:t>disc</w:t>
      </w:r>
      <w:r>
        <w:rPr>
          <w:color w:val="212121"/>
          <w:spacing w:val="21"/>
        </w:rPr>
        <w:t> </w:t>
      </w:r>
      <w:r>
        <w:rPr>
          <w:color w:val="212121"/>
        </w:rPr>
        <w:t>and</w:t>
      </w:r>
      <w:r>
        <w:rPr>
          <w:color w:val="212121"/>
          <w:spacing w:val="20"/>
        </w:rPr>
        <w:t> </w:t>
      </w:r>
      <w:r>
        <w:rPr>
          <w:color w:val="212121"/>
        </w:rPr>
        <w:t>channel</w:t>
      </w:r>
      <w:r>
        <w:rPr>
          <w:color w:val="212121"/>
          <w:spacing w:val="20"/>
        </w:rPr>
        <w:t> </w:t>
      </w:r>
      <w:r>
        <w:rPr>
          <w:color w:val="212121"/>
        </w:rPr>
        <w:t>flow</w:t>
      </w:r>
      <w:r>
        <w:rPr>
          <w:color w:val="212121"/>
          <w:spacing w:val="19"/>
        </w:rPr>
        <w:t> </w:t>
      </w:r>
      <w:r>
        <w:rPr>
          <w:color w:val="212121"/>
        </w:rPr>
        <w:t>cell</w:t>
      </w:r>
      <w:r>
        <w:rPr>
          <w:color w:val="212121"/>
          <w:spacing w:val="21"/>
        </w:rPr>
        <w:t> </w:t>
      </w:r>
      <w:r>
        <w:rPr>
          <w:color w:val="212121"/>
        </w:rPr>
        <w:t>dissolution</w:t>
      </w:r>
      <w:r>
        <w:rPr>
          <w:color w:val="212121"/>
          <w:spacing w:val="19"/>
        </w:rPr>
        <w:t> </w:t>
      </w:r>
      <w:r>
        <w:rPr>
          <w:color w:val="212121"/>
          <w:spacing w:val="-2"/>
        </w:rPr>
        <w:t>devices;</w:t>
      </w:r>
    </w:p>
    <w:p>
      <w:pPr>
        <w:spacing w:before="41"/>
        <w:ind w:left="1100" w:right="0" w:firstLine="0"/>
        <w:jc w:val="left"/>
        <w:rPr>
          <w:sz w:val="24"/>
        </w:rPr>
      </w:pPr>
      <w:r>
        <w:rPr>
          <w:i/>
          <w:color w:val="212121"/>
          <w:sz w:val="24"/>
        </w:rPr>
        <w:t>International</w:t>
      </w:r>
      <w:r>
        <w:rPr>
          <w:i/>
          <w:color w:val="212121"/>
          <w:spacing w:val="-1"/>
          <w:sz w:val="24"/>
        </w:rPr>
        <w:t> </w:t>
      </w:r>
      <w:r>
        <w:rPr>
          <w:i/>
          <w:color w:val="212121"/>
          <w:sz w:val="24"/>
        </w:rPr>
        <w:t>Journal</w:t>
      </w:r>
      <w:r>
        <w:rPr>
          <w:i/>
          <w:color w:val="212121"/>
          <w:spacing w:val="-1"/>
          <w:sz w:val="24"/>
        </w:rPr>
        <w:t> </w:t>
      </w:r>
      <w:r>
        <w:rPr>
          <w:i/>
          <w:color w:val="212121"/>
          <w:sz w:val="24"/>
        </w:rPr>
        <w:t>of</w:t>
      </w:r>
      <w:r>
        <w:rPr>
          <w:i/>
          <w:color w:val="212121"/>
          <w:spacing w:val="-1"/>
          <w:sz w:val="24"/>
        </w:rPr>
        <w:t> </w:t>
      </w:r>
      <w:r>
        <w:rPr>
          <w:i/>
          <w:color w:val="212121"/>
          <w:sz w:val="24"/>
        </w:rPr>
        <w:t>Pharmaceutics</w:t>
      </w:r>
      <w:r>
        <w:rPr>
          <w:color w:val="212121"/>
          <w:sz w:val="24"/>
        </w:rPr>
        <w:t>,</w:t>
      </w:r>
      <w:r>
        <w:rPr>
          <w:color w:val="212121"/>
          <w:spacing w:val="-1"/>
          <w:sz w:val="24"/>
        </w:rPr>
        <w:t> </w:t>
      </w:r>
      <w:r>
        <w:rPr>
          <w:i/>
          <w:color w:val="212121"/>
          <w:sz w:val="24"/>
        </w:rPr>
        <w:t>363</w:t>
      </w:r>
      <w:r>
        <w:rPr>
          <w:color w:val="212121"/>
          <w:sz w:val="24"/>
        </w:rPr>
        <w:t>(1),</w:t>
      </w:r>
      <w:r>
        <w:rPr>
          <w:color w:val="212121"/>
          <w:spacing w:val="-1"/>
          <w:sz w:val="24"/>
        </w:rPr>
        <w:t> </w:t>
      </w:r>
      <w:r>
        <w:rPr>
          <w:color w:val="212121"/>
          <w:sz w:val="24"/>
        </w:rPr>
        <w:t>66-</w:t>
      </w:r>
      <w:r>
        <w:rPr>
          <w:color w:val="212121"/>
          <w:spacing w:val="-5"/>
          <w:sz w:val="24"/>
        </w:rPr>
        <w:t>72.</w:t>
      </w:r>
    </w:p>
    <w:p>
      <w:pPr>
        <w:pStyle w:val="BodyText"/>
        <w:spacing w:before="125"/>
      </w:pPr>
    </w:p>
    <w:p>
      <w:pPr>
        <w:pStyle w:val="BodyText"/>
        <w:spacing w:line="276" w:lineRule="auto"/>
        <w:ind w:left="1100" w:right="1272" w:hanging="720"/>
        <w:jc w:val="both"/>
      </w:pPr>
      <w:r>
        <w:rPr>
          <w:color w:val="212121"/>
        </w:rPr>
        <w:t>Lennernäs, H. and Abrahamsson, B. (2005). The use of biopharmaceutic classification of drugs in drug discovery and development: current status and future extension; </w:t>
      </w:r>
      <w:r>
        <w:rPr>
          <w:i/>
          <w:color w:val="212121"/>
        </w:rPr>
        <w:t>Journal of Pharmacy and Pharmacology</w:t>
      </w:r>
      <w:r>
        <w:rPr>
          <w:color w:val="212121"/>
        </w:rPr>
        <w:t>, </w:t>
      </w:r>
      <w:r>
        <w:rPr>
          <w:i/>
          <w:color w:val="212121"/>
        </w:rPr>
        <w:t>57</w:t>
      </w:r>
      <w:r>
        <w:rPr>
          <w:color w:val="212121"/>
        </w:rPr>
        <w:t>(3), 273-285.</w:t>
      </w:r>
    </w:p>
    <w:p>
      <w:pPr>
        <w:pStyle w:val="BodyText"/>
        <w:spacing w:before="85"/>
      </w:pPr>
    </w:p>
    <w:p>
      <w:pPr>
        <w:pStyle w:val="BodyText"/>
        <w:spacing w:line="276" w:lineRule="auto"/>
        <w:ind w:left="1100" w:right="1268" w:hanging="720"/>
        <w:jc w:val="both"/>
      </w:pPr>
      <w:r>
        <w:rPr>
          <w:color w:val="212121"/>
        </w:rPr>
        <w:t>Lennernäs, H., Shah, V. P., Crison, J. R. and Amidon, G. L. (1995). A Theoretical Basis for a biopharmaceutic drug classification: The correlation of </w:t>
      </w:r>
      <w:r>
        <w:rPr>
          <w:i/>
          <w:color w:val="212121"/>
        </w:rPr>
        <w:t>in vitro </w:t>
      </w:r>
      <w:r>
        <w:rPr>
          <w:color w:val="212121"/>
        </w:rPr>
        <w:t>drug product dissolution and </w:t>
      </w:r>
      <w:r>
        <w:rPr>
          <w:i/>
          <w:color w:val="212121"/>
        </w:rPr>
        <w:t>in vivo </w:t>
      </w:r>
      <w:r>
        <w:rPr>
          <w:color w:val="212121"/>
        </w:rPr>
        <w:t>bioavailability.</w:t>
      </w:r>
    </w:p>
    <w:p>
      <w:pPr>
        <w:pStyle w:val="BodyText"/>
        <w:spacing w:before="83"/>
      </w:pPr>
    </w:p>
    <w:p>
      <w:pPr>
        <w:spacing w:before="0"/>
        <w:ind w:left="1100" w:right="1271" w:hanging="720"/>
        <w:jc w:val="both"/>
        <w:rPr>
          <w:sz w:val="24"/>
        </w:rPr>
      </w:pPr>
      <w:r>
        <w:rPr>
          <w:sz w:val="24"/>
        </w:rPr>
        <w:t>Levy, G. (1964). Effect of dosage form properties on therapeutic efficacy of tolbutamide tablets. </w:t>
      </w:r>
      <w:r>
        <w:rPr>
          <w:i/>
          <w:sz w:val="24"/>
        </w:rPr>
        <w:t>Canadian Medical</w:t>
      </w:r>
      <w:r>
        <w:rPr>
          <w:i/>
          <w:spacing w:val="40"/>
          <w:sz w:val="24"/>
        </w:rPr>
        <w:t> </w:t>
      </w:r>
      <w:r>
        <w:rPr>
          <w:i/>
          <w:sz w:val="24"/>
        </w:rPr>
        <w:t>Association</w:t>
      </w:r>
      <w:r>
        <w:rPr>
          <w:i/>
          <w:spacing w:val="40"/>
          <w:sz w:val="24"/>
        </w:rPr>
        <w:t> </w:t>
      </w:r>
      <w:r>
        <w:rPr>
          <w:i/>
          <w:sz w:val="24"/>
        </w:rPr>
        <w:t>Journal. </w:t>
      </w:r>
      <w:r>
        <w:rPr>
          <w:sz w:val="24"/>
        </w:rPr>
        <w:t>90(16): 978–979.</w:t>
      </w:r>
    </w:p>
    <w:p>
      <w:pPr>
        <w:pStyle w:val="BodyText"/>
      </w:pPr>
    </w:p>
    <w:p>
      <w:pPr>
        <w:spacing w:line="278" w:lineRule="auto" w:before="1"/>
        <w:ind w:left="1100" w:right="1266" w:hanging="720"/>
        <w:jc w:val="both"/>
        <w:rPr>
          <w:sz w:val="24"/>
        </w:rPr>
      </w:pPr>
      <w:r>
        <w:rPr>
          <w:color w:val="212121"/>
          <w:sz w:val="24"/>
        </w:rPr>
        <w:t>Levy, G.</w:t>
      </w:r>
      <w:r>
        <w:rPr>
          <w:color w:val="212121"/>
          <w:spacing w:val="-2"/>
          <w:sz w:val="24"/>
        </w:rPr>
        <w:t> </w:t>
      </w:r>
      <w:r>
        <w:rPr>
          <w:color w:val="212121"/>
          <w:sz w:val="24"/>
        </w:rPr>
        <w:t>(1980).</w:t>
      </w:r>
      <w:r>
        <w:rPr>
          <w:color w:val="212121"/>
          <w:spacing w:val="-3"/>
          <w:sz w:val="24"/>
        </w:rPr>
        <w:t> </w:t>
      </w:r>
      <w:r>
        <w:rPr>
          <w:color w:val="212121"/>
          <w:sz w:val="24"/>
        </w:rPr>
        <w:t>Clinical</w:t>
      </w:r>
      <w:r>
        <w:rPr>
          <w:color w:val="212121"/>
          <w:spacing w:val="-2"/>
          <w:sz w:val="24"/>
        </w:rPr>
        <w:t> </w:t>
      </w:r>
      <w:r>
        <w:rPr>
          <w:color w:val="212121"/>
          <w:sz w:val="24"/>
        </w:rPr>
        <w:t>pharmacokinetics</w:t>
      </w:r>
      <w:r>
        <w:rPr>
          <w:color w:val="212121"/>
          <w:spacing w:val="-3"/>
          <w:sz w:val="24"/>
        </w:rPr>
        <w:t> </w:t>
      </w:r>
      <w:r>
        <w:rPr>
          <w:color w:val="212121"/>
          <w:sz w:val="24"/>
        </w:rPr>
        <w:t>of</w:t>
      </w:r>
      <w:r>
        <w:rPr>
          <w:color w:val="212121"/>
          <w:spacing w:val="-3"/>
          <w:sz w:val="24"/>
        </w:rPr>
        <w:t> </w:t>
      </w:r>
      <w:r>
        <w:rPr>
          <w:color w:val="212121"/>
          <w:sz w:val="24"/>
        </w:rPr>
        <w:t>salicylates:</w:t>
      </w:r>
      <w:r>
        <w:rPr>
          <w:color w:val="212121"/>
          <w:spacing w:val="-2"/>
          <w:sz w:val="24"/>
        </w:rPr>
        <w:t> </w:t>
      </w:r>
      <w:r>
        <w:rPr>
          <w:color w:val="212121"/>
          <w:sz w:val="24"/>
        </w:rPr>
        <w:t>a</w:t>
      </w:r>
      <w:r>
        <w:rPr>
          <w:color w:val="212121"/>
          <w:spacing w:val="-3"/>
          <w:sz w:val="24"/>
        </w:rPr>
        <w:t> </w:t>
      </w:r>
      <w:r>
        <w:rPr>
          <w:color w:val="212121"/>
          <w:sz w:val="24"/>
        </w:rPr>
        <w:t>re</w:t>
      </w:r>
      <w:r>
        <w:rPr>
          <w:rFonts w:ascii="Cambria Math" w:hAnsi="Cambria Math"/>
          <w:color w:val="212121"/>
          <w:sz w:val="24"/>
        </w:rPr>
        <w:t>‐</w:t>
      </w:r>
      <w:r>
        <w:rPr>
          <w:color w:val="212121"/>
          <w:sz w:val="24"/>
        </w:rPr>
        <w:t>assessment;</w:t>
      </w:r>
      <w:r>
        <w:rPr>
          <w:color w:val="212121"/>
          <w:spacing w:val="-2"/>
          <w:sz w:val="24"/>
        </w:rPr>
        <w:t> </w:t>
      </w:r>
      <w:r>
        <w:rPr>
          <w:i/>
          <w:color w:val="212121"/>
          <w:sz w:val="24"/>
        </w:rPr>
        <w:t>British</w:t>
      </w:r>
      <w:r>
        <w:rPr>
          <w:i/>
          <w:color w:val="212121"/>
          <w:spacing w:val="-2"/>
          <w:sz w:val="24"/>
        </w:rPr>
        <w:t> </w:t>
      </w:r>
      <w:r>
        <w:rPr>
          <w:i/>
          <w:color w:val="212121"/>
          <w:sz w:val="24"/>
        </w:rPr>
        <w:t>Journal of Clinical Pharmacology</w:t>
      </w:r>
      <w:r>
        <w:rPr>
          <w:color w:val="212121"/>
          <w:sz w:val="24"/>
        </w:rPr>
        <w:t>, </w:t>
      </w:r>
      <w:r>
        <w:rPr>
          <w:i/>
          <w:color w:val="212121"/>
          <w:sz w:val="24"/>
        </w:rPr>
        <w:t>10</w:t>
      </w:r>
      <w:r>
        <w:rPr>
          <w:color w:val="212121"/>
          <w:sz w:val="24"/>
        </w:rPr>
        <w:t>(S2), 285S-290S.</w:t>
      </w:r>
    </w:p>
    <w:p>
      <w:pPr>
        <w:pStyle w:val="BodyText"/>
        <w:spacing w:before="79"/>
      </w:pPr>
    </w:p>
    <w:p>
      <w:pPr>
        <w:pStyle w:val="BodyText"/>
        <w:spacing w:line="276" w:lineRule="auto"/>
        <w:ind w:left="1100" w:right="1267" w:hanging="720"/>
        <w:jc w:val="both"/>
      </w:pPr>
      <w:r>
        <w:rPr>
          <w:color w:val="212121"/>
        </w:rPr>
        <w:t>Lindenberg, M., Kopp, S. and Dressman, J. B. (2004). Classification of orally</w:t>
      </w:r>
      <w:r>
        <w:rPr>
          <w:color w:val="212121"/>
          <w:spacing w:val="40"/>
        </w:rPr>
        <w:t> </w:t>
      </w:r>
      <w:r>
        <w:rPr>
          <w:color w:val="212121"/>
        </w:rPr>
        <w:t>administered drugs on the World Health Organization Model list of Essential Medicines according to the biopharmaceutics classification system; </w:t>
      </w:r>
      <w:r>
        <w:rPr>
          <w:i/>
          <w:color w:val="212121"/>
        </w:rPr>
        <w:t>European Journal of Pharmaceutics and Biopharmaceutics</w:t>
      </w:r>
      <w:r>
        <w:rPr>
          <w:color w:val="212121"/>
        </w:rPr>
        <w:t>, </w:t>
      </w:r>
      <w:r>
        <w:rPr>
          <w:i/>
          <w:color w:val="212121"/>
        </w:rPr>
        <w:t>58</w:t>
      </w:r>
      <w:r>
        <w:rPr>
          <w:color w:val="212121"/>
        </w:rPr>
        <w:t>(2), 265-278.</w:t>
      </w:r>
    </w:p>
    <w:p>
      <w:pPr>
        <w:pStyle w:val="BodyText"/>
        <w:spacing w:before="85"/>
      </w:pPr>
    </w:p>
    <w:p>
      <w:pPr>
        <w:spacing w:line="276" w:lineRule="auto" w:before="0"/>
        <w:ind w:left="1100" w:right="1270" w:hanging="720"/>
        <w:jc w:val="both"/>
        <w:rPr>
          <w:sz w:val="24"/>
        </w:rPr>
      </w:pPr>
      <w:r>
        <w:rPr>
          <w:color w:val="212121"/>
          <w:sz w:val="24"/>
        </w:rPr>
        <w:t>Lipka, E. and Amidon, G. L. (1999). Setting bioequivalence requirements for drug development based on preclinical data: optimizing oral drug delivery systems; </w:t>
      </w:r>
      <w:r>
        <w:rPr>
          <w:i/>
          <w:color w:val="212121"/>
          <w:sz w:val="24"/>
        </w:rPr>
        <w:t>Journal of Controlled Release Formulation, 62</w:t>
      </w:r>
      <w:r>
        <w:rPr>
          <w:color w:val="212121"/>
          <w:sz w:val="24"/>
        </w:rPr>
        <w:t>(1), 41-49.</w:t>
      </w:r>
    </w:p>
    <w:p>
      <w:pPr>
        <w:pStyle w:val="BodyText"/>
        <w:spacing w:before="85"/>
      </w:pPr>
    </w:p>
    <w:p>
      <w:pPr>
        <w:spacing w:line="276" w:lineRule="auto" w:before="0"/>
        <w:ind w:left="1100" w:right="1267" w:hanging="720"/>
        <w:jc w:val="both"/>
        <w:rPr>
          <w:sz w:val="24"/>
        </w:rPr>
      </w:pPr>
      <w:r>
        <w:rPr>
          <w:color w:val="212121"/>
          <w:sz w:val="24"/>
        </w:rPr>
        <w:t>Löbenberg, R. and Amidon, G. L. (2000). Modern bioavailability, bioequivalence and biopharmaceutics classification system. New scientific approaches to international regulatory standards; </w:t>
      </w:r>
      <w:r>
        <w:rPr>
          <w:i/>
          <w:color w:val="212121"/>
          <w:sz w:val="24"/>
        </w:rPr>
        <w:t>European Journal of Pharmaceutics and Biopharmaceutics</w:t>
      </w:r>
      <w:r>
        <w:rPr>
          <w:color w:val="212121"/>
          <w:sz w:val="24"/>
        </w:rPr>
        <w:t>, </w:t>
      </w:r>
      <w:r>
        <w:rPr>
          <w:i/>
          <w:color w:val="212121"/>
          <w:sz w:val="24"/>
        </w:rPr>
        <w:t>50</w:t>
      </w:r>
      <w:r>
        <w:rPr>
          <w:color w:val="212121"/>
          <w:sz w:val="24"/>
        </w:rPr>
        <w:t>(1), 3-12.</w:t>
      </w:r>
    </w:p>
    <w:p>
      <w:pPr>
        <w:pStyle w:val="BodyText"/>
        <w:spacing w:before="82"/>
      </w:pPr>
    </w:p>
    <w:p>
      <w:pPr>
        <w:pStyle w:val="BodyText"/>
        <w:ind w:left="1100" w:right="1267" w:hanging="720"/>
        <w:jc w:val="both"/>
      </w:pPr>
      <w:r>
        <w:rPr/>
        <w:t>MacLeod, C., Rabin, H., Ruedy, J., Caron, M., Zarowny, D. and Davies, R. (1972). Comparative</w:t>
      </w:r>
      <w:r>
        <w:rPr>
          <w:spacing w:val="40"/>
        </w:rPr>
        <w:t> </w:t>
      </w:r>
      <w:r>
        <w:rPr/>
        <w:t>bioavailability of three brands of ampicillin; </w:t>
      </w:r>
      <w:r>
        <w:rPr>
          <w:i/>
        </w:rPr>
        <w:t>Canadian Medical Association Journal</w:t>
      </w:r>
      <w:r>
        <w:rPr/>
        <w:t>. 107: 203–209.</w:t>
      </w:r>
    </w:p>
    <w:p>
      <w:pPr>
        <w:pStyle w:val="BodyText"/>
        <w:spacing w:before="2"/>
      </w:pPr>
    </w:p>
    <w:p>
      <w:pPr>
        <w:spacing w:line="276" w:lineRule="auto" w:before="1"/>
        <w:ind w:left="1100" w:right="1263" w:hanging="720"/>
        <w:jc w:val="both"/>
        <w:rPr>
          <w:sz w:val="24"/>
        </w:rPr>
      </w:pPr>
      <w:r>
        <w:rPr>
          <w:color w:val="212121"/>
          <w:sz w:val="24"/>
        </w:rPr>
        <w:t>Madhuri, K., kumar, M.S., and kalyani, L (2011). A review on tinidazole. </w:t>
      </w:r>
      <w:r>
        <w:rPr>
          <w:i/>
          <w:color w:val="212121"/>
          <w:sz w:val="24"/>
        </w:rPr>
        <w:t>International Journal of Pharmaceutical, Chemical and Biological Sciences; </w:t>
      </w:r>
      <w:r>
        <w:rPr>
          <w:color w:val="212121"/>
          <w:sz w:val="24"/>
        </w:rPr>
        <w:t>1(1), 38 - 42</w:t>
      </w:r>
    </w:p>
    <w:p>
      <w:pPr>
        <w:spacing w:after="0" w:line="276" w:lineRule="auto"/>
        <w:jc w:val="both"/>
        <w:rPr>
          <w:sz w:val="24"/>
        </w:rPr>
        <w:sectPr>
          <w:pgSz w:w="12240" w:h="15840"/>
          <w:pgMar w:header="0" w:footer="1068" w:top="1540" w:bottom="1260" w:left="1420" w:right="440"/>
        </w:sectPr>
      </w:pPr>
    </w:p>
    <w:p>
      <w:pPr>
        <w:spacing w:line="276" w:lineRule="auto" w:before="74"/>
        <w:ind w:left="1100" w:right="1264" w:hanging="720"/>
        <w:jc w:val="both"/>
        <w:rPr>
          <w:sz w:val="24"/>
        </w:rPr>
      </w:pPr>
      <w:r>
        <w:rPr>
          <w:color w:val="212121"/>
          <w:sz w:val="24"/>
        </w:rPr>
        <w:t>Mandal, T. K., Chiao, C. S. and Ace, L. N. (1995). Evaluation of </w:t>
      </w:r>
      <w:r>
        <w:rPr>
          <w:i/>
          <w:color w:val="212121"/>
          <w:sz w:val="24"/>
        </w:rPr>
        <w:t>in vitro/in vivo </w:t>
      </w:r>
      <w:r>
        <w:rPr>
          <w:color w:val="212121"/>
          <w:sz w:val="24"/>
        </w:rPr>
        <w:t>correlation utilizing a rotating basket-paddle dissolution apparatus; </w:t>
      </w:r>
      <w:r>
        <w:rPr>
          <w:i/>
          <w:color w:val="212121"/>
          <w:sz w:val="24"/>
        </w:rPr>
        <w:t>Drug Development and Industrial Pharmacy Journal</w:t>
      </w:r>
      <w:r>
        <w:rPr>
          <w:color w:val="212121"/>
          <w:sz w:val="24"/>
        </w:rPr>
        <w:t>, </w:t>
      </w:r>
      <w:r>
        <w:rPr>
          <w:i/>
          <w:color w:val="212121"/>
          <w:sz w:val="24"/>
        </w:rPr>
        <w:t>21</w:t>
      </w:r>
      <w:r>
        <w:rPr>
          <w:color w:val="212121"/>
          <w:sz w:val="24"/>
        </w:rPr>
        <w:t>(13), 1529-1543.</w:t>
      </w:r>
    </w:p>
    <w:p>
      <w:pPr>
        <w:pStyle w:val="BodyText"/>
        <w:spacing w:before="85"/>
      </w:pPr>
    </w:p>
    <w:p>
      <w:pPr>
        <w:pStyle w:val="BodyText"/>
        <w:spacing w:line="276" w:lineRule="auto"/>
        <w:ind w:left="1100" w:right="1267" w:hanging="720"/>
        <w:jc w:val="both"/>
      </w:pPr>
      <w:r>
        <w:rPr>
          <w:color w:val="212121"/>
        </w:rPr>
        <w:t>Mao, W. J., Lv, P. C., Shi, L., Li, H. Q. and</w:t>
      </w:r>
      <w:r>
        <w:rPr>
          <w:color w:val="212121"/>
          <w:spacing w:val="40"/>
        </w:rPr>
        <w:t> </w:t>
      </w:r>
      <w:r>
        <w:rPr>
          <w:color w:val="212121"/>
        </w:rPr>
        <w:t>Zhu, H. L. (2009). Synthesis, molecular docking and biological evaluation of metronidazole derivatives as potent Helicobacter pylori urease inhibitors; </w:t>
      </w:r>
      <w:r>
        <w:rPr>
          <w:i/>
          <w:color w:val="212121"/>
        </w:rPr>
        <w:t>Bioorganic &amp; medicinal chemistry</w:t>
      </w:r>
      <w:r>
        <w:rPr>
          <w:color w:val="212121"/>
        </w:rPr>
        <w:t>, </w:t>
      </w:r>
      <w:r>
        <w:rPr>
          <w:i/>
          <w:color w:val="212121"/>
        </w:rPr>
        <w:t>17</w:t>
      </w:r>
      <w:r>
        <w:rPr>
          <w:color w:val="212121"/>
        </w:rPr>
        <w:t>(21), </w:t>
      </w:r>
      <w:r>
        <w:rPr>
          <w:color w:val="212121"/>
          <w:spacing w:val="-2"/>
        </w:rPr>
        <w:t>7531-7536.</w:t>
      </w:r>
    </w:p>
    <w:p>
      <w:pPr>
        <w:pStyle w:val="BodyText"/>
        <w:spacing w:before="82"/>
      </w:pPr>
    </w:p>
    <w:p>
      <w:pPr>
        <w:pStyle w:val="BodyText"/>
        <w:ind w:left="380"/>
      </w:pPr>
      <w:r>
        <w:rPr/>
        <w:t>Martin,</w:t>
      </w:r>
      <w:r>
        <w:rPr>
          <w:spacing w:val="50"/>
        </w:rPr>
        <w:t> </w:t>
      </w:r>
      <w:r>
        <w:rPr/>
        <w:t>C.M.,</w:t>
      </w:r>
      <w:r>
        <w:rPr>
          <w:spacing w:val="50"/>
        </w:rPr>
        <w:t> </w:t>
      </w:r>
      <w:r>
        <w:rPr/>
        <w:t>Rubin,</w:t>
      </w:r>
      <w:r>
        <w:rPr>
          <w:spacing w:val="54"/>
        </w:rPr>
        <w:t> </w:t>
      </w:r>
      <w:r>
        <w:rPr/>
        <w:t>M.,</w:t>
      </w:r>
      <w:r>
        <w:rPr>
          <w:spacing w:val="50"/>
        </w:rPr>
        <w:t> </w:t>
      </w:r>
      <w:r>
        <w:rPr/>
        <w:t>O’Malley,W.G.,</w:t>
      </w:r>
      <w:r>
        <w:rPr>
          <w:spacing w:val="50"/>
        </w:rPr>
        <w:t> </w:t>
      </w:r>
      <w:r>
        <w:rPr/>
        <w:t>Garagusi,V.F.</w:t>
      </w:r>
      <w:r>
        <w:rPr>
          <w:spacing w:val="53"/>
        </w:rPr>
        <w:t> </w:t>
      </w:r>
      <w:r>
        <w:rPr/>
        <w:t>and</w:t>
      </w:r>
      <w:r>
        <w:rPr>
          <w:spacing w:val="53"/>
        </w:rPr>
        <w:t> </w:t>
      </w:r>
      <w:r>
        <w:rPr/>
        <w:t>McCauley,</w:t>
      </w:r>
      <w:r>
        <w:rPr>
          <w:spacing w:val="52"/>
        </w:rPr>
        <w:t> </w:t>
      </w:r>
      <w:r>
        <w:rPr/>
        <w:t>C.E.</w:t>
      </w:r>
      <w:r>
        <w:rPr>
          <w:spacing w:val="51"/>
        </w:rPr>
        <w:t> </w:t>
      </w:r>
      <w:r>
        <w:rPr>
          <w:spacing w:val="-2"/>
        </w:rPr>
        <w:t>(1968).</w:t>
      </w:r>
    </w:p>
    <w:p>
      <w:pPr>
        <w:spacing w:before="0"/>
        <w:ind w:left="1100" w:right="0" w:firstLine="0"/>
        <w:jc w:val="left"/>
        <w:rPr>
          <w:sz w:val="24"/>
        </w:rPr>
      </w:pPr>
      <w:r>
        <w:rPr>
          <w:sz w:val="24"/>
        </w:rPr>
        <w:t>Brand,</w:t>
      </w:r>
      <w:r>
        <w:rPr>
          <w:spacing w:val="14"/>
          <w:sz w:val="24"/>
        </w:rPr>
        <w:t> </w:t>
      </w:r>
      <w:r>
        <w:rPr>
          <w:sz w:val="24"/>
        </w:rPr>
        <w:t>generic</w:t>
      </w:r>
      <w:r>
        <w:rPr>
          <w:spacing w:val="-3"/>
          <w:sz w:val="24"/>
        </w:rPr>
        <w:t> </w:t>
      </w:r>
      <w:r>
        <w:rPr>
          <w:sz w:val="24"/>
        </w:rPr>
        <w:t>drugs</w:t>
      </w:r>
      <w:r>
        <w:rPr>
          <w:spacing w:val="-1"/>
          <w:sz w:val="24"/>
        </w:rPr>
        <w:t> </w:t>
      </w:r>
      <w:r>
        <w:rPr>
          <w:sz w:val="24"/>
        </w:rPr>
        <w:t>differ</w:t>
      </w:r>
      <w:r>
        <w:rPr>
          <w:spacing w:val="-1"/>
          <w:sz w:val="24"/>
        </w:rPr>
        <w:t> </w:t>
      </w:r>
      <w:r>
        <w:rPr>
          <w:sz w:val="24"/>
        </w:rPr>
        <w:t>in</w:t>
      </w:r>
      <w:r>
        <w:rPr>
          <w:spacing w:val="-1"/>
          <w:sz w:val="24"/>
        </w:rPr>
        <w:t> </w:t>
      </w:r>
      <w:r>
        <w:rPr>
          <w:sz w:val="24"/>
        </w:rPr>
        <w:t>man</w:t>
      </w:r>
      <w:r>
        <w:rPr>
          <w:i/>
          <w:sz w:val="24"/>
        </w:rPr>
        <w:t>.</w:t>
      </w:r>
      <w:r>
        <w:rPr>
          <w:i/>
          <w:spacing w:val="-1"/>
          <w:sz w:val="24"/>
        </w:rPr>
        <w:t> </w:t>
      </w:r>
      <w:r>
        <w:rPr>
          <w:i/>
          <w:sz w:val="24"/>
        </w:rPr>
        <w:t>JAMA</w:t>
      </w:r>
      <w:r>
        <w:rPr>
          <w:i/>
          <w:spacing w:val="-1"/>
          <w:sz w:val="24"/>
        </w:rPr>
        <w:t> </w:t>
      </w:r>
      <w:r>
        <w:rPr>
          <w:i/>
          <w:sz w:val="24"/>
        </w:rPr>
        <w:t>205</w:t>
      </w:r>
      <w:r>
        <w:rPr>
          <w:i/>
          <w:spacing w:val="1"/>
          <w:sz w:val="24"/>
        </w:rPr>
        <w:t> </w:t>
      </w:r>
      <w:r>
        <w:rPr>
          <w:i/>
          <w:sz w:val="24"/>
        </w:rPr>
        <w:t>(medical</w:t>
      </w:r>
      <w:r>
        <w:rPr>
          <w:i/>
          <w:spacing w:val="-1"/>
          <w:sz w:val="24"/>
        </w:rPr>
        <w:t> </w:t>
      </w:r>
      <w:r>
        <w:rPr>
          <w:i/>
          <w:sz w:val="24"/>
        </w:rPr>
        <w:t>news</w:t>
      </w:r>
      <w:r>
        <w:rPr>
          <w:i/>
          <w:spacing w:val="-1"/>
          <w:sz w:val="24"/>
        </w:rPr>
        <w:t> </w:t>
      </w:r>
      <w:r>
        <w:rPr>
          <w:i/>
          <w:sz w:val="24"/>
        </w:rPr>
        <w:t>section)</w:t>
      </w:r>
      <w:r>
        <w:rPr>
          <w:sz w:val="24"/>
        </w:rPr>
        <w:t>,</w:t>
      </w:r>
      <w:r>
        <w:rPr>
          <w:spacing w:val="-1"/>
          <w:sz w:val="24"/>
        </w:rPr>
        <w:t> </w:t>
      </w:r>
      <w:r>
        <w:rPr>
          <w:sz w:val="24"/>
        </w:rPr>
        <w:t>1:</w:t>
      </w:r>
      <w:r>
        <w:rPr>
          <w:spacing w:val="-1"/>
          <w:sz w:val="24"/>
        </w:rPr>
        <w:t> </w:t>
      </w:r>
      <w:r>
        <w:rPr>
          <w:spacing w:val="-5"/>
          <w:sz w:val="24"/>
        </w:rPr>
        <w:t>23.</w:t>
      </w:r>
    </w:p>
    <w:p>
      <w:pPr>
        <w:pStyle w:val="BodyText"/>
        <w:spacing w:before="3"/>
      </w:pPr>
    </w:p>
    <w:p>
      <w:pPr>
        <w:spacing w:line="276" w:lineRule="auto" w:before="0"/>
        <w:ind w:left="1100" w:right="1264" w:hanging="720"/>
        <w:jc w:val="both"/>
        <w:rPr>
          <w:sz w:val="24"/>
        </w:rPr>
      </w:pPr>
      <w:r>
        <w:rPr>
          <w:color w:val="212121"/>
          <w:sz w:val="24"/>
        </w:rPr>
        <w:t>Milani, P., Barzegar-Jalali, M., Azimi, M. and Valizadeh, H. (2009). Biopharmaceutical classification of drugs using intrinsic dissolution rate (IDR) and rat intestinal permeability; </w:t>
      </w:r>
      <w:r>
        <w:rPr>
          <w:i/>
          <w:color w:val="212121"/>
          <w:sz w:val="24"/>
        </w:rPr>
        <w:t>European Journal of Pharmaceutics and Biopharmaceutics</w:t>
      </w:r>
      <w:r>
        <w:rPr>
          <w:color w:val="212121"/>
          <w:sz w:val="24"/>
        </w:rPr>
        <w:t>, </w:t>
      </w:r>
      <w:r>
        <w:rPr>
          <w:i/>
          <w:color w:val="212121"/>
          <w:sz w:val="24"/>
        </w:rPr>
        <w:t>73</w:t>
      </w:r>
      <w:r>
        <w:rPr>
          <w:color w:val="212121"/>
          <w:sz w:val="24"/>
        </w:rPr>
        <w:t>(1), </w:t>
      </w:r>
      <w:r>
        <w:rPr>
          <w:color w:val="212121"/>
          <w:spacing w:val="-2"/>
          <w:sz w:val="24"/>
        </w:rPr>
        <w:t>102-106.</w:t>
      </w:r>
    </w:p>
    <w:p>
      <w:pPr>
        <w:pStyle w:val="BodyText"/>
        <w:spacing w:before="84"/>
      </w:pPr>
    </w:p>
    <w:p>
      <w:pPr>
        <w:pStyle w:val="BodyText"/>
        <w:spacing w:line="276" w:lineRule="auto"/>
        <w:ind w:left="1100" w:right="1267" w:hanging="720"/>
        <w:jc w:val="both"/>
      </w:pPr>
      <w:r>
        <w:rPr>
          <w:color w:val="212121"/>
        </w:rPr>
        <w:t>Monograph, F. F. (2009). The United States Pharmacopeia and National Formulary USP 32-NF 27; The United States Pharmacopeial Convention. </w:t>
      </w:r>
      <w:r>
        <w:rPr>
          <w:i/>
          <w:color w:val="212121"/>
        </w:rPr>
        <w:t>Inc.: Rockville, MD</w:t>
      </w:r>
      <w:r>
        <w:rPr>
          <w:color w:val="212121"/>
        </w:rPr>
        <w:t>, </w:t>
      </w:r>
      <w:r>
        <w:rPr>
          <w:color w:val="212121"/>
          <w:spacing w:val="-2"/>
        </w:rPr>
        <w:t>2598.</w:t>
      </w:r>
    </w:p>
    <w:p>
      <w:pPr>
        <w:pStyle w:val="BodyText"/>
        <w:spacing w:before="83"/>
      </w:pPr>
    </w:p>
    <w:p>
      <w:pPr>
        <w:pStyle w:val="BodyText"/>
        <w:ind w:left="380"/>
      </w:pPr>
      <w:r>
        <w:rPr>
          <w:color w:val="212121"/>
        </w:rPr>
        <w:t>Müller,</w:t>
      </w:r>
      <w:r>
        <w:rPr>
          <w:color w:val="212121"/>
          <w:spacing w:val="14"/>
        </w:rPr>
        <w:t> </w:t>
      </w:r>
      <w:r>
        <w:rPr>
          <w:color w:val="212121"/>
        </w:rPr>
        <w:t>M.</w:t>
      </w:r>
      <w:r>
        <w:rPr>
          <w:color w:val="212121"/>
          <w:spacing w:val="18"/>
        </w:rPr>
        <w:t> </w:t>
      </w:r>
      <w:r>
        <w:rPr>
          <w:color w:val="212121"/>
        </w:rPr>
        <w:t>(1986).</w:t>
      </w:r>
      <w:r>
        <w:rPr>
          <w:color w:val="212121"/>
          <w:spacing w:val="17"/>
        </w:rPr>
        <w:t> </w:t>
      </w:r>
      <w:r>
        <w:rPr>
          <w:color w:val="212121"/>
        </w:rPr>
        <w:t>Reductive</w:t>
      </w:r>
      <w:r>
        <w:rPr>
          <w:color w:val="212121"/>
          <w:spacing w:val="17"/>
        </w:rPr>
        <w:t> </w:t>
      </w:r>
      <w:r>
        <w:rPr>
          <w:color w:val="212121"/>
        </w:rPr>
        <w:t>activation</w:t>
      </w:r>
      <w:r>
        <w:rPr>
          <w:color w:val="212121"/>
          <w:spacing w:val="16"/>
        </w:rPr>
        <w:t> </w:t>
      </w:r>
      <w:r>
        <w:rPr>
          <w:color w:val="212121"/>
        </w:rPr>
        <w:t>of</w:t>
      </w:r>
      <w:r>
        <w:rPr>
          <w:color w:val="212121"/>
          <w:spacing w:val="17"/>
        </w:rPr>
        <w:t> </w:t>
      </w:r>
      <w:r>
        <w:rPr>
          <w:color w:val="212121"/>
        </w:rPr>
        <w:t>nitroimidazoles</w:t>
      </w:r>
      <w:r>
        <w:rPr>
          <w:color w:val="212121"/>
          <w:spacing w:val="17"/>
        </w:rPr>
        <w:t> </w:t>
      </w:r>
      <w:r>
        <w:rPr>
          <w:color w:val="212121"/>
        </w:rPr>
        <w:t>in</w:t>
      </w:r>
      <w:r>
        <w:rPr>
          <w:color w:val="212121"/>
          <w:spacing w:val="24"/>
        </w:rPr>
        <w:t> </w:t>
      </w:r>
      <w:r>
        <w:rPr>
          <w:color w:val="212121"/>
        </w:rPr>
        <w:t>anaerobic</w:t>
      </w:r>
      <w:r>
        <w:rPr>
          <w:color w:val="212121"/>
          <w:spacing w:val="16"/>
        </w:rPr>
        <w:t> </w:t>
      </w:r>
      <w:r>
        <w:rPr>
          <w:color w:val="212121"/>
          <w:spacing w:val="-2"/>
        </w:rPr>
        <w:t>microorganisms.</w:t>
      </w:r>
    </w:p>
    <w:p>
      <w:pPr>
        <w:spacing w:before="43"/>
        <w:ind w:left="1100" w:right="0" w:firstLine="0"/>
        <w:jc w:val="left"/>
        <w:rPr>
          <w:sz w:val="24"/>
        </w:rPr>
      </w:pPr>
      <w:r>
        <w:rPr>
          <w:i/>
          <w:color w:val="212121"/>
          <w:sz w:val="24"/>
        </w:rPr>
        <w:t>Biochemical</w:t>
      </w:r>
      <w:r>
        <w:rPr>
          <w:i/>
          <w:color w:val="212121"/>
          <w:spacing w:val="-4"/>
          <w:sz w:val="24"/>
        </w:rPr>
        <w:t> </w:t>
      </w:r>
      <w:r>
        <w:rPr>
          <w:i/>
          <w:color w:val="212121"/>
          <w:sz w:val="24"/>
        </w:rPr>
        <w:t>Pharmacology</w:t>
      </w:r>
      <w:r>
        <w:rPr>
          <w:color w:val="212121"/>
          <w:sz w:val="24"/>
        </w:rPr>
        <w:t>,</w:t>
      </w:r>
      <w:r>
        <w:rPr>
          <w:color w:val="212121"/>
          <w:spacing w:val="-2"/>
          <w:sz w:val="24"/>
        </w:rPr>
        <w:t> </w:t>
      </w:r>
      <w:r>
        <w:rPr>
          <w:i/>
          <w:color w:val="212121"/>
          <w:sz w:val="24"/>
        </w:rPr>
        <w:t>35</w:t>
      </w:r>
      <w:r>
        <w:rPr>
          <w:color w:val="212121"/>
          <w:sz w:val="24"/>
        </w:rPr>
        <w:t>(1),</w:t>
      </w:r>
      <w:r>
        <w:rPr>
          <w:color w:val="212121"/>
          <w:spacing w:val="-2"/>
          <w:sz w:val="24"/>
        </w:rPr>
        <w:t> </w:t>
      </w:r>
      <w:r>
        <w:rPr>
          <w:color w:val="212121"/>
          <w:sz w:val="24"/>
        </w:rPr>
        <w:t>37-</w:t>
      </w:r>
      <w:r>
        <w:rPr>
          <w:color w:val="212121"/>
          <w:spacing w:val="-5"/>
          <w:sz w:val="24"/>
        </w:rPr>
        <w:t>41.</w:t>
      </w:r>
    </w:p>
    <w:p>
      <w:pPr>
        <w:pStyle w:val="BodyText"/>
        <w:spacing w:before="125"/>
      </w:pPr>
    </w:p>
    <w:p>
      <w:pPr>
        <w:pStyle w:val="BodyText"/>
        <w:spacing w:line="276" w:lineRule="auto"/>
        <w:ind w:left="1100" w:right="1266" w:hanging="720"/>
        <w:jc w:val="both"/>
      </w:pPr>
      <w:r>
        <w:rPr>
          <w:color w:val="212121"/>
        </w:rPr>
        <w:t>Naikwade,S. R., kulkami, P. P., Jather, S. R and Bajaj, A.N (2008) Development of time and pH dependant colon specific delivery of tinidazole; </w:t>
      </w:r>
      <w:r>
        <w:rPr>
          <w:i/>
          <w:color w:val="212121"/>
        </w:rPr>
        <w:t>Indian Journal of Pharmaceutics </w:t>
      </w:r>
      <w:r>
        <w:rPr>
          <w:color w:val="212121"/>
        </w:rPr>
        <w:t>16 (3) 119-127</w:t>
      </w:r>
    </w:p>
    <w:p>
      <w:pPr>
        <w:pStyle w:val="BodyText"/>
        <w:spacing w:before="82"/>
      </w:pPr>
    </w:p>
    <w:p>
      <w:pPr>
        <w:pStyle w:val="BodyText"/>
        <w:spacing w:line="275" w:lineRule="exact"/>
        <w:ind w:left="380"/>
      </w:pPr>
      <w:r>
        <w:rPr/>
        <w:t>Nelson,</w:t>
      </w:r>
      <w:r>
        <w:rPr>
          <w:spacing w:val="4"/>
        </w:rPr>
        <w:t> </w:t>
      </w:r>
      <w:r>
        <w:rPr/>
        <w:t>E.</w:t>
      </w:r>
      <w:r>
        <w:rPr>
          <w:spacing w:val="5"/>
        </w:rPr>
        <w:t> </w:t>
      </w:r>
      <w:r>
        <w:rPr/>
        <w:t>(1957).</w:t>
      </w:r>
      <w:r>
        <w:rPr>
          <w:spacing w:val="5"/>
        </w:rPr>
        <w:t> </w:t>
      </w:r>
      <w:r>
        <w:rPr/>
        <w:t>Solution</w:t>
      </w:r>
      <w:r>
        <w:rPr>
          <w:spacing w:val="6"/>
        </w:rPr>
        <w:t> </w:t>
      </w:r>
      <w:r>
        <w:rPr/>
        <w:t>rate</w:t>
      </w:r>
      <w:r>
        <w:rPr>
          <w:spacing w:val="5"/>
        </w:rPr>
        <w:t> </w:t>
      </w:r>
      <w:r>
        <w:rPr/>
        <w:t>of</w:t>
      </w:r>
      <w:r>
        <w:rPr>
          <w:spacing w:val="5"/>
        </w:rPr>
        <w:t> </w:t>
      </w:r>
      <w:r>
        <w:rPr/>
        <w:t>theophylline</w:t>
      </w:r>
      <w:r>
        <w:rPr>
          <w:spacing w:val="5"/>
        </w:rPr>
        <w:t> </w:t>
      </w:r>
      <w:r>
        <w:rPr/>
        <w:t>salts</w:t>
      </w:r>
      <w:r>
        <w:rPr>
          <w:spacing w:val="6"/>
        </w:rPr>
        <w:t> </w:t>
      </w:r>
      <w:r>
        <w:rPr/>
        <w:t>and</w:t>
      </w:r>
      <w:r>
        <w:rPr>
          <w:spacing w:val="5"/>
        </w:rPr>
        <w:t> </w:t>
      </w:r>
      <w:r>
        <w:rPr/>
        <w:t>effects</w:t>
      </w:r>
      <w:r>
        <w:rPr>
          <w:spacing w:val="6"/>
        </w:rPr>
        <w:t> </w:t>
      </w:r>
      <w:r>
        <w:rPr/>
        <w:t>from</w:t>
      </w:r>
      <w:r>
        <w:rPr>
          <w:spacing w:val="6"/>
        </w:rPr>
        <w:t> </w:t>
      </w:r>
      <w:r>
        <w:rPr/>
        <w:t>oral</w:t>
      </w:r>
      <w:r>
        <w:rPr>
          <w:spacing w:val="7"/>
        </w:rPr>
        <w:t> </w:t>
      </w:r>
      <w:r>
        <w:rPr>
          <w:spacing w:val="-2"/>
        </w:rPr>
        <w:t>administration;</w:t>
      </w:r>
    </w:p>
    <w:p>
      <w:pPr>
        <w:spacing w:line="275" w:lineRule="exact" w:before="0"/>
        <w:ind w:left="1820" w:right="0" w:firstLine="0"/>
        <w:jc w:val="left"/>
        <w:rPr>
          <w:sz w:val="24"/>
        </w:rPr>
      </w:pPr>
      <w:r>
        <w:rPr>
          <w:i/>
          <w:sz w:val="24"/>
        </w:rPr>
        <w:t>Journal</w:t>
      </w:r>
      <w:r>
        <w:rPr>
          <w:i/>
          <w:spacing w:val="-2"/>
          <w:sz w:val="24"/>
        </w:rPr>
        <w:t> </w:t>
      </w:r>
      <w:r>
        <w:rPr>
          <w:i/>
          <w:sz w:val="24"/>
        </w:rPr>
        <w:t>America</w:t>
      </w:r>
      <w:r>
        <w:rPr>
          <w:i/>
          <w:spacing w:val="58"/>
          <w:sz w:val="24"/>
        </w:rPr>
        <w:t> </w:t>
      </w:r>
      <w:r>
        <w:rPr>
          <w:i/>
          <w:sz w:val="24"/>
        </w:rPr>
        <w:t>Pharmaceutical</w:t>
      </w:r>
      <w:r>
        <w:rPr>
          <w:i/>
          <w:spacing w:val="58"/>
          <w:sz w:val="24"/>
        </w:rPr>
        <w:t> </w:t>
      </w:r>
      <w:r>
        <w:rPr>
          <w:i/>
          <w:sz w:val="24"/>
        </w:rPr>
        <w:t>Association.</w:t>
      </w:r>
      <w:r>
        <w:rPr>
          <w:i/>
          <w:spacing w:val="-1"/>
          <w:sz w:val="24"/>
        </w:rPr>
        <w:t> </w:t>
      </w:r>
      <w:r>
        <w:rPr>
          <w:sz w:val="24"/>
        </w:rPr>
        <w:t>46(1): </w:t>
      </w:r>
      <w:r>
        <w:rPr>
          <w:spacing w:val="-2"/>
          <w:sz w:val="24"/>
        </w:rPr>
        <w:t>607–614.</w:t>
      </w:r>
    </w:p>
    <w:p>
      <w:pPr>
        <w:pStyle w:val="BodyText"/>
      </w:pPr>
    </w:p>
    <w:p>
      <w:pPr>
        <w:spacing w:before="0"/>
        <w:ind w:left="1100" w:right="1262" w:hanging="720"/>
        <w:jc w:val="both"/>
        <w:rPr>
          <w:sz w:val="24"/>
        </w:rPr>
      </w:pPr>
      <w:r>
        <w:rPr>
          <w:sz w:val="24"/>
        </w:rPr>
        <w:t>Okunrobo, L.O (2007). Titrimetric and Spectrophotometric determination of tinidazole Tablets; </w:t>
      </w:r>
      <w:r>
        <w:rPr>
          <w:i/>
          <w:sz w:val="24"/>
        </w:rPr>
        <w:t>World Journal of Chemistry </w:t>
      </w:r>
      <w:r>
        <w:rPr>
          <w:sz w:val="24"/>
        </w:rPr>
        <w:t>2 (2): 63-66</w:t>
      </w:r>
    </w:p>
    <w:p>
      <w:pPr>
        <w:pStyle w:val="BodyText"/>
        <w:spacing w:before="3"/>
      </w:pPr>
    </w:p>
    <w:p>
      <w:pPr>
        <w:pStyle w:val="BodyText"/>
        <w:ind w:left="380"/>
      </w:pPr>
      <w:r>
        <w:rPr>
          <w:color w:val="212121"/>
        </w:rPr>
        <w:t>Olaniyi,</w:t>
      </w:r>
      <w:r>
        <w:rPr>
          <w:color w:val="212121"/>
          <w:spacing w:val="22"/>
        </w:rPr>
        <w:t> </w:t>
      </w:r>
      <w:r>
        <w:rPr>
          <w:color w:val="212121"/>
        </w:rPr>
        <w:t>A.</w:t>
      </w:r>
      <w:r>
        <w:rPr>
          <w:color w:val="212121"/>
          <w:spacing w:val="24"/>
        </w:rPr>
        <w:t> </w:t>
      </w:r>
      <w:r>
        <w:rPr>
          <w:color w:val="212121"/>
        </w:rPr>
        <w:t>A.</w:t>
      </w:r>
      <w:r>
        <w:rPr>
          <w:color w:val="212121"/>
          <w:spacing w:val="23"/>
        </w:rPr>
        <w:t> </w:t>
      </w:r>
      <w:r>
        <w:rPr>
          <w:color w:val="212121"/>
        </w:rPr>
        <w:t>(2000).</w:t>
      </w:r>
      <w:r>
        <w:rPr>
          <w:color w:val="212121"/>
          <w:spacing w:val="24"/>
        </w:rPr>
        <w:t> </w:t>
      </w:r>
      <w:r>
        <w:rPr>
          <w:color w:val="212121"/>
        </w:rPr>
        <w:t>Principles</w:t>
      </w:r>
      <w:r>
        <w:rPr>
          <w:color w:val="212121"/>
          <w:spacing w:val="24"/>
        </w:rPr>
        <w:t> </w:t>
      </w:r>
      <w:r>
        <w:rPr>
          <w:color w:val="212121"/>
        </w:rPr>
        <w:t>of</w:t>
      </w:r>
      <w:r>
        <w:rPr>
          <w:color w:val="212121"/>
          <w:spacing w:val="24"/>
        </w:rPr>
        <w:t> </w:t>
      </w:r>
      <w:r>
        <w:rPr>
          <w:color w:val="212121"/>
        </w:rPr>
        <w:t>drug</w:t>
      </w:r>
      <w:r>
        <w:rPr>
          <w:color w:val="212121"/>
          <w:spacing w:val="21"/>
        </w:rPr>
        <w:t> </w:t>
      </w:r>
      <w:r>
        <w:rPr>
          <w:color w:val="212121"/>
        </w:rPr>
        <w:t>quality</w:t>
      </w:r>
      <w:r>
        <w:rPr>
          <w:color w:val="212121"/>
          <w:spacing w:val="22"/>
        </w:rPr>
        <w:t> </w:t>
      </w:r>
      <w:r>
        <w:rPr>
          <w:color w:val="212121"/>
        </w:rPr>
        <w:t>assurance</w:t>
      </w:r>
      <w:r>
        <w:rPr>
          <w:color w:val="212121"/>
          <w:spacing w:val="23"/>
        </w:rPr>
        <w:t> </w:t>
      </w:r>
      <w:r>
        <w:rPr>
          <w:color w:val="212121"/>
        </w:rPr>
        <w:t>and</w:t>
      </w:r>
      <w:r>
        <w:rPr>
          <w:color w:val="212121"/>
          <w:spacing w:val="25"/>
        </w:rPr>
        <w:t> </w:t>
      </w:r>
      <w:r>
        <w:rPr>
          <w:color w:val="212121"/>
        </w:rPr>
        <w:t>pharmaceutical</w:t>
      </w:r>
      <w:r>
        <w:rPr>
          <w:color w:val="212121"/>
          <w:spacing w:val="25"/>
        </w:rPr>
        <w:t> </w:t>
      </w:r>
      <w:r>
        <w:rPr>
          <w:color w:val="212121"/>
          <w:spacing w:val="-2"/>
        </w:rPr>
        <w:t>analysis.</w:t>
      </w:r>
    </w:p>
    <w:p>
      <w:pPr>
        <w:spacing w:before="43"/>
        <w:ind w:left="1100" w:right="0" w:firstLine="0"/>
        <w:jc w:val="left"/>
        <w:rPr>
          <w:sz w:val="24"/>
        </w:rPr>
      </w:pPr>
      <w:r>
        <w:rPr>
          <w:i/>
          <w:color w:val="212121"/>
          <w:sz w:val="24"/>
        </w:rPr>
        <w:t>Moruso</w:t>
      </w:r>
      <w:r>
        <w:rPr>
          <w:i/>
          <w:color w:val="212121"/>
          <w:spacing w:val="-1"/>
          <w:sz w:val="24"/>
        </w:rPr>
        <w:t> </w:t>
      </w:r>
      <w:r>
        <w:rPr>
          <w:i/>
          <w:color w:val="212121"/>
          <w:sz w:val="24"/>
        </w:rPr>
        <w:t>publishers</w:t>
      </w:r>
      <w:r>
        <w:rPr>
          <w:color w:val="212121"/>
          <w:sz w:val="24"/>
        </w:rPr>
        <w:t>, </w:t>
      </w:r>
      <w:r>
        <w:rPr>
          <w:i/>
          <w:color w:val="212121"/>
          <w:sz w:val="24"/>
        </w:rPr>
        <w:t>5</w:t>
      </w:r>
      <w:r>
        <w:rPr>
          <w:color w:val="212121"/>
          <w:sz w:val="24"/>
        </w:rPr>
        <w:t>, 232-</w:t>
      </w:r>
      <w:r>
        <w:rPr>
          <w:color w:val="212121"/>
          <w:spacing w:val="-4"/>
          <w:sz w:val="24"/>
        </w:rPr>
        <w:t>247.</w:t>
      </w:r>
    </w:p>
    <w:p>
      <w:pPr>
        <w:pStyle w:val="BodyText"/>
        <w:spacing w:before="125"/>
      </w:pPr>
    </w:p>
    <w:p>
      <w:pPr>
        <w:spacing w:line="276" w:lineRule="auto" w:before="0"/>
        <w:ind w:left="1100" w:right="1264" w:hanging="720"/>
        <w:jc w:val="both"/>
        <w:rPr>
          <w:sz w:val="24"/>
        </w:rPr>
      </w:pPr>
      <w:r>
        <w:rPr>
          <w:color w:val="212121"/>
          <w:sz w:val="24"/>
        </w:rPr>
        <w:t>Olaniyi, A. A., Babalola, C. P., Oladeinde, F. and Adegoke, A. (2001). Towards better quality assurance of drugs; In </w:t>
      </w:r>
      <w:r>
        <w:rPr>
          <w:i/>
          <w:color w:val="212121"/>
          <w:sz w:val="24"/>
        </w:rPr>
        <w:t>Proceedings of the 4th National Workshop </w:t>
      </w:r>
      <w:r>
        <w:rPr>
          <w:color w:val="212121"/>
          <w:sz w:val="24"/>
        </w:rPr>
        <w:t>(pp. 70- </w:t>
      </w:r>
      <w:r>
        <w:rPr>
          <w:color w:val="212121"/>
          <w:spacing w:val="-4"/>
          <w:sz w:val="24"/>
        </w:rPr>
        <w:t>73).</w:t>
      </w:r>
    </w:p>
    <w:p>
      <w:pPr>
        <w:spacing w:after="0" w:line="276" w:lineRule="auto"/>
        <w:jc w:val="both"/>
        <w:rPr>
          <w:sz w:val="24"/>
        </w:rPr>
        <w:sectPr>
          <w:pgSz w:w="12240" w:h="15840"/>
          <w:pgMar w:header="0" w:footer="1068" w:top="1540" w:bottom="1260" w:left="1420" w:right="440"/>
        </w:sectPr>
      </w:pPr>
    </w:p>
    <w:p>
      <w:pPr>
        <w:spacing w:line="276" w:lineRule="auto" w:before="74"/>
        <w:ind w:left="1280" w:right="1175" w:hanging="900"/>
        <w:jc w:val="left"/>
        <w:rPr>
          <w:sz w:val="24"/>
        </w:rPr>
      </w:pPr>
      <w:r>
        <w:rPr>
          <w:sz w:val="24"/>
        </w:rPr>
        <w:t>Panchagnula,</w:t>
      </w:r>
      <w:r>
        <w:rPr>
          <w:spacing w:val="36"/>
          <w:sz w:val="24"/>
        </w:rPr>
        <w:t> </w:t>
      </w:r>
      <w:r>
        <w:rPr>
          <w:sz w:val="24"/>
        </w:rPr>
        <w:t>R.</w:t>
      </w:r>
      <w:r>
        <w:rPr>
          <w:spacing w:val="38"/>
          <w:sz w:val="24"/>
        </w:rPr>
        <w:t> </w:t>
      </w:r>
      <w:r>
        <w:rPr>
          <w:sz w:val="24"/>
        </w:rPr>
        <w:t>and</w:t>
      </w:r>
      <w:r>
        <w:rPr>
          <w:spacing w:val="40"/>
          <w:sz w:val="24"/>
        </w:rPr>
        <w:t> </w:t>
      </w:r>
      <w:r>
        <w:rPr>
          <w:sz w:val="24"/>
        </w:rPr>
        <w:t>Thomas,</w:t>
      </w:r>
      <w:r>
        <w:rPr>
          <w:spacing w:val="36"/>
          <w:sz w:val="24"/>
        </w:rPr>
        <w:t> </w:t>
      </w:r>
      <w:r>
        <w:rPr>
          <w:sz w:val="24"/>
        </w:rPr>
        <w:t>N.</w:t>
      </w:r>
      <w:r>
        <w:rPr>
          <w:spacing w:val="36"/>
          <w:sz w:val="24"/>
        </w:rPr>
        <w:t> </w:t>
      </w:r>
      <w:r>
        <w:rPr>
          <w:sz w:val="24"/>
        </w:rPr>
        <w:t>S</w:t>
      </w:r>
      <w:r>
        <w:rPr>
          <w:spacing w:val="40"/>
          <w:sz w:val="24"/>
        </w:rPr>
        <w:t> </w:t>
      </w:r>
      <w:r>
        <w:rPr>
          <w:sz w:val="24"/>
        </w:rPr>
        <w:t>(2000).</w:t>
      </w:r>
      <w:r>
        <w:rPr>
          <w:spacing w:val="38"/>
          <w:sz w:val="24"/>
        </w:rPr>
        <w:t> </w:t>
      </w:r>
      <w:r>
        <w:rPr>
          <w:sz w:val="24"/>
        </w:rPr>
        <w:t>Biopharmaceutics</w:t>
      </w:r>
      <w:r>
        <w:rPr>
          <w:spacing w:val="36"/>
          <w:sz w:val="24"/>
        </w:rPr>
        <w:t> </w:t>
      </w:r>
      <w:r>
        <w:rPr>
          <w:sz w:val="24"/>
        </w:rPr>
        <w:t>and</w:t>
      </w:r>
      <w:r>
        <w:rPr>
          <w:spacing w:val="38"/>
          <w:sz w:val="24"/>
        </w:rPr>
        <w:t> </w:t>
      </w:r>
      <w:r>
        <w:rPr>
          <w:sz w:val="24"/>
        </w:rPr>
        <w:t>pharmacokinetics</w:t>
      </w:r>
      <w:r>
        <w:rPr>
          <w:spacing w:val="36"/>
          <w:sz w:val="24"/>
        </w:rPr>
        <w:t> </w:t>
      </w:r>
      <w:r>
        <w:rPr>
          <w:sz w:val="24"/>
        </w:rPr>
        <w:t>in drug research; </w:t>
      </w:r>
      <w:r>
        <w:rPr>
          <w:i/>
          <w:sz w:val="24"/>
        </w:rPr>
        <w:t>International Journal of Pharm</w:t>
      </w:r>
      <w:r>
        <w:rPr>
          <w:sz w:val="24"/>
        </w:rPr>
        <w:t>acy, </w:t>
      </w:r>
      <w:r>
        <w:rPr>
          <w:i/>
          <w:sz w:val="24"/>
        </w:rPr>
        <w:t>201</w:t>
      </w:r>
      <w:r>
        <w:rPr>
          <w:sz w:val="24"/>
        </w:rPr>
        <w:t>, 131–150.</w:t>
      </w:r>
    </w:p>
    <w:p>
      <w:pPr>
        <w:pStyle w:val="BodyText"/>
        <w:spacing w:before="83"/>
      </w:pPr>
    </w:p>
    <w:p>
      <w:pPr>
        <w:pStyle w:val="BodyText"/>
        <w:spacing w:line="278" w:lineRule="auto"/>
        <w:ind w:left="1100" w:right="1274" w:hanging="720"/>
        <w:jc w:val="both"/>
      </w:pPr>
      <w:r>
        <w:rPr>
          <w:color w:val="212121"/>
        </w:rPr>
        <w:t>Panzade, P. D., and Mahadik, K. R. (2001). Simultaneous estimation of ofloxacin and tinidazole in tablet dosage form; </w:t>
      </w:r>
      <w:r>
        <w:rPr>
          <w:i/>
          <w:color w:val="212121"/>
        </w:rPr>
        <w:t>Indian drugs-Bombay-</w:t>
      </w:r>
      <w:r>
        <w:rPr>
          <w:color w:val="212121"/>
        </w:rPr>
        <w:t>, </w:t>
      </w:r>
      <w:r>
        <w:rPr>
          <w:i/>
          <w:color w:val="212121"/>
        </w:rPr>
        <w:t>38</w:t>
      </w:r>
      <w:r>
        <w:rPr>
          <w:color w:val="212121"/>
        </w:rPr>
        <w:t>(7), 368-370.</w:t>
      </w:r>
    </w:p>
    <w:p>
      <w:pPr>
        <w:pStyle w:val="BodyText"/>
        <w:spacing w:before="80"/>
      </w:pPr>
    </w:p>
    <w:p>
      <w:pPr>
        <w:spacing w:line="276" w:lineRule="auto" w:before="0"/>
        <w:ind w:left="1100" w:right="1267" w:hanging="720"/>
        <w:jc w:val="both"/>
        <w:rPr>
          <w:sz w:val="24"/>
        </w:rPr>
      </w:pPr>
      <w:r>
        <w:rPr>
          <w:color w:val="212121"/>
          <w:sz w:val="24"/>
        </w:rPr>
        <w:t>Pelkonen, O., Boobis, A. R. and Gundert-Remy, U. (2001). </w:t>
      </w:r>
      <w:r>
        <w:rPr>
          <w:i/>
          <w:color w:val="212121"/>
          <w:sz w:val="24"/>
        </w:rPr>
        <w:t>In vitro </w:t>
      </w:r>
      <w:r>
        <w:rPr>
          <w:color w:val="212121"/>
          <w:sz w:val="24"/>
        </w:rPr>
        <w:t>prediction of gastrointestinal absorption and bioavailability: an experts' meeting report; </w:t>
      </w:r>
      <w:r>
        <w:rPr>
          <w:i/>
          <w:color w:val="212121"/>
          <w:sz w:val="24"/>
        </w:rPr>
        <w:t>European Journal of Clinical Pharmacology</w:t>
      </w:r>
      <w:r>
        <w:rPr>
          <w:color w:val="212121"/>
          <w:sz w:val="24"/>
        </w:rPr>
        <w:t>, </w:t>
      </w:r>
      <w:r>
        <w:rPr>
          <w:i/>
          <w:color w:val="212121"/>
          <w:sz w:val="24"/>
        </w:rPr>
        <w:t>57</w:t>
      </w:r>
      <w:r>
        <w:rPr>
          <w:color w:val="212121"/>
          <w:sz w:val="24"/>
        </w:rPr>
        <w:t>(9), 621-629.</w:t>
      </w:r>
    </w:p>
    <w:p>
      <w:pPr>
        <w:pStyle w:val="BodyText"/>
        <w:spacing w:before="85"/>
      </w:pPr>
    </w:p>
    <w:p>
      <w:pPr>
        <w:pStyle w:val="BodyText"/>
        <w:spacing w:line="276" w:lineRule="auto"/>
        <w:ind w:left="1100" w:right="1264" w:hanging="720"/>
        <w:jc w:val="both"/>
      </w:pPr>
      <w:r>
        <w:rPr>
          <w:color w:val="212121"/>
        </w:rPr>
        <w:t>Peltonen, L., Liljeroth, P., Heikkilä, T., Kontturi, K., and Hirvonen, J. (2003). Dissolution testing of acetylsalicylic acid by a channel flow method—correlation to USP</w:t>
      </w:r>
      <w:r>
        <w:rPr>
          <w:color w:val="212121"/>
          <w:spacing w:val="40"/>
        </w:rPr>
        <w:t> </w:t>
      </w:r>
      <w:r>
        <w:rPr>
          <w:color w:val="212121"/>
        </w:rPr>
        <w:t>basket and intrinsic dissolution methods; </w:t>
      </w:r>
      <w:r>
        <w:rPr>
          <w:i/>
          <w:color w:val="212121"/>
        </w:rPr>
        <w:t>European Journal of Pharmaceutical Sciences</w:t>
      </w:r>
      <w:r>
        <w:rPr>
          <w:color w:val="212121"/>
        </w:rPr>
        <w:t>, </w:t>
      </w:r>
      <w:r>
        <w:rPr>
          <w:i/>
          <w:color w:val="212121"/>
        </w:rPr>
        <w:t>19</w:t>
      </w:r>
      <w:r>
        <w:rPr>
          <w:color w:val="212121"/>
        </w:rPr>
        <w:t>(5), 395-401.</w:t>
      </w:r>
    </w:p>
    <w:p>
      <w:pPr>
        <w:pStyle w:val="BodyText"/>
        <w:spacing w:before="82"/>
      </w:pPr>
    </w:p>
    <w:p>
      <w:pPr>
        <w:spacing w:before="0"/>
        <w:ind w:left="1100" w:right="1175" w:hanging="720"/>
        <w:jc w:val="left"/>
        <w:rPr>
          <w:i/>
          <w:sz w:val="24"/>
        </w:rPr>
      </w:pPr>
      <w:r>
        <w:rPr>
          <w:sz w:val="24"/>
        </w:rPr>
        <w:t>Pernarowski,</w:t>
      </w:r>
      <w:r>
        <w:rPr>
          <w:spacing w:val="-5"/>
          <w:sz w:val="24"/>
        </w:rPr>
        <w:t> </w:t>
      </w:r>
      <w:r>
        <w:rPr>
          <w:sz w:val="24"/>
        </w:rPr>
        <w:t>M.</w:t>
      </w:r>
      <w:r>
        <w:rPr>
          <w:spacing w:val="-5"/>
          <w:sz w:val="24"/>
        </w:rPr>
        <w:t> </w:t>
      </w:r>
      <w:r>
        <w:rPr>
          <w:sz w:val="24"/>
        </w:rPr>
        <w:t>(2005);</w:t>
      </w:r>
      <w:r>
        <w:rPr>
          <w:spacing w:val="-3"/>
          <w:sz w:val="24"/>
        </w:rPr>
        <w:t> </w:t>
      </w:r>
      <w:r>
        <w:rPr>
          <w:sz w:val="24"/>
        </w:rPr>
        <w:t>Dissolution</w:t>
      </w:r>
      <w:r>
        <w:rPr>
          <w:spacing w:val="-5"/>
          <w:sz w:val="24"/>
        </w:rPr>
        <w:t> </w:t>
      </w:r>
      <w:r>
        <w:rPr>
          <w:sz w:val="24"/>
        </w:rPr>
        <w:t>methodology.</w:t>
      </w:r>
      <w:r>
        <w:rPr>
          <w:spacing w:val="-3"/>
          <w:sz w:val="24"/>
        </w:rPr>
        <w:t> </w:t>
      </w:r>
      <w:r>
        <w:rPr>
          <w:sz w:val="24"/>
        </w:rPr>
        <w:t>In</w:t>
      </w:r>
      <w:r>
        <w:rPr>
          <w:spacing w:val="-5"/>
          <w:sz w:val="24"/>
        </w:rPr>
        <w:t> </w:t>
      </w:r>
      <w:r>
        <w:rPr>
          <w:sz w:val="24"/>
        </w:rPr>
        <w:t>J.T.</w:t>
      </w:r>
      <w:r>
        <w:rPr>
          <w:spacing w:val="-5"/>
          <w:sz w:val="24"/>
        </w:rPr>
        <w:t> </w:t>
      </w:r>
      <w:r>
        <w:rPr>
          <w:sz w:val="24"/>
        </w:rPr>
        <w:t>Carstensen</w:t>
      </w:r>
      <w:r>
        <w:rPr>
          <w:spacing w:val="-5"/>
          <w:sz w:val="24"/>
        </w:rPr>
        <w:t> </w:t>
      </w:r>
      <w:r>
        <w:rPr>
          <w:sz w:val="24"/>
        </w:rPr>
        <w:t>(edn).</w:t>
      </w:r>
      <w:r>
        <w:rPr>
          <w:spacing w:val="-5"/>
          <w:sz w:val="24"/>
        </w:rPr>
        <w:t> </w:t>
      </w:r>
      <w:r>
        <w:rPr>
          <w:sz w:val="24"/>
        </w:rPr>
        <w:t>Dissolution Technology. </w:t>
      </w:r>
      <w:r>
        <w:rPr>
          <w:i/>
          <w:sz w:val="24"/>
        </w:rPr>
        <w:t>Washington, D.C. Academy of Pharmaceutical Sciences, pp 58</w:t>
      </w:r>
    </w:p>
    <w:p>
      <w:pPr>
        <w:pStyle w:val="BodyText"/>
        <w:spacing w:before="2"/>
        <w:rPr>
          <w:i/>
        </w:rPr>
      </w:pPr>
    </w:p>
    <w:p>
      <w:pPr>
        <w:spacing w:line="276" w:lineRule="auto" w:before="1"/>
        <w:ind w:left="1280" w:right="1175" w:hanging="900"/>
        <w:jc w:val="left"/>
        <w:rPr>
          <w:sz w:val="24"/>
        </w:rPr>
      </w:pPr>
      <w:r>
        <w:rPr>
          <w:color w:val="212121"/>
          <w:sz w:val="24"/>
        </w:rPr>
        <w:t>Pharmacopoeia,</w:t>
      </w:r>
      <w:r>
        <w:rPr>
          <w:color w:val="212121"/>
          <w:spacing w:val="80"/>
          <w:sz w:val="24"/>
        </w:rPr>
        <w:t> </w:t>
      </w:r>
      <w:r>
        <w:rPr>
          <w:color w:val="212121"/>
          <w:sz w:val="24"/>
        </w:rPr>
        <w:t>B.</w:t>
      </w:r>
      <w:r>
        <w:rPr>
          <w:color w:val="212121"/>
          <w:spacing w:val="80"/>
          <w:sz w:val="24"/>
        </w:rPr>
        <w:t> </w:t>
      </w:r>
      <w:r>
        <w:rPr>
          <w:color w:val="212121"/>
          <w:sz w:val="24"/>
        </w:rPr>
        <w:t>(2009).</w:t>
      </w:r>
      <w:r>
        <w:rPr>
          <w:color w:val="212121"/>
          <w:spacing w:val="80"/>
          <w:sz w:val="24"/>
        </w:rPr>
        <w:t> </w:t>
      </w:r>
      <w:r>
        <w:rPr>
          <w:color w:val="212121"/>
          <w:sz w:val="24"/>
        </w:rPr>
        <w:t>Medicinal</w:t>
      </w:r>
      <w:r>
        <w:rPr>
          <w:color w:val="212121"/>
          <w:spacing w:val="80"/>
          <w:sz w:val="24"/>
        </w:rPr>
        <w:t> </w:t>
      </w:r>
      <w:r>
        <w:rPr>
          <w:color w:val="212121"/>
          <w:sz w:val="24"/>
        </w:rPr>
        <w:t>and</w:t>
      </w:r>
      <w:r>
        <w:rPr>
          <w:color w:val="212121"/>
          <w:spacing w:val="80"/>
          <w:sz w:val="24"/>
        </w:rPr>
        <w:t> </w:t>
      </w:r>
      <w:r>
        <w:rPr>
          <w:color w:val="212121"/>
          <w:sz w:val="24"/>
        </w:rPr>
        <w:t>pharmaceutical</w:t>
      </w:r>
      <w:r>
        <w:rPr>
          <w:color w:val="212121"/>
          <w:spacing w:val="80"/>
          <w:sz w:val="24"/>
        </w:rPr>
        <w:t> </w:t>
      </w:r>
      <w:r>
        <w:rPr>
          <w:color w:val="212121"/>
          <w:sz w:val="24"/>
        </w:rPr>
        <w:t>substances.</w:t>
      </w:r>
      <w:r>
        <w:rPr>
          <w:color w:val="212121"/>
          <w:spacing w:val="80"/>
          <w:sz w:val="24"/>
        </w:rPr>
        <w:t> </w:t>
      </w:r>
      <w:r>
        <w:rPr>
          <w:i/>
          <w:color w:val="212121"/>
          <w:sz w:val="24"/>
        </w:rPr>
        <w:t>London;</w:t>
      </w:r>
      <w:r>
        <w:rPr>
          <w:i/>
          <w:color w:val="212121"/>
          <w:spacing w:val="80"/>
          <w:sz w:val="24"/>
        </w:rPr>
        <w:t> </w:t>
      </w:r>
      <w:r>
        <w:rPr>
          <w:i/>
          <w:color w:val="212121"/>
          <w:sz w:val="24"/>
        </w:rPr>
        <w:t>The Stationery Office</w:t>
      </w:r>
      <w:r>
        <w:rPr>
          <w:color w:val="212121"/>
          <w:sz w:val="24"/>
        </w:rPr>
        <w:t>.</w:t>
      </w:r>
    </w:p>
    <w:p>
      <w:pPr>
        <w:pStyle w:val="BodyText"/>
        <w:spacing w:before="80"/>
      </w:pPr>
    </w:p>
    <w:p>
      <w:pPr>
        <w:spacing w:before="0"/>
        <w:ind w:left="1100" w:right="1175" w:hanging="720"/>
        <w:jc w:val="left"/>
        <w:rPr>
          <w:sz w:val="24"/>
        </w:rPr>
      </w:pPr>
      <w:r>
        <w:rPr>
          <w:color w:val="212121"/>
          <w:sz w:val="24"/>
        </w:rPr>
        <w:t>Pierce,</w:t>
      </w:r>
      <w:r>
        <w:rPr>
          <w:color w:val="212121"/>
          <w:spacing w:val="-3"/>
          <w:sz w:val="24"/>
        </w:rPr>
        <w:t> </w:t>
      </w:r>
      <w:r>
        <w:rPr>
          <w:color w:val="212121"/>
          <w:sz w:val="24"/>
        </w:rPr>
        <w:t>K.</w:t>
      </w:r>
      <w:r>
        <w:rPr>
          <w:color w:val="212121"/>
          <w:spacing w:val="-4"/>
          <w:sz w:val="24"/>
        </w:rPr>
        <w:t> </w:t>
      </w:r>
      <w:r>
        <w:rPr>
          <w:color w:val="212121"/>
          <w:sz w:val="24"/>
        </w:rPr>
        <w:t>K.,</w:t>
      </w:r>
      <w:r>
        <w:rPr>
          <w:color w:val="212121"/>
          <w:spacing w:val="-2"/>
          <w:sz w:val="24"/>
        </w:rPr>
        <w:t> </w:t>
      </w:r>
      <w:r>
        <w:rPr>
          <w:color w:val="212121"/>
          <w:sz w:val="24"/>
        </w:rPr>
        <w:t>and</w:t>
      </w:r>
      <w:r>
        <w:rPr>
          <w:color w:val="212121"/>
          <w:spacing w:val="-3"/>
          <w:sz w:val="24"/>
        </w:rPr>
        <w:t> </w:t>
      </w:r>
      <w:r>
        <w:rPr>
          <w:color w:val="212121"/>
          <w:sz w:val="24"/>
        </w:rPr>
        <w:t>Kirkpatrick,</w:t>
      </w:r>
      <w:r>
        <w:rPr>
          <w:color w:val="212121"/>
          <w:spacing w:val="-4"/>
          <w:sz w:val="24"/>
        </w:rPr>
        <w:t> </w:t>
      </w:r>
      <w:r>
        <w:rPr>
          <w:color w:val="212121"/>
          <w:sz w:val="24"/>
        </w:rPr>
        <w:t>B.</w:t>
      </w:r>
      <w:r>
        <w:rPr>
          <w:color w:val="212121"/>
          <w:spacing w:val="-3"/>
          <w:sz w:val="24"/>
        </w:rPr>
        <w:t> </w:t>
      </w:r>
      <w:r>
        <w:rPr>
          <w:color w:val="212121"/>
          <w:sz w:val="24"/>
        </w:rPr>
        <w:t>D.</w:t>
      </w:r>
      <w:r>
        <w:rPr>
          <w:color w:val="212121"/>
          <w:spacing w:val="-3"/>
          <w:sz w:val="24"/>
        </w:rPr>
        <w:t> </w:t>
      </w:r>
      <w:r>
        <w:rPr>
          <w:color w:val="212121"/>
          <w:sz w:val="24"/>
        </w:rPr>
        <w:t>(2009).</w:t>
      </w:r>
      <w:r>
        <w:rPr>
          <w:color w:val="212121"/>
          <w:spacing w:val="-3"/>
          <w:sz w:val="24"/>
        </w:rPr>
        <w:t> </w:t>
      </w:r>
      <w:r>
        <w:rPr>
          <w:color w:val="212121"/>
          <w:sz w:val="24"/>
        </w:rPr>
        <w:t>Update</w:t>
      </w:r>
      <w:r>
        <w:rPr>
          <w:color w:val="212121"/>
          <w:spacing w:val="-4"/>
          <w:sz w:val="24"/>
        </w:rPr>
        <w:t> </w:t>
      </w:r>
      <w:r>
        <w:rPr>
          <w:color w:val="212121"/>
          <w:sz w:val="24"/>
        </w:rPr>
        <w:t>on</w:t>
      </w:r>
      <w:r>
        <w:rPr>
          <w:color w:val="212121"/>
          <w:spacing w:val="-3"/>
          <w:sz w:val="24"/>
        </w:rPr>
        <w:t> </w:t>
      </w:r>
      <w:r>
        <w:rPr>
          <w:color w:val="212121"/>
          <w:sz w:val="24"/>
        </w:rPr>
        <w:t>human</w:t>
      </w:r>
      <w:r>
        <w:rPr>
          <w:color w:val="212121"/>
          <w:spacing w:val="-4"/>
          <w:sz w:val="24"/>
        </w:rPr>
        <w:t> </w:t>
      </w:r>
      <w:r>
        <w:rPr>
          <w:color w:val="212121"/>
          <w:sz w:val="24"/>
        </w:rPr>
        <w:t>infections</w:t>
      </w:r>
      <w:r>
        <w:rPr>
          <w:color w:val="212121"/>
          <w:spacing w:val="-3"/>
          <w:sz w:val="24"/>
        </w:rPr>
        <w:t> </w:t>
      </w:r>
      <w:r>
        <w:rPr>
          <w:color w:val="212121"/>
          <w:sz w:val="24"/>
        </w:rPr>
        <w:t>caused</w:t>
      </w:r>
      <w:r>
        <w:rPr>
          <w:color w:val="212121"/>
          <w:spacing w:val="-4"/>
          <w:sz w:val="24"/>
        </w:rPr>
        <w:t> </w:t>
      </w:r>
      <w:r>
        <w:rPr>
          <w:color w:val="212121"/>
          <w:sz w:val="24"/>
        </w:rPr>
        <w:t>by intestinal protozoa. </w:t>
      </w:r>
      <w:r>
        <w:rPr>
          <w:i/>
          <w:color w:val="212121"/>
          <w:sz w:val="24"/>
        </w:rPr>
        <w:t>Current opinion in gastroenterology</w:t>
      </w:r>
      <w:r>
        <w:rPr>
          <w:color w:val="212121"/>
          <w:sz w:val="24"/>
        </w:rPr>
        <w:t>, </w:t>
      </w:r>
      <w:r>
        <w:rPr>
          <w:i/>
          <w:color w:val="212121"/>
          <w:sz w:val="24"/>
        </w:rPr>
        <w:t>25</w:t>
      </w:r>
      <w:r>
        <w:rPr>
          <w:color w:val="212121"/>
          <w:sz w:val="24"/>
        </w:rPr>
        <w:t>(1), 12-17.</w:t>
      </w:r>
    </w:p>
    <w:p>
      <w:pPr>
        <w:pStyle w:val="BodyText"/>
        <w:spacing w:before="3"/>
      </w:pPr>
    </w:p>
    <w:p>
      <w:pPr>
        <w:spacing w:line="276" w:lineRule="auto" w:before="0"/>
        <w:ind w:left="1100" w:right="1261" w:hanging="720"/>
        <w:jc w:val="both"/>
        <w:rPr>
          <w:sz w:val="24"/>
        </w:rPr>
      </w:pPr>
      <w:r>
        <w:rPr>
          <w:color w:val="212121"/>
          <w:sz w:val="24"/>
        </w:rPr>
        <w:t>Raju, K. N., Swamy, T. G. and Rao, A. L. (2011). Development and validation of RP- HPLC method for the determination of montelukast sodium in bulk and in pharmaceutical formulation; </w:t>
      </w:r>
      <w:r>
        <w:rPr>
          <w:i/>
          <w:color w:val="212121"/>
          <w:sz w:val="24"/>
        </w:rPr>
        <w:t>International Journal of Pharmaceutical, Chemical and Biological Sciences</w:t>
      </w:r>
      <w:r>
        <w:rPr>
          <w:color w:val="212121"/>
          <w:sz w:val="24"/>
        </w:rPr>
        <w:t>, </w:t>
      </w:r>
      <w:r>
        <w:rPr>
          <w:i/>
          <w:color w:val="212121"/>
          <w:sz w:val="24"/>
        </w:rPr>
        <w:t>1</w:t>
      </w:r>
      <w:r>
        <w:rPr>
          <w:color w:val="212121"/>
          <w:sz w:val="24"/>
        </w:rPr>
        <w:t>(1), 12-16.</w:t>
      </w:r>
    </w:p>
    <w:p>
      <w:pPr>
        <w:pStyle w:val="BodyText"/>
        <w:spacing w:before="81"/>
      </w:pPr>
    </w:p>
    <w:p>
      <w:pPr>
        <w:pStyle w:val="BodyText"/>
        <w:spacing w:before="1"/>
        <w:ind w:left="1100" w:right="1175" w:hanging="720"/>
        <w:rPr>
          <w:rFonts w:ascii="Arial MT"/>
          <w:sz w:val="20"/>
        </w:rPr>
      </w:pPr>
      <w:r>
        <w:rPr>
          <w:color w:val="212121"/>
        </w:rPr>
        <w:t>Rao,</w:t>
      </w:r>
      <w:r>
        <w:rPr>
          <w:color w:val="212121"/>
          <w:spacing w:val="-3"/>
        </w:rPr>
        <w:t> </w:t>
      </w:r>
      <w:r>
        <w:rPr>
          <w:color w:val="212121"/>
        </w:rPr>
        <w:t>K.</w:t>
      </w:r>
      <w:r>
        <w:rPr>
          <w:color w:val="212121"/>
          <w:spacing w:val="-3"/>
        </w:rPr>
        <w:t> </w:t>
      </w:r>
      <w:r>
        <w:rPr>
          <w:color w:val="212121"/>
        </w:rPr>
        <w:t>S.,</w:t>
      </w:r>
      <w:r>
        <w:rPr>
          <w:color w:val="212121"/>
          <w:spacing w:val="-3"/>
        </w:rPr>
        <w:t> </w:t>
      </w:r>
      <w:r>
        <w:rPr>
          <w:color w:val="212121"/>
        </w:rPr>
        <w:t>Banerjee,</w:t>
      </w:r>
      <w:r>
        <w:rPr>
          <w:color w:val="212121"/>
          <w:spacing w:val="-2"/>
        </w:rPr>
        <w:t> </w:t>
      </w:r>
      <w:r>
        <w:rPr>
          <w:color w:val="212121"/>
        </w:rPr>
        <w:t>A.,</w:t>
      </w:r>
      <w:r>
        <w:rPr>
          <w:color w:val="212121"/>
          <w:spacing w:val="-2"/>
        </w:rPr>
        <w:t> </w:t>
      </w:r>
      <w:r>
        <w:rPr>
          <w:color w:val="212121"/>
        </w:rPr>
        <w:t>and</w:t>
      </w:r>
      <w:r>
        <w:rPr>
          <w:color w:val="212121"/>
          <w:spacing w:val="-3"/>
        </w:rPr>
        <w:t> </w:t>
      </w:r>
      <w:r>
        <w:rPr>
          <w:color w:val="212121"/>
        </w:rPr>
        <w:t>Keshar,</w:t>
      </w:r>
      <w:r>
        <w:rPr>
          <w:color w:val="212121"/>
          <w:spacing w:val="-3"/>
        </w:rPr>
        <w:t> </w:t>
      </w:r>
      <w:r>
        <w:rPr>
          <w:color w:val="212121"/>
        </w:rPr>
        <w:t>N.</w:t>
      </w:r>
      <w:r>
        <w:rPr>
          <w:color w:val="212121"/>
          <w:spacing w:val="-3"/>
        </w:rPr>
        <w:t> </w:t>
      </w:r>
      <w:r>
        <w:rPr>
          <w:color w:val="212121"/>
        </w:rPr>
        <w:t>K.</w:t>
      </w:r>
      <w:r>
        <w:rPr>
          <w:color w:val="212121"/>
          <w:spacing w:val="-3"/>
        </w:rPr>
        <w:t> </w:t>
      </w:r>
      <w:r>
        <w:rPr>
          <w:color w:val="212121"/>
        </w:rPr>
        <w:t>(2011).</w:t>
      </w:r>
      <w:r>
        <w:rPr>
          <w:color w:val="212121"/>
          <w:spacing w:val="-3"/>
        </w:rPr>
        <w:t> </w:t>
      </w:r>
      <w:r>
        <w:rPr>
          <w:color w:val="212121"/>
        </w:rPr>
        <w:t>Spectrophotometric</w:t>
      </w:r>
      <w:r>
        <w:rPr>
          <w:color w:val="212121"/>
          <w:spacing w:val="-3"/>
        </w:rPr>
        <w:t> </w:t>
      </w:r>
      <w:r>
        <w:rPr>
          <w:color w:val="212121"/>
        </w:rPr>
        <w:t>methods</w:t>
      </w:r>
      <w:r>
        <w:rPr>
          <w:color w:val="212121"/>
          <w:spacing w:val="-3"/>
        </w:rPr>
        <w:t> </w:t>
      </w:r>
      <w:r>
        <w:rPr>
          <w:color w:val="212121"/>
        </w:rPr>
        <w:t>for</w:t>
      </w:r>
      <w:r>
        <w:rPr>
          <w:color w:val="212121"/>
          <w:spacing w:val="-5"/>
        </w:rPr>
        <w:t> </w:t>
      </w:r>
      <w:r>
        <w:rPr>
          <w:color w:val="212121"/>
        </w:rPr>
        <w:t>the simultaneous estimation of ofloxacin and tinidazole in bulk and pharmaceutical dosage form. </w:t>
      </w:r>
      <w:r>
        <w:rPr>
          <w:i/>
          <w:color w:val="212121"/>
        </w:rPr>
        <w:t>Chronicles of Young Scientists</w:t>
      </w:r>
      <w:r>
        <w:rPr>
          <w:color w:val="212121"/>
        </w:rPr>
        <w:t>, </w:t>
      </w:r>
      <w:r>
        <w:rPr>
          <w:i/>
          <w:color w:val="212121"/>
        </w:rPr>
        <w:t>2</w:t>
      </w:r>
      <w:r>
        <w:rPr>
          <w:color w:val="212121"/>
        </w:rPr>
        <w:t>(2), 98</w:t>
      </w:r>
      <w:r>
        <w:rPr>
          <w:rFonts w:ascii="Arial MT"/>
          <w:color w:val="212121"/>
          <w:sz w:val="20"/>
        </w:rPr>
        <w:t>.</w:t>
      </w:r>
    </w:p>
    <w:p>
      <w:pPr>
        <w:pStyle w:val="BodyText"/>
        <w:spacing w:line="276" w:lineRule="auto" w:before="233"/>
        <w:ind w:left="1100" w:right="1269" w:hanging="720"/>
        <w:jc w:val="both"/>
      </w:pPr>
      <w:r>
        <w:rPr>
          <w:color w:val="212121"/>
        </w:rPr>
        <w:t>Saadeh, H. A., Mosleh, I. M., Al-Bakri, A. G. and Mubarak, M. S. (2010). Synthesis and antimicrobial activity of new 1, 2, 4-triazole-3-thiol metronidazole derivatives. </w:t>
      </w:r>
      <w:r>
        <w:rPr>
          <w:i/>
          <w:color w:val="212121"/>
        </w:rPr>
        <w:t>Monatshefte für Chemie-Chemical Monthly</w:t>
      </w:r>
      <w:r>
        <w:rPr>
          <w:color w:val="212121"/>
        </w:rPr>
        <w:t>, </w:t>
      </w:r>
      <w:r>
        <w:rPr>
          <w:i/>
          <w:color w:val="212121"/>
        </w:rPr>
        <w:t>141</w:t>
      </w:r>
      <w:r>
        <w:rPr>
          <w:color w:val="212121"/>
        </w:rPr>
        <w:t>(4), 471-478.</w:t>
      </w:r>
    </w:p>
    <w:p>
      <w:pPr>
        <w:pStyle w:val="BodyText"/>
        <w:spacing w:before="85"/>
      </w:pPr>
    </w:p>
    <w:p>
      <w:pPr>
        <w:pStyle w:val="BodyText"/>
        <w:spacing w:line="276" w:lineRule="auto"/>
        <w:ind w:left="1100" w:right="1264" w:hanging="720"/>
        <w:jc w:val="both"/>
      </w:pPr>
      <w:r>
        <w:rPr>
          <w:color w:val="212121"/>
        </w:rPr>
        <w:t>Saadeh, H. A., Mosleh, I. M., and El-Abadelah, M. M. (2009). New synthesis and antiparasitic activity of model 5-aryl-1-methyl-4-nitroimidazoles; </w:t>
      </w:r>
      <w:r>
        <w:rPr>
          <w:i/>
          <w:color w:val="212121"/>
        </w:rPr>
        <w:t>Molecules</w:t>
      </w:r>
      <w:r>
        <w:rPr>
          <w:color w:val="212121"/>
        </w:rPr>
        <w:t>,</w:t>
      </w:r>
      <w:r>
        <w:rPr>
          <w:color w:val="212121"/>
          <w:spacing w:val="40"/>
        </w:rPr>
        <w:t> </w:t>
      </w:r>
      <w:r>
        <w:rPr>
          <w:i/>
          <w:color w:val="212121"/>
        </w:rPr>
        <w:t>14</w:t>
      </w:r>
      <w:r>
        <w:rPr>
          <w:color w:val="212121"/>
        </w:rPr>
        <w:t>(8), 2758-2767.</w:t>
      </w:r>
    </w:p>
    <w:p>
      <w:pPr>
        <w:spacing w:after="0" w:line="276" w:lineRule="auto"/>
        <w:jc w:val="both"/>
        <w:sectPr>
          <w:pgSz w:w="12240" w:h="15840"/>
          <w:pgMar w:header="0" w:footer="1068" w:top="1540" w:bottom="1260" w:left="1420" w:right="440"/>
        </w:sectPr>
      </w:pPr>
    </w:p>
    <w:p>
      <w:pPr>
        <w:pStyle w:val="BodyText"/>
        <w:spacing w:line="276" w:lineRule="auto" w:before="74"/>
        <w:ind w:left="1100" w:right="1263" w:hanging="720"/>
        <w:jc w:val="both"/>
      </w:pPr>
      <w:r>
        <w:rPr>
          <w:color w:val="212121"/>
        </w:rPr>
        <w:t>Schneider, H., Coetzee, D. J., Fehler, H. G., and Bellingan, A. (1998). Screening for sexually transmitted diseases in rural South African women; </w:t>
      </w:r>
      <w:r>
        <w:rPr>
          <w:i/>
          <w:color w:val="212121"/>
        </w:rPr>
        <w:t>Sexually Transmitted Infections</w:t>
      </w:r>
      <w:r>
        <w:rPr>
          <w:color w:val="212121"/>
        </w:rPr>
        <w:t>, </w:t>
      </w:r>
      <w:r>
        <w:rPr>
          <w:i/>
          <w:color w:val="212121"/>
        </w:rPr>
        <w:t>74</w:t>
      </w:r>
      <w:r>
        <w:rPr>
          <w:color w:val="212121"/>
        </w:rPr>
        <w:t>, S147.</w:t>
      </w:r>
    </w:p>
    <w:p>
      <w:pPr>
        <w:pStyle w:val="BodyText"/>
        <w:spacing w:before="85"/>
      </w:pPr>
    </w:p>
    <w:p>
      <w:pPr>
        <w:pStyle w:val="BodyText"/>
        <w:spacing w:line="276" w:lineRule="auto"/>
        <w:ind w:left="1100" w:right="1265" w:hanging="720"/>
        <w:jc w:val="both"/>
      </w:pPr>
      <w:r>
        <w:rPr/>
        <w:t>Šehić, S., Betz, G., Hadžidedić, Š., El-Arini, S. K., and Leuenberger, H. (2010). Investigation</w:t>
      </w:r>
      <w:r>
        <w:rPr>
          <w:spacing w:val="40"/>
        </w:rPr>
        <w:t> </w:t>
      </w:r>
      <w:r>
        <w:rPr/>
        <w:t>of</w:t>
      </w:r>
      <w:r>
        <w:rPr>
          <w:spacing w:val="40"/>
        </w:rPr>
        <w:t> </w:t>
      </w:r>
      <w:r>
        <w:rPr/>
        <w:t>intrinsic</w:t>
      </w:r>
      <w:r>
        <w:rPr>
          <w:spacing w:val="40"/>
        </w:rPr>
        <w:t> </w:t>
      </w:r>
      <w:r>
        <w:rPr/>
        <w:t>dissolution</w:t>
      </w:r>
      <w:r>
        <w:rPr>
          <w:spacing w:val="40"/>
        </w:rPr>
        <w:t> </w:t>
      </w:r>
      <w:r>
        <w:rPr/>
        <w:t>behavior</w:t>
      </w:r>
      <w:r>
        <w:rPr>
          <w:spacing w:val="40"/>
        </w:rPr>
        <w:t> </w:t>
      </w:r>
      <w:r>
        <w:rPr/>
        <w:t>of</w:t>
      </w:r>
      <w:r>
        <w:rPr>
          <w:spacing w:val="40"/>
        </w:rPr>
        <w:t> </w:t>
      </w:r>
      <w:r>
        <w:rPr/>
        <w:t>different</w:t>
      </w:r>
      <w:r>
        <w:rPr>
          <w:spacing w:val="40"/>
        </w:rPr>
        <w:t> </w:t>
      </w:r>
      <w:r>
        <w:rPr/>
        <w:t>carbamazepine samples; </w:t>
      </w:r>
      <w:r>
        <w:rPr>
          <w:i/>
        </w:rPr>
        <w:t>International Journal of Pharmaceutics</w:t>
      </w:r>
      <w:r>
        <w:rPr/>
        <w:t>, </w:t>
      </w:r>
      <w:r>
        <w:rPr>
          <w:i/>
        </w:rPr>
        <w:t>386</w:t>
      </w:r>
      <w:r>
        <w:rPr/>
        <w:t>(1), 77-90.</w:t>
      </w:r>
    </w:p>
    <w:p>
      <w:pPr>
        <w:pStyle w:val="BodyText"/>
        <w:spacing w:before="80"/>
      </w:pPr>
    </w:p>
    <w:p>
      <w:pPr>
        <w:spacing w:before="0"/>
        <w:ind w:left="1100" w:right="1175" w:hanging="720"/>
        <w:jc w:val="left"/>
        <w:rPr>
          <w:sz w:val="24"/>
        </w:rPr>
      </w:pPr>
      <w:r>
        <w:rPr>
          <w:color w:val="212121"/>
          <w:sz w:val="24"/>
        </w:rPr>
        <w:t>Shargel,</w:t>
      </w:r>
      <w:r>
        <w:rPr>
          <w:color w:val="212121"/>
          <w:spacing w:val="-2"/>
          <w:sz w:val="24"/>
        </w:rPr>
        <w:t> </w:t>
      </w:r>
      <w:r>
        <w:rPr>
          <w:color w:val="212121"/>
          <w:sz w:val="24"/>
        </w:rPr>
        <w:t>L.,</w:t>
      </w:r>
      <w:r>
        <w:rPr>
          <w:color w:val="212121"/>
          <w:spacing w:val="-4"/>
          <w:sz w:val="24"/>
        </w:rPr>
        <w:t> </w:t>
      </w:r>
      <w:r>
        <w:rPr>
          <w:color w:val="212121"/>
          <w:sz w:val="24"/>
        </w:rPr>
        <w:t>Wu-Pong,</w:t>
      </w:r>
      <w:r>
        <w:rPr>
          <w:color w:val="212121"/>
          <w:spacing w:val="-4"/>
          <w:sz w:val="24"/>
        </w:rPr>
        <w:t> </w:t>
      </w:r>
      <w:r>
        <w:rPr>
          <w:color w:val="212121"/>
          <w:sz w:val="24"/>
        </w:rPr>
        <w:t>S.,</w:t>
      </w:r>
      <w:r>
        <w:rPr>
          <w:color w:val="212121"/>
          <w:spacing w:val="-4"/>
          <w:sz w:val="24"/>
        </w:rPr>
        <w:t> </w:t>
      </w:r>
      <w:r>
        <w:rPr>
          <w:color w:val="212121"/>
          <w:sz w:val="24"/>
        </w:rPr>
        <w:t>and</w:t>
      </w:r>
      <w:r>
        <w:rPr>
          <w:color w:val="212121"/>
          <w:spacing w:val="-3"/>
          <w:sz w:val="24"/>
        </w:rPr>
        <w:t> </w:t>
      </w:r>
      <w:r>
        <w:rPr>
          <w:color w:val="212121"/>
          <w:sz w:val="24"/>
        </w:rPr>
        <w:t>Yu,</w:t>
      </w:r>
      <w:r>
        <w:rPr>
          <w:color w:val="212121"/>
          <w:spacing w:val="-4"/>
          <w:sz w:val="24"/>
        </w:rPr>
        <w:t> </w:t>
      </w:r>
      <w:r>
        <w:rPr>
          <w:color w:val="212121"/>
          <w:sz w:val="24"/>
        </w:rPr>
        <w:t>A.</w:t>
      </w:r>
      <w:r>
        <w:rPr>
          <w:color w:val="212121"/>
          <w:spacing w:val="-2"/>
          <w:sz w:val="24"/>
        </w:rPr>
        <w:t> </w:t>
      </w:r>
      <w:r>
        <w:rPr>
          <w:color w:val="212121"/>
          <w:sz w:val="24"/>
        </w:rPr>
        <w:t>B.</w:t>
      </w:r>
      <w:r>
        <w:rPr>
          <w:color w:val="212121"/>
          <w:spacing w:val="-4"/>
          <w:sz w:val="24"/>
        </w:rPr>
        <w:t> </w:t>
      </w:r>
      <w:r>
        <w:rPr>
          <w:color w:val="212121"/>
          <w:sz w:val="24"/>
        </w:rPr>
        <w:t>(2007).</w:t>
      </w:r>
      <w:r>
        <w:rPr>
          <w:color w:val="212121"/>
          <w:spacing w:val="40"/>
          <w:sz w:val="24"/>
        </w:rPr>
        <w:t> </w:t>
      </w:r>
      <w:r>
        <w:rPr>
          <w:i/>
          <w:color w:val="212121"/>
          <w:sz w:val="24"/>
        </w:rPr>
        <w:t>Applied</w:t>
      </w:r>
      <w:r>
        <w:rPr>
          <w:i/>
          <w:color w:val="212121"/>
          <w:spacing w:val="-4"/>
          <w:sz w:val="24"/>
        </w:rPr>
        <w:t> </w:t>
      </w:r>
      <w:r>
        <w:rPr>
          <w:i/>
          <w:color w:val="212121"/>
          <w:sz w:val="24"/>
        </w:rPr>
        <w:t>Biopharmaceutics</w:t>
      </w:r>
      <w:r>
        <w:rPr>
          <w:i/>
          <w:color w:val="212121"/>
          <w:spacing w:val="-4"/>
          <w:sz w:val="24"/>
        </w:rPr>
        <w:t> </w:t>
      </w:r>
      <w:r>
        <w:rPr>
          <w:i/>
          <w:color w:val="212121"/>
          <w:sz w:val="24"/>
        </w:rPr>
        <w:t>and Pharmacokinetics</w:t>
      </w:r>
      <w:r>
        <w:rPr>
          <w:color w:val="212121"/>
          <w:sz w:val="24"/>
        </w:rPr>
        <w:t>. McGraw-Hill.pp 12-9</w:t>
      </w:r>
    </w:p>
    <w:p>
      <w:pPr>
        <w:pStyle w:val="BodyText"/>
        <w:spacing w:before="1"/>
      </w:pPr>
    </w:p>
    <w:p>
      <w:pPr>
        <w:pStyle w:val="BodyText"/>
        <w:ind w:left="1100" w:right="1363" w:hanging="720"/>
      </w:pPr>
      <w:r>
        <w:rPr>
          <w:color w:val="212121"/>
        </w:rPr>
        <w:t>Siddartha, B., Babu, I. S., Parthiban, C., Prathyusha, V., Sowmya, B., and Madhavi, C. (2013). Method development and method validation for the estimation of Tinidazole</w:t>
      </w:r>
      <w:r>
        <w:rPr>
          <w:color w:val="212121"/>
          <w:spacing w:val="-4"/>
        </w:rPr>
        <w:t> </w:t>
      </w:r>
      <w:r>
        <w:rPr>
          <w:color w:val="212121"/>
        </w:rPr>
        <w:t>in</w:t>
      </w:r>
      <w:r>
        <w:rPr>
          <w:color w:val="212121"/>
          <w:spacing w:val="-4"/>
        </w:rPr>
        <w:t> </w:t>
      </w:r>
      <w:r>
        <w:rPr>
          <w:color w:val="212121"/>
        </w:rPr>
        <w:t>bulk</w:t>
      </w:r>
      <w:r>
        <w:rPr>
          <w:color w:val="212121"/>
          <w:spacing w:val="-4"/>
        </w:rPr>
        <w:t> </w:t>
      </w:r>
      <w:r>
        <w:rPr>
          <w:color w:val="212121"/>
        </w:rPr>
        <w:t>and</w:t>
      </w:r>
      <w:r>
        <w:rPr>
          <w:color w:val="212121"/>
          <w:spacing w:val="-4"/>
        </w:rPr>
        <w:t> </w:t>
      </w:r>
      <w:r>
        <w:rPr>
          <w:color w:val="212121"/>
        </w:rPr>
        <w:t>pharmaceutical</w:t>
      </w:r>
      <w:r>
        <w:rPr>
          <w:color w:val="212121"/>
          <w:spacing w:val="-4"/>
        </w:rPr>
        <w:t> </w:t>
      </w:r>
      <w:r>
        <w:rPr>
          <w:color w:val="212121"/>
        </w:rPr>
        <w:t>dosage</w:t>
      </w:r>
      <w:r>
        <w:rPr>
          <w:color w:val="212121"/>
          <w:spacing w:val="-3"/>
        </w:rPr>
        <w:t> </w:t>
      </w:r>
      <w:r>
        <w:rPr>
          <w:color w:val="212121"/>
        </w:rPr>
        <w:t>form</w:t>
      </w:r>
      <w:r>
        <w:rPr>
          <w:color w:val="212121"/>
          <w:spacing w:val="-4"/>
        </w:rPr>
        <w:t> </w:t>
      </w:r>
      <w:r>
        <w:rPr>
          <w:color w:val="212121"/>
        </w:rPr>
        <w:t>by</w:t>
      </w:r>
      <w:r>
        <w:rPr>
          <w:color w:val="212121"/>
          <w:spacing w:val="-9"/>
        </w:rPr>
        <w:t> </w:t>
      </w:r>
      <w:r>
        <w:rPr>
          <w:color w:val="212121"/>
        </w:rPr>
        <w:t>RP-HPLC.</w:t>
      </w:r>
      <w:r>
        <w:rPr>
          <w:color w:val="212121"/>
          <w:spacing w:val="-4"/>
        </w:rPr>
        <w:t> </w:t>
      </w:r>
      <w:r>
        <w:rPr>
          <w:i/>
          <w:color w:val="212121"/>
        </w:rPr>
        <w:t>Indo</w:t>
      </w:r>
      <w:r>
        <w:rPr>
          <w:i/>
          <w:color w:val="212121"/>
          <w:spacing w:val="-5"/>
        </w:rPr>
        <w:t> </w:t>
      </w:r>
      <w:r>
        <w:rPr>
          <w:i/>
          <w:color w:val="212121"/>
        </w:rPr>
        <w:t>American Journal of Pharmaceutical Research</w:t>
      </w:r>
      <w:r>
        <w:rPr>
          <w:color w:val="212121"/>
        </w:rPr>
        <w:t>, </w:t>
      </w:r>
      <w:r>
        <w:rPr>
          <w:i/>
          <w:color w:val="212121"/>
        </w:rPr>
        <w:t>3</w:t>
      </w:r>
      <w:r>
        <w:rPr>
          <w:color w:val="212121"/>
        </w:rPr>
        <w:t>(9), 7455-7461.</w:t>
      </w:r>
    </w:p>
    <w:p>
      <w:pPr>
        <w:pStyle w:val="BodyText"/>
        <w:spacing w:before="2"/>
      </w:pPr>
    </w:p>
    <w:p>
      <w:pPr>
        <w:pStyle w:val="BodyText"/>
        <w:spacing w:line="276" w:lineRule="auto"/>
        <w:ind w:left="1100" w:right="1268" w:hanging="720"/>
        <w:jc w:val="both"/>
      </w:pPr>
      <w:r>
        <w:rPr>
          <w:color w:val="212121"/>
        </w:rPr>
        <w:t>Singh, R., Maithani, M., Saraf, S. K., Saraf, S., and Gupta, R. C. (2011). Simultaneous estimation of ciprofloxacin hydrochloride, ofloxacin, tinidazole and ornidazole by reverse phase–high performance liquid chromatography; </w:t>
      </w:r>
      <w:r>
        <w:rPr>
          <w:i/>
          <w:color w:val="212121"/>
        </w:rPr>
        <w:t>Eurasian Journal of Analytical Chemistry</w:t>
      </w:r>
      <w:r>
        <w:rPr>
          <w:color w:val="212121"/>
        </w:rPr>
        <w:t>, </w:t>
      </w:r>
      <w:r>
        <w:rPr>
          <w:i/>
          <w:color w:val="212121"/>
        </w:rPr>
        <w:t>4</w:t>
      </w:r>
      <w:r>
        <w:rPr>
          <w:color w:val="212121"/>
        </w:rPr>
        <w:t>(2), 161-167.</w:t>
      </w:r>
    </w:p>
    <w:p>
      <w:pPr>
        <w:pStyle w:val="BodyText"/>
        <w:spacing w:before="84"/>
      </w:pPr>
    </w:p>
    <w:p>
      <w:pPr>
        <w:spacing w:line="276" w:lineRule="auto" w:before="0"/>
        <w:ind w:left="1100" w:right="1267" w:hanging="720"/>
        <w:jc w:val="both"/>
        <w:rPr>
          <w:sz w:val="24"/>
        </w:rPr>
      </w:pPr>
      <w:r>
        <w:rPr>
          <w:color w:val="212121"/>
          <w:sz w:val="24"/>
        </w:rPr>
        <w:t>Skinner, M., and Kanfer, I. (1992). Intrinsic dissolution rate and solubility studies on josamycin, a macrolide antibiotic; </w:t>
      </w:r>
      <w:r>
        <w:rPr>
          <w:i/>
          <w:color w:val="212121"/>
          <w:sz w:val="24"/>
        </w:rPr>
        <w:t>International Journal of Pharmaceutics</w:t>
      </w:r>
      <w:r>
        <w:rPr>
          <w:color w:val="212121"/>
          <w:sz w:val="24"/>
        </w:rPr>
        <w:t>, </w:t>
      </w:r>
      <w:r>
        <w:rPr>
          <w:i/>
          <w:color w:val="212121"/>
          <w:sz w:val="24"/>
        </w:rPr>
        <w:t>88</w:t>
      </w:r>
      <w:r>
        <w:rPr>
          <w:color w:val="212121"/>
          <w:sz w:val="24"/>
        </w:rPr>
        <w:t>(1), </w:t>
      </w:r>
      <w:r>
        <w:rPr>
          <w:color w:val="212121"/>
          <w:spacing w:val="-2"/>
          <w:sz w:val="24"/>
        </w:rPr>
        <w:t>151-158.</w:t>
      </w:r>
    </w:p>
    <w:p>
      <w:pPr>
        <w:pStyle w:val="BodyText"/>
        <w:spacing w:before="85"/>
      </w:pPr>
    </w:p>
    <w:p>
      <w:pPr>
        <w:pStyle w:val="BodyText"/>
        <w:spacing w:line="276" w:lineRule="auto"/>
        <w:ind w:left="1100" w:right="1268" w:hanging="720"/>
        <w:jc w:val="both"/>
      </w:pPr>
      <w:r>
        <w:rPr>
          <w:color w:val="212121"/>
        </w:rPr>
        <w:t>Smith, R. V. (1981). JT Stewart Textbook of Biopharmaceutic Analysis—A Description</w:t>
      </w:r>
      <w:r>
        <w:rPr>
          <w:color w:val="212121"/>
          <w:spacing w:val="40"/>
        </w:rPr>
        <w:t> </w:t>
      </w:r>
      <w:r>
        <w:rPr>
          <w:color w:val="212121"/>
        </w:rPr>
        <w:t>of Methods for the Determination of Drugs in Biologic Fluids; </w:t>
      </w:r>
      <w:r>
        <w:rPr>
          <w:i/>
          <w:color w:val="212121"/>
        </w:rPr>
        <w:t>Lea and Febiger, Philadelphia</w:t>
      </w:r>
      <w:r>
        <w:rPr>
          <w:color w:val="212121"/>
        </w:rPr>
        <w:t>, 140.</w:t>
      </w:r>
    </w:p>
    <w:p>
      <w:pPr>
        <w:pStyle w:val="BodyText"/>
        <w:spacing w:before="85"/>
      </w:pPr>
    </w:p>
    <w:p>
      <w:pPr>
        <w:spacing w:line="276" w:lineRule="auto" w:before="0"/>
        <w:ind w:left="1100" w:right="1266" w:hanging="720"/>
        <w:jc w:val="both"/>
        <w:rPr>
          <w:sz w:val="24"/>
        </w:rPr>
      </w:pPr>
      <w:r>
        <w:rPr>
          <w:color w:val="212121"/>
          <w:sz w:val="24"/>
        </w:rPr>
        <w:t>Smolen, V. F., and Erb, R. J. (1977). Predictive conversion of </w:t>
      </w:r>
      <w:r>
        <w:rPr>
          <w:i/>
          <w:color w:val="212121"/>
          <w:sz w:val="24"/>
        </w:rPr>
        <w:t>in vitro </w:t>
      </w:r>
      <w:r>
        <w:rPr>
          <w:color w:val="212121"/>
          <w:sz w:val="24"/>
        </w:rPr>
        <w:t>drug dissolution</w:t>
      </w:r>
      <w:r>
        <w:rPr>
          <w:color w:val="212121"/>
          <w:spacing w:val="40"/>
          <w:sz w:val="24"/>
        </w:rPr>
        <w:t> </w:t>
      </w:r>
      <w:r>
        <w:rPr>
          <w:color w:val="212121"/>
          <w:sz w:val="24"/>
        </w:rPr>
        <w:t>data into </w:t>
      </w:r>
      <w:r>
        <w:rPr>
          <w:i/>
          <w:color w:val="212121"/>
          <w:sz w:val="24"/>
        </w:rPr>
        <w:t>in vivo </w:t>
      </w:r>
      <w:r>
        <w:rPr>
          <w:color w:val="212121"/>
          <w:sz w:val="24"/>
        </w:rPr>
        <w:t>drug response versus time profiles exemplified for plasma levels of warfarin. </w:t>
      </w:r>
      <w:r>
        <w:rPr>
          <w:i/>
          <w:color w:val="212121"/>
          <w:sz w:val="24"/>
        </w:rPr>
        <w:t>Journal of Pharmaceutical Sciences</w:t>
      </w:r>
      <w:r>
        <w:rPr>
          <w:color w:val="212121"/>
          <w:sz w:val="24"/>
        </w:rPr>
        <w:t>, </w:t>
      </w:r>
      <w:r>
        <w:rPr>
          <w:i/>
          <w:color w:val="212121"/>
          <w:sz w:val="24"/>
        </w:rPr>
        <w:t>66</w:t>
      </w:r>
      <w:r>
        <w:rPr>
          <w:color w:val="212121"/>
          <w:sz w:val="24"/>
        </w:rPr>
        <w:t>(3), 297-304.</w:t>
      </w:r>
    </w:p>
    <w:p>
      <w:pPr>
        <w:pStyle w:val="BodyText"/>
        <w:spacing w:before="83"/>
      </w:pPr>
    </w:p>
    <w:p>
      <w:pPr>
        <w:spacing w:line="276" w:lineRule="auto" w:before="0"/>
        <w:ind w:left="1100" w:right="1266" w:hanging="720"/>
        <w:jc w:val="both"/>
        <w:rPr>
          <w:sz w:val="24"/>
        </w:rPr>
      </w:pPr>
      <w:r>
        <w:rPr>
          <w:sz w:val="24"/>
        </w:rPr>
        <w:t>Soovalli, L., Room, E.I., and Leito, I (2006). Uncertainty sources in UV-Visible Spectrophometric measurement.</w:t>
      </w:r>
      <w:r>
        <w:rPr>
          <w:spacing w:val="40"/>
          <w:sz w:val="24"/>
        </w:rPr>
        <w:t> </w:t>
      </w:r>
      <w:r>
        <w:rPr>
          <w:i/>
          <w:sz w:val="24"/>
        </w:rPr>
        <w:t>Accreditation and quality assurance</w:t>
      </w:r>
      <w:r>
        <w:rPr>
          <w:sz w:val="24"/>
        </w:rPr>
        <w:t>, 11(5) 246- </w:t>
      </w:r>
      <w:r>
        <w:rPr>
          <w:spacing w:val="-4"/>
          <w:sz w:val="24"/>
        </w:rPr>
        <w:t>255</w:t>
      </w:r>
    </w:p>
    <w:p>
      <w:pPr>
        <w:pStyle w:val="BodyText"/>
        <w:spacing w:before="85"/>
      </w:pPr>
    </w:p>
    <w:p>
      <w:pPr>
        <w:pStyle w:val="BodyText"/>
        <w:spacing w:line="276" w:lineRule="auto"/>
        <w:ind w:left="1100" w:right="1275" w:hanging="720"/>
        <w:jc w:val="both"/>
      </w:pPr>
      <w:r>
        <w:rPr/>
        <w:t>Sweetman SC (Ed), (2005); Martindale: The Complete Drug Reference. London: Pharmaceutical Press. Electronic version</w:t>
      </w:r>
    </w:p>
    <w:p>
      <w:pPr>
        <w:spacing w:after="0" w:line="276" w:lineRule="auto"/>
        <w:jc w:val="both"/>
        <w:sectPr>
          <w:pgSz w:w="12240" w:h="15840"/>
          <w:pgMar w:header="0" w:footer="1068" w:top="1540" w:bottom="1260" w:left="1420" w:right="440"/>
        </w:sectPr>
      </w:pPr>
    </w:p>
    <w:p>
      <w:pPr>
        <w:spacing w:before="74"/>
        <w:ind w:left="380" w:right="0" w:firstLine="0"/>
        <w:jc w:val="left"/>
        <w:rPr>
          <w:sz w:val="24"/>
        </w:rPr>
      </w:pPr>
      <w:r>
        <w:rPr>
          <w:i/>
          <w:sz w:val="24"/>
        </w:rPr>
        <w:t>The</w:t>
      </w:r>
      <w:r>
        <w:rPr>
          <w:i/>
          <w:spacing w:val="-5"/>
          <w:sz w:val="24"/>
        </w:rPr>
        <w:t> </w:t>
      </w:r>
      <w:r>
        <w:rPr>
          <w:i/>
          <w:sz w:val="24"/>
        </w:rPr>
        <w:t>British</w:t>
      </w:r>
      <w:r>
        <w:rPr>
          <w:i/>
          <w:spacing w:val="-1"/>
          <w:sz w:val="24"/>
        </w:rPr>
        <w:t> </w:t>
      </w:r>
      <w:r>
        <w:rPr>
          <w:i/>
          <w:sz w:val="24"/>
        </w:rPr>
        <w:t>Pharmacopoeia</w:t>
      </w:r>
      <w:r>
        <w:rPr>
          <w:sz w:val="24"/>
        </w:rPr>
        <w:t>,</w:t>
      </w:r>
      <w:r>
        <w:rPr>
          <w:spacing w:val="-1"/>
          <w:sz w:val="24"/>
        </w:rPr>
        <w:t> </w:t>
      </w:r>
      <w:r>
        <w:rPr>
          <w:sz w:val="24"/>
        </w:rPr>
        <w:t>the</w:t>
      </w:r>
      <w:r>
        <w:rPr>
          <w:spacing w:val="-1"/>
          <w:sz w:val="24"/>
        </w:rPr>
        <w:t> </w:t>
      </w:r>
      <w:r>
        <w:rPr>
          <w:sz w:val="24"/>
        </w:rPr>
        <w:t>Stationary</w:t>
      </w:r>
      <w:r>
        <w:rPr>
          <w:spacing w:val="-4"/>
          <w:sz w:val="24"/>
        </w:rPr>
        <w:t> </w:t>
      </w:r>
      <w:r>
        <w:rPr>
          <w:sz w:val="24"/>
        </w:rPr>
        <w:t>Office:</w:t>
      </w:r>
      <w:r>
        <w:rPr>
          <w:spacing w:val="1"/>
          <w:sz w:val="24"/>
        </w:rPr>
        <w:t> </w:t>
      </w:r>
      <w:r>
        <w:rPr>
          <w:sz w:val="24"/>
        </w:rPr>
        <w:t>London,</w:t>
      </w:r>
      <w:r>
        <w:rPr>
          <w:spacing w:val="-1"/>
          <w:sz w:val="24"/>
        </w:rPr>
        <w:t> </w:t>
      </w:r>
      <w:r>
        <w:rPr>
          <w:sz w:val="24"/>
        </w:rPr>
        <w:t>2009;</w:t>
      </w:r>
      <w:r>
        <w:rPr>
          <w:spacing w:val="-1"/>
          <w:sz w:val="24"/>
        </w:rPr>
        <w:t> </w:t>
      </w:r>
      <w:r>
        <w:rPr>
          <w:sz w:val="24"/>
        </w:rPr>
        <w:t>pp</w:t>
      </w:r>
      <w:r>
        <w:rPr>
          <w:spacing w:val="-1"/>
          <w:sz w:val="24"/>
        </w:rPr>
        <w:t> </w:t>
      </w:r>
      <w:r>
        <w:rPr>
          <w:spacing w:val="-2"/>
          <w:sz w:val="24"/>
        </w:rPr>
        <w:t>A310–A311.</w:t>
      </w:r>
    </w:p>
    <w:p>
      <w:pPr>
        <w:pStyle w:val="BodyText"/>
        <w:spacing w:before="123"/>
      </w:pPr>
    </w:p>
    <w:p>
      <w:pPr>
        <w:spacing w:before="0"/>
        <w:ind w:left="1100" w:right="1265" w:hanging="720"/>
        <w:jc w:val="both"/>
        <w:rPr>
          <w:sz w:val="24"/>
        </w:rPr>
      </w:pPr>
      <w:r>
        <w:rPr>
          <w:sz w:val="24"/>
        </w:rPr>
        <w:t>Timothy, T. S. (2006). Pharmacokinetics. In: Charles, R. C. and Robert, E. S.</w:t>
      </w:r>
      <w:r>
        <w:rPr>
          <w:spacing w:val="40"/>
          <w:sz w:val="24"/>
        </w:rPr>
        <w:t> </w:t>
      </w:r>
      <w:r>
        <w:rPr>
          <w:i/>
          <w:sz w:val="24"/>
        </w:rPr>
        <w:t>Modern pharmacology with clinical applications. </w:t>
      </w:r>
      <w:r>
        <w:rPr>
          <w:sz w:val="24"/>
        </w:rPr>
        <w:t>A soft copy. PP. 48-55.</w:t>
      </w:r>
    </w:p>
    <w:p>
      <w:pPr>
        <w:pStyle w:val="BodyText"/>
        <w:spacing w:before="2"/>
      </w:pPr>
    </w:p>
    <w:p>
      <w:pPr>
        <w:spacing w:line="276" w:lineRule="auto" w:before="0"/>
        <w:ind w:left="1100" w:right="1270" w:hanging="720"/>
        <w:jc w:val="both"/>
        <w:rPr>
          <w:sz w:val="24"/>
        </w:rPr>
      </w:pPr>
      <w:r>
        <w:rPr>
          <w:color w:val="212121"/>
          <w:sz w:val="24"/>
        </w:rPr>
        <w:t>Tocher, J. H. and Edwards, D. I. (1992). The interaction of reduced metronidazole with DNA bases and nucleosides. </w:t>
      </w:r>
      <w:r>
        <w:rPr>
          <w:i/>
          <w:color w:val="212121"/>
          <w:sz w:val="24"/>
        </w:rPr>
        <w:t>International Journal of Radiation, </w:t>
      </w:r>
      <w:r>
        <w:rPr>
          <w:i/>
          <w:color w:val="212121"/>
          <w:sz w:val="24"/>
        </w:rPr>
        <w:t>Oncology, Biology and Physics</w:t>
      </w:r>
      <w:r>
        <w:rPr>
          <w:color w:val="212121"/>
          <w:sz w:val="24"/>
        </w:rPr>
        <w:t>, </w:t>
      </w:r>
      <w:r>
        <w:rPr>
          <w:i/>
          <w:color w:val="212121"/>
          <w:sz w:val="24"/>
        </w:rPr>
        <w:t>22</w:t>
      </w:r>
      <w:r>
        <w:rPr>
          <w:color w:val="212121"/>
          <w:sz w:val="24"/>
        </w:rPr>
        <w:t>(4), 661-663.</w:t>
      </w:r>
    </w:p>
    <w:p>
      <w:pPr>
        <w:pStyle w:val="BodyText"/>
        <w:spacing w:before="85"/>
      </w:pPr>
    </w:p>
    <w:p>
      <w:pPr>
        <w:pStyle w:val="BodyText"/>
        <w:spacing w:line="276" w:lineRule="auto"/>
        <w:ind w:left="1100" w:right="1267" w:hanging="720"/>
        <w:jc w:val="both"/>
      </w:pPr>
      <w:r>
        <w:rPr>
          <w:color w:val="212121"/>
        </w:rPr>
        <w:t>Tocher, J. H. and Edwards, D. I. (1994). Evidence for the direct interaction of reduced metronidazole derivatives with DNA bases. </w:t>
      </w:r>
      <w:r>
        <w:rPr>
          <w:i/>
          <w:color w:val="212121"/>
        </w:rPr>
        <w:t>Biochemical pharmacology</w:t>
      </w:r>
      <w:r>
        <w:rPr>
          <w:color w:val="212121"/>
        </w:rPr>
        <w:t>, </w:t>
      </w:r>
      <w:r>
        <w:rPr>
          <w:i/>
          <w:color w:val="212121"/>
        </w:rPr>
        <w:t>48</w:t>
      </w:r>
      <w:r>
        <w:rPr>
          <w:color w:val="212121"/>
        </w:rPr>
        <w:t>(6), </w:t>
      </w:r>
      <w:r>
        <w:rPr>
          <w:color w:val="212121"/>
          <w:spacing w:val="-2"/>
        </w:rPr>
        <w:t>1089-1094.</w:t>
      </w:r>
    </w:p>
    <w:p>
      <w:pPr>
        <w:pStyle w:val="BodyText"/>
        <w:spacing w:before="85"/>
      </w:pPr>
    </w:p>
    <w:p>
      <w:pPr>
        <w:pStyle w:val="BodyText"/>
        <w:spacing w:line="276" w:lineRule="auto"/>
        <w:ind w:left="1100" w:right="1266" w:hanging="720"/>
        <w:jc w:val="both"/>
      </w:pPr>
      <w:r>
        <w:rPr>
          <w:color w:val="212121"/>
        </w:rPr>
        <w:t>Tsinman, K., Avdeef, A., Tsinman, O. and Voloboy, D. (2009). Powder dissolution method for estimating rotating disk intrinsic dissolution rates of low solubility drugs. </w:t>
      </w:r>
      <w:r>
        <w:rPr>
          <w:i/>
          <w:color w:val="212121"/>
        </w:rPr>
        <w:t>Pharmaceutical research</w:t>
      </w:r>
      <w:r>
        <w:rPr>
          <w:color w:val="212121"/>
        </w:rPr>
        <w:t>, </w:t>
      </w:r>
      <w:r>
        <w:rPr>
          <w:i/>
          <w:color w:val="212121"/>
        </w:rPr>
        <w:t>26</w:t>
      </w:r>
      <w:r>
        <w:rPr>
          <w:color w:val="212121"/>
        </w:rPr>
        <w:t>(9), 2093-2100.</w:t>
      </w:r>
    </w:p>
    <w:p>
      <w:pPr>
        <w:pStyle w:val="BodyText"/>
        <w:spacing w:before="82"/>
      </w:pPr>
    </w:p>
    <w:p>
      <w:pPr>
        <w:pStyle w:val="BodyText"/>
        <w:spacing w:line="276" w:lineRule="auto" w:before="1"/>
        <w:ind w:left="1100" w:right="1267" w:hanging="720"/>
        <w:jc w:val="both"/>
      </w:pPr>
      <w:r>
        <w:rPr>
          <w:color w:val="212121"/>
        </w:rPr>
        <w:t>Varma, M. V., Khandavilli, S., Ashokraj, Y., Jain, A., Dhanikula, A., Sood, A., and Agrawal, S. (2004). Biopharmaceutic classification system: a scientific framework for</w:t>
      </w:r>
      <w:r>
        <w:rPr>
          <w:color w:val="212121"/>
          <w:spacing w:val="-1"/>
        </w:rPr>
        <w:t> </w:t>
      </w:r>
      <w:r>
        <w:rPr>
          <w:color w:val="212121"/>
        </w:rPr>
        <w:t>pharmacokinetic optimization in drug</w:t>
      </w:r>
      <w:r>
        <w:rPr>
          <w:color w:val="212121"/>
          <w:spacing w:val="-2"/>
        </w:rPr>
        <w:t> </w:t>
      </w:r>
      <w:r>
        <w:rPr>
          <w:color w:val="212121"/>
        </w:rPr>
        <w:t>research; </w:t>
      </w:r>
      <w:r>
        <w:rPr>
          <w:i/>
          <w:color w:val="212121"/>
        </w:rPr>
        <w:t>Current drug metabolism</w:t>
      </w:r>
      <w:r>
        <w:rPr>
          <w:color w:val="212121"/>
        </w:rPr>
        <w:t>, </w:t>
      </w:r>
      <w:r>
        <w:rPr>
          <w:i/>
          <w:color w:val="212121"/>
        </w:rPr>
        <w:t>5</w:t>
      </w:r>
      <w:r>
        <w:rPr>
          <w:color w:val="212121"/>
        </w:rPr>
        <w:t>(5), </w:t>
      </w:r>
      <w:r>
        <w:rPr>
          <w:color w:val="212121"/>
          <w:spacing w:val="-2"/>
        </w:rPr>
        <w:t>375-388.</w:t>
      </w:r>
    </w:p>
    <w:p>
      <w:pPr>
        <w:pStyle w:val="BodyText"/>
        <w:spacing w:before="84"/>
      </w:pPr>
    </w:p>
    <w:p>
      <w:pPr>
        <w:pStyle w:val="BodyText"/>
        <w:spacing w:line="276" w:lineRule="auto"/>
        <w:ind w:left="1100" w:right="1268" w:hanging="720"/>
        <w:jc w:val="both"/>
      </w:pPr>
      <w:r>
        <w:rPr>
          <w:color w:val="212121"/>
        </w:rPr>
        <w:t>Viegas, T. X., Curatella, R. U., Van Winkle, L. L., and Brinker, G. (2001). Measurement of intrinsic drug dissolution rates using two types of apparatus; </w:t>
      </w:r>
      <w:r>
        <w:rPr>
          <w:i/>
          <w:color w:val="212121"/>
        </w:rPr>
        <w:t>Pharmaceutical Technology Journal</w:t>
      </w:r>
      <w:r>
        <w:rPr>
          <w:color w:val="212121"/>
        </w:rPr>
        <w:t>, </w:t>
      </w:r>
      <w:r>
        <w:rPr>
          <w:i/>
          <w:color w:val="212121"/>
        </w:rPr>
        <w:t>25</w:t>
      </w:r>
      <w:r>
        <w:rPr>
          <w:color w:val="212121"/>
        </w:rPr>
        <w:t>(6), 44-53.</w:t>
      </w:r>
    </w:p>
    <w:p>
      <w:pPr>
        <w:pStyle w:val="BodyText"/>
        <w:spacing w:before="85"/>
      </w:pPr>
    </w:p>
    <w:p>
      <w:pPr>
        <w:pStyle w:val="BodyText"/>
        <w:spacing w:line="276" w:lineRule="auto"/>
        <w:ind w:left="1100" w:right="1267" w:hanging="720"/>
        <w:jc w:val="both"/>
      </w:pPr>
      <w:r>
        <w:rPr>
          <w:color w:val="212121"/>
        </w:rPr>
        <w:t>Vogelpoel, H., Welink, J., Amidon, G. L., Junginger, H. E., Midha, K. K., Möller, H., and Barends, D. M. (2004). Biowaiver monographs for immediate release solid oral dosage forms based on biopharmaceutics classification system (BCS) literature data: Verapamil hydrochloride, propranolol hydrochloride, and atenolol; </w:t>
      </w:r>
      <w:r>
        <w:rPr>
          <w:i/>
          <w:color w:val="212121"/>
        </w:rPr>
        <w:t>Journal</w:t>
      </w:r>
      <w:r>
        <w:rPr>
          <w:i/>
          <w:color w:val="212121"/>
          <w:spacing w:val="80"/>
        </w:rPr>
        <w:t> </w:t>
      </w:r>
      <w:r>
        <w:rPr>
          <w:i/>
          <w:color w:val="212121"/>
        </w:rPr>
        <w:t>of Pharmaceutical Sciences</w:t>
      </w:r>
      <w:r>
        <w:rPr>
          <w:color w:val="212121"/>
        </w:rPr>
        <w:t>, </w:t>
      </w:r>
      <w:r>
        <w:rPr>
          <w:i/>
          <w:color w:val="212121"/>
        </w:rPr>
        <w:t>93</w:t>
      </w:r>
      <w:r>
        <w:rPr>
          <w:color w:val="212121"/>
        </w:rPr>
        <w:t>(8), 1945-1956.</w:t>
      </w:r>
    </w:p>
    <w:p>
      <w:pPr>
        <w:pStyle w:val="BodyText"/>
        <w:spacing w:before="84"/>
      </w:pPr>
    </w:p>
    <w:p>
      <w:pPr>
        <w:spacing w:line="276" w:lineRule="auto" w:before="0"/>
        <w:ind w:left="1100" w:right="1266" w:hanging="720"/>
        <w:jc w:val="both"/>
        <w:rPr>
          <w:sz w:val="24"/>
        </w:rPr>
      </w:pPr>
      <w:r>
        <w:rPr>
          <w:color w:val="212121"/>
          <w:sz w:val="24"/>
        </w:rPr>
        <w:t>Wang,</w:t>
      </w:r>
      <w:r>
        <w:rPr>
          <w:color w:val="212121"/>
          <w:spacing w:val="-4"/>
          <w:sz w:val="24"/>
        </w:rPr>
        <w:t> </w:t>
      </w:r>
      <w:r>
        <w:rPr>
          <w:color w:val="212121"/>
          <w:sz w:val="24"/>
        </w:rPr>
        <w:t>J.,</w:t>
      </w:r>
      <w:r>
        <w:rPr>
          <w:color w:val="212121"/>
          <w:spacing w:val="-4"/>
          <w:sz w:val="24"/>
        </w:rPr>
        <w:t> </w:t>
      </w:r>
      <w:r>
        <w:rPr>
          <w:color w:val="212121"/>
          <w:sz w:val="24"/>
        </w:rPr>
        <w:t>and</w:t>
      </w:r>
      <w:r>
        <w:rPr>
          <w:color w:val="212121"/>
          <w:spacing w:val="-4"/>
          <w:sz w:val="24"/>
        </w:rPr>
        <w:t> </w:t>
      </w:r>
      <w:r>
        <w:rPr>
          <w:color w:val="212121"/>
          <w:sz w:val="24"/>
        </w:rPr>
        <w:t>Flanagan,</w:t>
      </w:r>
      <w:r>
        <w:rPr>
          <w:color w:val="212121"/>
          <w:spacing w:val="-2"/>
          <w:sz w:val="24"/>
        </w:rPr>
        <w:t> </w:t>
      </w:r>
      <w:r>
        <w:rPr>
          <w:color w:val="212121"/>
          <w:sz w:val="24"/>
        </w:rPr>
        <w:t>D.</w:t>
      </w:r>
      <w:r>
        <w:rPr>
          <w:color w:val="212121"/>
          <w:spacing w:val="-4"/>
          <w:sz w:val="24"/>
        </w:rPr>
        <w:t> </w:t>
      </w:r>
      <w:r>
        <w:rPr>
          <w:color w:val="212121"/>
          <w:sz w:val="24"/>
        </w:rPr>
        <w:t>R.</w:t>
      </w:r>
      <w:r>
        <w:rPr>
          <w:color w:val="212121"/>
          <w:spacing w:val="-4"/>
          <w:sz w:val="24"/>
        </w:rPr>
        <w:t> </w:t>
      </w:r>
      <w:r>
        <w:rPr>
          <w:color w:val="212121"/>
          <w:sz w:val="24"/>
        </w:rPr>
        <w:t>(2009). Fundamentals</w:t>
      </w:r>
      <w:r>
        <w:rPr>
          <w:color w:val="212121"/>
          <w:spacing w:val="-4"/>
          <w:sz w:val="24"/>
        </w:rPr>
        <w:t> </w:t>
      </w:r>
      <w:r>
        <w:rPr>
          <w:color w:val="212121"/>
          <w:sz w:val="24"/>
        </w:rPr>
        <w:t>of</w:t>
      </w:r>
      <w:r>
        <w:rPr>
          <w:color w:val="212121"/>
          <w:spacing w:val="-4"/>
          <w:sz w:val="24"/>
        </w:rPr>
        <w:t> </w:t>
      </w:r>
      <w:r>
        <w:rPr>
          <w:color w:val="212121"/>
          <w:sz w:val="24"/>
        </w:rPr>
        <w:t>dissolution;</w:t>
      </w:r>
      <w:r>
        <w:rPr>
          <w:color w:val="212121"/>
          <w:spacing w:val="-2"/>
          <w:sz w:val="24"/>
        </w:rPr>
        <w:t> </w:t>
      </w:r>
      <w:r>
        <w:rPr>
          <w:i/>
          <w:color w:val="212121"/>
          <w:sz w:val="24"/>
        </w:rPr>
        <w:t>Developing</w:t>
      </w:r>
      <w:r>
        <w:rPr>
          <w:i/>
          <w:color w:val="212121"/>
          <w:spacing w:val="-4"/>
          <w:sz w:val="24"/>
        </w:rPr>
        <w:t> </w:t>
      </w:r>
      <w:r>
        <w:rPr>
          <w:i/>
          <w:color w:val="212121"/>
          <w:sz w:val="24"/>
        </w:rPr>
        <w:t>Solid</w:t>
      </w:r>
      <w:r>
        <w:rPr>
          <w:i/>
          <w:color w:val="212121"/>
          <w:spacing w:val="-4"/>
          <w:sz w:val="24"/>
        </w:rPr>
        <w:t> </w:t>
      </w:r>
      <w:r>
        <w:rPr>
          <w:i/>
          <w:color w:val="212121"/>
          <w:sz w:val="24"/>
        </w:rPr>
        <w:t>Oral Dosage Forms Pharmaceutical Theory and Practice</w:t>
      </w:r>
      <w:r>
        <w:rPr>
          <w:color w:val="212121"/>
          <w:sz w:val="24"/>
        </w:rPr>
        <w:t>, </w:t>
      </w:r>
      <w:r>
        <w:rPr>
          <w:i/>
          <w:color w:val="212121"/>
          <w:sz w:val="24"/>
        </w:rPr>
        <w:t>1</w:t>
      </w:r>
      <w:r>
        <w:rPr>
          <w:color w:val="212121"/>
          <w:sz w:val="24"/>
        </w:rPr>
        <w:t>.</w:t>
      </w:r>
    </w:p>
    <w:p>
      <w:pPr>
        <w:pStyle w:val="BodyText"/>
        <w:spacing w:before="85"/>
      </w:pPr>
    </w:p>
    <w:p>
      <w:pPr>
        <w:pStyle w:val="BodyText"/>
        <w:spacing w:line="276" w:lineRule="auto"/>
        <w:ind w:left="1100" w:right="1273" w:hanging="720"/>
        <w:jc w:val="both"/>
      </w:pPr>
      <w:r>
        <w:rPr/>
        <w:t>WHO (1993). How to investigate Drug Use in Health Facilities. Selected Drug Use Indicators. World Health Organisation, Department of Essential Drug and Medicine Policy: </w:t>
      </w:r>
      <w:r>
        <w:rPr>
          <w:i/>
        </w:rPr>
        <w:t>Geneva</w:t>
      </w:r>
      <w:r>
        <w:rPr/>
        <w:t>, 10.</w:t>
      </w:r>
    </w:p>
    <w:p>
      <w:pPr>
        <w:spacing w:after="0" w:line="276" w:lineRule="auto"/>
        <w:jc w:val="both"/>
        <w:sectPr>
          <w:pgSz w:w="12240" w:h="15840"/>
          <w:pgMar w:header="0" w:footer="1068" w:top="1540" w:bottom="1260" w:left="1420" w:right="440"/>
        </w:sectPr>
      </w:pPr>
    </w:p>
    <w:p>
      <w:pPr>
        <w:spacing w:before="72"/>
        <w:ind w:left="1100" w:right="1363" w:hanging="720"/>
        <w:jc w:val="left"/>
        <w:rPr>
          <w:sz w:val="24"/>
        </w:rPr>
      </w:pPr>
      <w:r>
        <w:rPr>
          <w:color w:val="212121"/>
          <w:sz w:val="24"/>
        </w:rPr>
        <w:t>Winter,</w:t>
      </w:r>
      <w:r>
        <w:rPr>
          <w:color w:val="212121"/>
          <w:spacing w:val="-5"/>
          <w:sz w:val="24"/>
        </w:rPr>
        <w:t> </w:t>
      </w:r>
      <w:r>
        <w:rPr>
          <w:color w:val="212121"/>
          <w:sz w:val="24"/>
        </w:rPr>
        <w:t>M.</w:t>
      </w:r>
      <w:r>
        <w:rPr>
          <w:color w:val="212121"/>
          <w:spacing w:val="-5"/>
          <w:sz w:val="24"/>
        </w:rPr>
        <w:t> </w:t>
      </w:r>
      <w:r>
        <w:rPr>
          <w:color w:val="212121"/>
          <w:sz w:val="24"/>
        </w:rPr>
        <w:t>E.</w:t>
      </w:r>
      <w:r>
        <w:rPr>
          <w:color w:val="212121"/>
          <w:spacing w:val="-5"/>
          <w:sz w:val="24"/>
        </w:rPr>
        <w:t> </w:t>
      </w:r>
      <w:r>
        <w:rPr>
          <w:color w:val="212121"/>
          <w:sz w:val="24"/>
        </w:rPr>
        <w:t>(2010).</w:t>
      </w:r>
      <w:r>
        <w:rPr>
          <w:color w:val="212121"/>
          <w:spacing w:val="-4"/>
          <w:sz w:val="24"/>
        </w:rPr>
        <w:t> </w:t>
      </w:r>
      <w:r>
        <w:rPr>
          <w:i/>
          <w:color w:val="212121"/>
          <w:sz w:val="24"/>
        </w:rPr>
        <w:t>Basic</w:t>
      </w:r>
      <w:r>
        <w:rPr>
          <w:i/>
          <w:color w:val="212121"/>
          <w:spacing w:val="-5"/>
          <w:sz w:val="24"/>
        </w:rPr>
        <w:t> </w:t>
      </w:r>
      <w:r>
        <w:rPr>
          <w:i/>
          <w:color w:val="212121"/>
          <w:sz w:val="24"/>
        </w:rPr>
        <w:t>clinical</w:t>
      </w:r>
      <w:r>
        <w:rPr>
          <w:i/>
          <w:color w:val="212121"/>
          <w:spacing w:val="-5"/>
          <w:sz w:val="24"/>
        </w:rPr>
        <w:t> </w:t>
      </w:r>
      <w:r>
        <w:rPr>
          <w:i/>
          <w:color w:val="212121"/>
          <w:sz w:val="24"/>
        </w:rPr>
        <w:t>pharmacokinetics</w:t>
      </w:r>
      <w:r>
        <w:rPr>
          <w:color w:val="212121"/>
          <w:sz w:val="24"/>
        </w:rPr>
        <w:t>.</w:t>
      </w:r>
      <w:r>
        <w:rPr>
          <w:color w:val="212121"/>
          <w:spacing w:val="-5"/>
          <w:sz w:val="24"/>
        </w:rPr>
        <w:t> </w:t>
      </w:r>
      <w:r>
        <w:rPr>
          <w:color w:val="212121"/>
          <w:sz w:val="24"/>
        </w:rPr>
        <w:t>Wolters</w:t>
      </w:r>
      <w:r>
        <w:rPr>
          <w:color w:val="212121"/>
          <w:spacing w:val="-5"/>
          <w:sz w:val="24"/>
        </w:rPr>
        <w:t> </w:t>
      </w:r>
      <w:r>
        <w:rPr>
          <w:color w:val="212121"/>
          <w:sz w:val="24"/>
        </w:rPr>
        <w:t>Kluwer/Lippincott Williams &amp; Wilkins Health,pp 82-94</w:t>
      </w:r>
    </w:p>
    <w:p>
      <w:pPr>
        <w:pStyle w:val="BodyText"/>
        <w:spacing w:before="2"/>
      </w:pPr>
    </w:p>
    <w:p>
      <w:pPr>
        <w:pStyle w:val="BodyText"/>
        <w:spacing w:line="276" w:lineRule="auto" w:before="1"/>
        <w:ind w:left="1100" w:right="1276" w:hanging="720"/>
        <w:jc w:val="both"/>
      </w:pPr>
      <w:r>
        <w:rPr>
          <w:color w:val="212121"/>
        </w:rPr>
        <w:t>Zettler, P. J. (2015). Challenging Federal Oversight of Pharmaceuticals: Preemption Beyond Products Liability; </w:t>
      </w:r>
      <w:r>
        <w:rPr>
          <w:i/>
          <w:color w:val="212121"/>
        </w:rPr>
        <w:t>Available at SSRN</w:t>
      </w:r>
      <w:r>
        <w:rPr>
          <w:color w:val="212121"/>
        </w:rPr>
        <w:t>.</w:t>
      </w:r>
    </w:p>
    <w:p>
      <w:pPr>
        <w:pStyle w:val="BodyText"/>
        <w:spacing w:before="82"/>
      </w:pPr>
    </w:p>
    <w:p>
      <w:pPr>
        <w:pStyle w:val="BodyText"/>
        <w:spacing w:line="276" w:lineRule="auto"/>
        <w:ind w:left="1100" w:right="1269" w:hanging="720"/>
        <w:jc w:val="both"/>
      </w:pPr>
      <w:r>
        <w:rPr/>
        <w:t>Zhao, H., Yu,</w:t>
      </w:r>
      <w:r>
        <w:rPr>
          <w:spacing w:val="40"/>
        </w:rPr>
        <w:t> </w:t>
      </w:r>
      <w:r>
        <w:rPr/>
        <w:t>L. X.,</w:t>
      </w:r>
      <w:r>
        <w:rPr>
          <w:spacing w:val="40"/>
        </w:rPr>
        <w:t> </w:t>
      </w:r>
      <w:r>
        <w:rPr/>
        <w:t>Amidon,</w:t>
      </w:r>
      <w:r>
        <w:rPr>
          <w:spacing w:val="40"/>
        </w:rPr>
        <w:t> </w:t>
      </w:r>
      <w:r>
        <w:rPr/>
        <w:t>G.</w:t>
      </w:r>
      <w:r>
        <w:rPr>
          <w:spacing w:val="40"/>
        </w:rPr>
        <w:t> </w:t>
      </w:r>
      <w:r>
        <w:rPr/>
        <w:t>L., Polli, J.</w:t>
      </w:r>
      <w:r>
        <w:rPr>
          <w:spacing w:val="40"/>
        </w:rPr>
        <w:t> </w:t>
      </w:r>
      <w:r>
        <w:rPr/>
        <w:t>E., Mehta, M.</w:t>
      </w:r>
      <w:r>
        <w:rPr>
          <w:spacing w:val="40"/>
        </w:rPr>
        <w:t> </w:t>
      </w:r>
      <w:r>
        <w:rPr/>
        <w:t>U., Conner, D. P.,and Hussain, A. S. (2002). Biopharmaceutics classification system; the scientific basis for biowaiver extensions. </w:t>
      </w:r>
      <w:r>
        <w:rPr>
          <w:i/>
        </w:rPr>
        <w:t>Pharmaceutical Research Journal</w:t>
      </w:r>
      <w:r>
        <w:rPr/>
        <w:t>, </w:t>
      </w:r>
      <w:r>
        <w:rPr>
          <w:i/>
        </w:rPr>
        <w:t>19</w:t>
      </w:r>
      <w:r>
        <w:rPr/>
        <w:t>(7), 921-925.</w:t>
      </w:r>
    </w:p>
    <w:p>
      <w:pPr>
        <w:spacing w:after="0" w:line="276" w:lineRule="auto"/>
        <w:jc w:val="both"/>
        <w:sectPr>
          <w:pgSz w:w="12240" w:h="15840"/>
          <w:pgMar w:header="0" w:footer="1068" w:top="1540" w:bottom="1260" w:left="1420" w:right="440"/>
        </w:sectPr>
      </w:pPr>
    </w:p>
    <w:p>
      <w:pPr>
        <w:pStyle w:val="Heading1"/>
        <w:spacing w:before="77"/>
        <w:ind w:right="709"/>
      </w:pPr>
      <w:bookmarkStart w:name="_TOC_250007" w:id="77"/>
      <w:r>
        <w:rPr/>
        <w:t>APPENDIX</w:t>
      </w:r>
      <w:r>
        <w:rPr>
          <w:spacing w:val="-3"/>
        </w:rPr>
        <w:t> </w:t>
      </w:r>
      <w:bookmarkEnd w:id="77"/>
      <w:r>
        <w:rPr>
          <w:spacing w:val="-5"/>
        </w:rPr>
        <w:t>VII</w:t>
      </w:r>
    </w:p>
    <w:p>
      <w:pPr>
        <w:pStyle w:val="ListParagraph"/>
        <w:numPr>
          <w:ilvl w:val="1"/>
          <w:numId w:val="28"/>
        </w:numPr>
        <w:tabs>
          <w:tab w:pos="982" w:val="left" w:leader="none"/>
          <w:tab w:pos="9101" w:val="right" w:leader="dot"/>
        </w:tabs>
        <w:spacing w:line="240" w:lineRule="auto" w:before="391" w:after="0"/>
        <w:ind w:left="982" w:right="0" w:hanging="362"/>
        <w:jc w:val="left"/>
        <w:rPr>
          <w:sz w:val="24"/>
        </w:rPr>
      </w:pPr>
      <w:r>
        <w:rPr>
          <w:sz w:val="24"/>
        </w:rPr>
        <w:t>Infrared</w:t>
      </w:r>
      <w:r>
        <w:rPr>
          <w:spacing w:val="-4"/>
          <w:sz w:val="24"/>
        </w:rPr>
        <w:t> </w:t>
      </w:r>
      <w:r>
        <w:rPr>
          <w:sz w:val="24"/>
        </w:rPr>
        <w:t>Spectra</w:t>
      </w:r>
      <w:r>
        <w:rPr>
          <w:spacing w:val="-2"/>
          <w:sz w:val="24"/>
        </w:rPr>
        <w:t> </w:t>
      </w:r>
      <w:r>
        <w:rPr>
          <w:sz w:val="24"/>
        </w:rPr>
        <w:t>Identification</w:t>
      </w:r>
      <w:r>
        <w:rPr>
          <w:spacing w:val="-3"/>
          <w:sz w:val="24"/>
        </w:rPr>
        <w:t> </w:t>
      </w:r>
      <w:r>
        <w:rPr>
          <w:sz w:val="24"/>
        </w:rPr>
        <w:t>of</w:t>
      </w:r>
      <w:r>
        <w:rPr>
          <w:spacing w:val="-2"/>
          <w:sz w:val="24"/>
        </w:rPr>
        <w:t> </w:t>
      </w:r>
      <w:r>
        <w:rPr>
          <w:sz w:val="24"/>
        </w:rPr>
        <w:t>Tinidazole</w:t>
      </w:r>
      <w:r>
        <w:rPr>
          <w:spacing w:val="-2"/>
          <w:sz w:val="24"/>
        </w:rPr>
        <w:t> </w:t>
      </w:r>
      <w:r>
        <w:rPr>
          <w:sz w:val="24"/>
        </w:rPr>
        <w:t>Tablets</w:t>
      </w:r>
      <w:r>
        <w:rPr>
          <w:spacing w:val="-2"/>
          <w:sz w:val="24"/>
        </w:rPr>
        <w:t> </w:t>
      </w:r>
      <w:r>
        <w:rPr>
          <w:sz w:val="24"/>
        </w:rPr>
        <w:t>and</w:t>
      </w:r>
      <w:r>
        <w:rPr>
          <w:spacing w:val="-2"/>
          <w:sz w:val="24"/>
        </w:rPr>
        <w:t> </w:t>
      </w:r>
      <w:r>
        <w:rPr>
          <w:sz w:val="24"/>
        </w:rPr>
        <w:t>Standard</w:t>
      </w:r>
      <w:r>
        <w:rPr>
          <w:spacing w:val="-2"/>
          <w:sz w:val="24"/>
        </w:rPr>
        <w:t> Powder</w:t>
      </w:r>
      <w:r>
        <w:rPr>
          <w:sz w:val="24"/>
        </w:rPr>
        <w:tab/>
      </w:r>
      <w:r>
        <w:rPr>
          <w:spacing w:val="-5"/>
          <w:sz w:val="24"/>
        </w:rPr>
        <w:t>94</w:t>
      </w:r>
    </w:p>
    <w:p>
      <w:pPr>
        <w:pStyle w:val="ListParagraph"/>
        <w:numPr>
          <w:ilvl w:val="1"/>
          <w:numId w:val="28"/>
        </w:numPr>
        <w:tabs>
          <w:tab w:pos="980" w:val="left" w:leader="none"/>
          <w:tab w:pos="9101" w:val="right" w:leader="dot"/>
        </w:tabs>
        <w:spacing w:line="240" w:lineRule="auto" w:before="276" w:after="0"/>
        <w:ind w:left="980" w:right="0" w:hanging="360"/>
        <w:jc w:val="left"/>
        <w:rPr>
          <w:sz w:val="24"/>
        </w:rPr>
      </w:pPr>
      <w:r>
        <w:rPr>
          <w:sz w:val="24"/>
        </w:rPr>
        <w:t>UV-Visible</w:t>
      </w:r>
      <w:r>
        <w:rPr>
          <w:spacing w:val="-2"/>
          <w:sz w:val="24"/>
        </w:rPr>
        <w:t> </w:t>
      </w:r>
      <w:r>
        <w:rPr>
          <w:sz w:val="24"/>
        </w:rPr>
        <w:t>Spectra</w:t>
      </w:r>
      <w:r>
        <w:rPr>
          <w:spacing w:val="-1"/>
          <w:sz w:val="24"/>
        </w:rPr>
        <w:t> </w:t>
      </w:r>
      <w:r>
        <w:rPr>
          <w:sz w:val="24"/>
        </w:rPr>
        <w:t>Identification</w:t>
      </w:r>
      <w:r>
        <w:rPr>
          <w:spacing w:val="-1"/>
          <w:sz w:val="24"/>
        </w:rPr>
        <w:t> </w:t>
      </w:r>
      <w:r>
        <w:rPr>
          <w:sz w:val="24"/>
        </w:rPr>
        <w:t>of</w:t>
      </w:r>
      <w:r>
        <w:rPr>
          <w:spacing w:val="-2"/>
          <w:sz w:val="24"/>
        </w:rPr>
        <w:t> </w:t>
      </w:r>
      <w:r>
        <w:rPr>
          <w:sz w:val="24"/>
        </w:rPr>
        <w:t>Tinidazole</w:t>
      </w:r>
      <w:r>
        <w:rPr>
          <w:spacing w:val="-2"/>
          <w:sz w:val="24"/>
        </w:rPr>
        <w:t> </w:t>
      </w:r>
      <w:r>
        <w:rPr>
          <w:sz w:val="24"/>
        </w:rPr>
        <w:t>Tablets</w:t>
      </w:r>
      <w:r>
        <w:rPr>
          <w:spacing w:val="-1"/>
          <w:sz w:val="24"/>
        </w:rPr>
        <w:t> </w:t>
      </w:r>
      <w:r>
        <w:rPr>
          <w:sz w:val="24"/>
        </w:rPr>
        <w:t>and</w:t>
      </w:r>
      <w:r>
        <w:rPr>
          <w:spacing w:val="-2"/>
          <w:sz w:val="24"/>
        </w:rPr>
        <w:t> </w:t>
      </w:r>
      <w:r>
        <w:rPr>
          <w:sz w:val="24"/>
        </w:rPr>
        <w:t>Standard</w:t>
      </w:r>
      <w:r>
        <w:rPr>
          <w:spacing w:val="-1"/>
          <w:sz w:val="24"/>
        </w:rPr>
        <w:t> </w:t>
      </w:r>
      <w:r>
        <w:rPr>
          <w:spacing w:val="-2"/>
          <w:sz w:val="24"/>
        </w:rPr>
        <w:t>Powder</w:t>
      </w:r>
      <w:r>
        <w:rPr>
          <w:sz w:val="24"/>
        </w:rPr>
        <w:tab/>
      </w:r>
      <w:r>
        <w:rPr>
          <w:spacing w:val="-5"/>
          <w:sz w:val="24"/>
        </w:rPr>
        <w:t>99</w:t>
      </w:r>
    </w:p>
    <w:p>
      <w:pPr>
        <w:pStyle w:val="ListParagraph"/>
        <w:numPr>
          <w:ilvl w:val="1"/>
          <w:numId w:val="28"/>
        </w:numPr>
        <w:tabs>
          <w:tab w:pos="980" w:val="left" w:leader="none"/>
          <w:tab w:pos="9101" w:val="right" w:leader="dot"/>
        </w:tabs>
        <w:spacing w:line="240" w:lineRule="auto" w:before="276" w:after="0"/>
        <w:ind w:left="980" w:right="0" w:hanging="360"/>
        <w:jc w:val="left"/>
        <w:rPr>
          <w:sz w:val="24"/>
        </w:rPr>
      </w:pPr>
      <w:r>
        <w:rPr>
          <w:sz w:val="24"/>
        </w:rPr>
        <w:t>BP</w:t>
      </w:r>
      <w:r>
        <w:rPr>
          <w:spacing w:val="-1"/>
          <w:sz w:val="24"/>
        </w:rPr>
        <w:t> </w:t>
      </w:r>
      <w:r>
        <w:rPr>
          <w:sz w:val="24"/>
        </w:rPr>
        <w:t>2009</w:t>
      </w:r>
      <w:r>
        <w:rPr>
          <w:spacing w:val="-1"/>
          <w:sz w:val="24"/>
        </w:rPr>
        <w:t> </w:t>
      </w:r>
      <w:r>
        <w:rPr>
          <w:sz w:val="24"/>
        </w:rPr>
        <w:t>specification</w:t>
      </w:r>
      <w:r>
        <w:rPr>
          <w:spacing w:val="-1"/>
          <w:sz w:val="24"/>
        </w:rPr>
        <w:t> </w:t>
      </w:r>
      <w:r>
        <w:rPr>
          <w:sz w:val="24"/>
        </w:rPr>
        <w:t>for</w:t>
      </w:r>
      <w:r>
        <w:rPr>
          <w:spacing w:val="-1"/>
          <w:sz w:val="24"/>
        </w:rPr>
        <w:t> </w:t>
      </w:r>
      <w:r>
        <w:rPr>
          <w:sz w:val="24"/>
        </w:rPr>
        <w:t>tinidazole</w:t>
      </w:r>
      <w:r>
        <w:rPr>
          <w:spacing w:val="-1"/>
          <w:sz w:val="24"/>
        </w:rPr>
        <w:t> </w:t>
      </w:r>
      <w:r>
        <w:rPr>
          <w:spacing w:val="-2"/>
          <w:sz w:val="24"/>
        </w:rPr>
        <w:t>identification</w:t>
      </w:r>
      <w:r>
        <w:rPr>
          <w:sz w:val="24"/>
        </w:rPr>
        <w:tab/>
      </w:r>
      <w:r>
        <w:rPr>
          <w:spacing w:val="-5"/>
          <w:sz w:val="24"/>
        </w:rPr>
        <w:t>104</w:t>
      </w:r>
    </w:p>
    <w:p>
      <w:pPr>
        <w:pStyle w:val="ListParagraph"/>
        <w:numPr>
          <w:ilvl w:val="1"/>
          <w:numId w:val="28"/>
        </w:numPr>
        <w:tabs>
          <w:tab w:pos="980" w:val="left" w:leader="none"/>
          <w:tab w:pos="9101" w:val="right" w:leader="dot"/>
        </w:tabs>
        <w:spacing w:line="240" w:lineRule="auto" w:before="276" w:after="0"/>
        <w:ind w:left="980" w:right="0" w:hanging="360"/>
        <w:jc w:val="left"/>
        <w:rPr>
          <w:sz w:val="24"/>
        </w:rPr>
      </w:pPr>
      <w:r>
        <w:rPr>
          <w:sz w:val="24"/>
        </w:rPr>
        <w:t>Result</w:t>
      </w:r>
      <w:r>
        <w:rPr>
          <w:spacing w:val="-1"/>
          <w:sz w:val="24"/>
        </w:rPr>
        <w:t> </w:t>
      </w:r>
      <w:r>
        <w:rPr>
          <w:sz w:val="24"/>
        </w:rPr>
        <w:t>of the</w:t>
      </w:r>
      <w:r>
        <w:rPr>
          <w:spacing w:val="-2"/>
          <w:sz w:val="24"/>
        </w:rPr>
        <w:t> </w:t>
      </w:r>
      <w:r>
        <w:rPr>
          <w:spacing w:val="-4"/>
          <w:sz w:val="24"/>
        </w:rPr>
        <w:t>Assay</w:t>
      </w:r>
      <w:r>
        <w:rPr>
          <w:sz w:val="24"/>
        </w:rPr>
        <w:tab/>
      </w:r>
      <w:r>
        <w:rPr>
          <w:spacing w:val="-5"/>
          <w:sz w:val="24"/>
        </w:rPr>
        <w:t>104</w:t>
      </w:r>
    </w:p>
    <w:p>
      <w:pPr>
        <w:pStyle w:val="ListParagraph"/>
        <w:numPr>
          <w:ilvl w:val="1"/>
          <w:numId w:val="28"/>
        </w:numPr>
        <w:tabs>
          <w:tab w:pos="982" w:val="left" w:leader="none"/>
          <w:tab w:pos="9101" w:val="right" w:leader="dot"/>
        </w:tabs>
        <w:spacing w:line="240" w:lineRule="auto" w:before="276" w:after="0"/>
        <w:ind w:left="982" w:right="0" w:hanging="362"/>
        <w:jc w:val="left"/>
        <w:rPr>
          <w:sz w:val="24"/>
        </w:rPr>
      </w:pPr>
      <w:r>
        <w:rPr>
          <w:sz w:val="24"/>
        </w:rPr>
        <w:t>In </w:t>
      </w:r>
      <w:r>
        <w:rPr>
          <w:i/>
          <w:sz w:val="24"/>
        </w:rPr>
        <w:t>vitro</w:t>
      </w:r>
      <w:r>
        <w:rPr>
          <w:i/>
          <w:spacing w:val="-1"/>
          <w:sz w:val="24"/>
        </w:rPr>
        <w:t> </w:t>
      </w:r>
      <w:r>
        <w:rPr>
          <w:sz w:val="24"/>
        </w:rPr>
        <w:t>Dissolution</w:t>
      </w:r>
      <w:r>
        <w:rPr>
          <w:spacing w:val="-1"/>
          <w:sz w:val="24"/>
        </w:rPr>
        <w:t> </w:t>
      </w:r>
      <w:r>
        <w:rPr>
          <w:sz w:val="24"/>
        </w:rPr>
        <w:t>studies</w:t>
      </w:r>
      <w:r>
        <w:rPr>
          <w:spacing w:val="-1"/>
          <w:sz w:val="24"/>
        </w:rPr>
        <w:t> </w:t>
      </w:r>
      <w:r>
        <w:rPr>
          <w:sz w:val="24"/>
        </w:rPr>
        <w:t>at</w:t>
      </w:r>
      <w:r>
        <w:rPr>
          <w:spacing w:val="-2"/>
          <w:sz w:val="24"/>
        </w:rPr>
        <w:t> </w:t>
      </w:r>
      <w:r>
        <w:rPr>
          <w:sz w:val="24"/>
        </w:rPr>
        <w:t>gastric</w:t>
      </w:r>
      <w:r>
        <w:rPr>
          <w:spacing w:val="-2"/>
          <w:sz w:val="24"/>
        </w:rPr>
        <w:t> </w:t>
      </w:r>
      <w:r>
        <w:rPr>
          <w:sz w:val="24"/>
        </w:rPr>
        <w:t>pH</w:t>
      </w:r>
      <w:r>
        <w:rPr>
          <w:spacing w:val="-1"/>
          <w:sz w:val="24"/>
        </w:rPr>
        <w:t> </w:t>
      </w:r>
      <w:r>
        <w:rPr>
          <w:sz w:val="24"/>
        </w:rPr>
        <w:t>using</w:t>
      </w:r>
      <w:r>
        <w:rPr>
          <w:spacing w:val="-1"/>
          <w:sz w:val="24"/>
        </w:rPr>
        <w:t> </w:t>
      </w:r>
      <w:r>
        <w:rPr>
          <w:sz w:val="24"/>
        </w:rPr>
        <w:t>0.1N</w:t>
      </w:r>
      <w:r>
        <w:rPr>
          <w:spacing w:val="-1"/>
          <w:sz w:val="24"/>
        </w:rPr>
        <w:t> </w:t>
      </w:r>
      <w:r>
        <w:rPr>
          <w:spacing w:val="-5"/>
          <w:sz w:val="24"/>
        </w:rPr>
        <w:t>HCl</w:t>
      </w:r>
      <w:r>
        <w:rPr>
          <w:sz w:val="24"/>
        </w:rPr>
        <w:tab/>
      </w:r>
      <w:r>
        <w:rPr>
          <w:spacing w:val="-5"/>
          <w:sz w:val="24"/>
        </w:rPr>
        <w:t>104</w:t>
      </w:r>
    </w:p>
    <w:p>
      <w:pPr>
        <w:pStyle w:val="ListParagraph"/>
        <w:numPr>
          <w:ilvl w:val="1"/>
          <w:numId w:val="28"/>
        </w:numPr>
        <w:tabs>
          <w:tab w:pos="982" w:val="left" w:leader="none"/>
          <w:tab w:pos="9101" w:val="right" w:leader="dot"/>
        </w:tabs>
        <w:spacing w:line="240" w:lineRule="auto" w:before="277" w:after="0"/>
        <w:ind w:left="982" w:right="0" w:hanging="362"/>
        <w:jc w:val="left"/>
        <w:rPr>
          <w:sz w:val="24"/>
        </w:rPr>
      </w:pPr>
      <w:r>
        <w:rPr>
          <w:sz w:val="24"/>
        </w:rPr>
        <w:t>In </w:t>
      </w:r>
      <w:r>
        <w:rPr>
          <w:i/>
          <w:sz w:val="24"/>
        </w:rPr>
        <w:t>vitro</w:t>
      </w:r>
      <w:r>
        <w:rPr>
          <w:i/>
          <w:spacing w:val="-1"/>
          <w:sz w:val="24"/>
        </w:rPr>
        <w:t> </w:t>
      </w:r>
      <w:r>
        <w:rPr>
          <w:sz w:val="24"/>
        </w:rPr>
        <w:t>dissolution</w:t>
      </w:r>
      <w:r>
        <w:rPr>
          <w:spacing w:val="-1"/>
          <w:sz w:val="24"/>
        </w:rPr>
        <w:t> </w:t>
      </w:r>
      <w:r>
        <w:rPr>
          <w:sz w:val="24"/>
        </w:rPr>
        <w:t>studies</w:t>
      </w:r>
      <w:r>
        <w:rPr>
          <w:spacing w:val="-2"/>
          <w:sz w:val="24"/>
        </w:rPr>
        <w:t> </w:t>
      </w:r>
      <w:r>
        <w:rPr>
          <w:sz w:val="24"/>
        </w:rPr>
        <w:t>at</w:t>
      </w:r>
      <w:r>
        <w:rPr>
          <w:spacing w:val="-1"/>
          <w:sz w:val="24"/>
        </w:rPr>
        <w:t> </w:t>
      </w:r>
      <w:r>
        <w:rPr>
          <w:sz w:val="24"/>
        </w:rPr>
        <w:t>intestinal</w:t>
      </w:r>
      <w:r>
        <w:rPr>
          <w:spacing w:val="-1"/>
          <w:sz w:val="24"/>
        </w:rPr>
        <w:t> </w:t>
      </w:r>
      <w:r>
        <w:rPr>
          <w:sz w:val="24"/>
        </w:rPr>
        <w:t>pH</w:t>
      </w:r>
      <w:r>
        <w:rPr>
          <w:spacing w:val="-2"/>
          <w:sz w:val="24"/>
        </w:rPr>
        <w:t> </w:t>
      </w:r>
      <w:r>
        <w:rPr>
          <w:sz w:val="24"/>
        </w:rPr>
        <w:t>(6.8)</w:t>
      </w:r>
      <w:r>
        <w:rPr>
          <w:spacing w:val="-1"/>
          <w:sz w:val="24"/>
        </w:rPr>
        <w:t> </w:t>
      </w:r>
      <w:r>
        <w:rPr>
          <w:sz w:val="24"/>
        </w:rPr>
        <w:t>using</w:t>
      </w:r>
      <w:r>
        <w:rPr>
          <w:spacing w:val="-3"/>
          <w:sz w:val="24"/>
        </w:rPr>
        <w:t> </w:t>
      </w:r>
      <w:r>
        <w:rPr>
          <w:sz w:val="24"/>
        </w:rPr>
        <w:t>phosphate</w:t>
      </w:r>
      <w:r>
        <w:rPr>
          <w:spacing w:val="-2"/>
          <w:sz w:val="24"/>
        </w:rPr>
        <w:t> buffer</w:t>
      </w:r>
      <w:r>
        <w:rPr>
          <w:sz w:val="24"/>
        </w:rPr>
        <w:tab/>
      </w:r>
      <w:r>
        <w:rPr>
          <w:spacing w:val="-5"/>
          <w:sz w:val="24"/>
        </w:rPr>
        <w:t>106</w:t>
      </w:r>
    </w:p>
    <w:p>
      <w:pPr>
        <w:pStyle w:val="ListParagraph"/>
        <w:numPr>
          <w:ilvl w:val="1"/>
          <w:numId w:val="28"/>
        </w:numPr>
        <w:tabs>
          <w:tab w:pos="982" w:val="left" w:leader="none"/>
          <w:tab w:pos="9101" w:val="right" w:leader="dot"/>
        </w:tabs>
        <w:spacing w:line="240" w:lineRule="auto" w:before="276" w:after="0"/>
        <w:ind w:left="982" w:right="0" w:hanging="362"/>
        <w:jc w:val="left"/>
        <w:rPr>
          <w:sz w:val="24"/>
        </w:rPr>
      </w:pPr>
      <w:r>
        <w:rPr>
          <w:sz w:val="24"/>
        </w:rPr>
        <w:t>In</w:t>
      </w:r>
      <w:r>
        <w:rPr>
          <w:spacing w:val="-2"/>
          <w:sz w:val="24"/>
        </w:rPr>
        <w:t> </w:t>
      </w:r>
      <w:r>
        <w:rPr>
          <w:i/>
          <w:sz w:val="24"/>
        </w:rPr>
        <w:t>vitro</w:t>
      </w:r>
      <w:r>
        <w:rPr>
          <w:i/>
          <w:spacing w:val="-1"/>
          <w:sz w:val="24"/>
        </w:rPr>
        <w:t> </w:t>
      </w:r>
      <w:r>
        <w:rPr>
          <w:sz w:val="24"/>
        </w:rPr>
        <w:t>dissolution</w:t>
      </w:r>
      <w:r>
        <w:rPr>
          <w:spacing w:val="-1"/>
          <w:sz w:val="24"/>
        </w:rPr>
        <w:t> </w:t>
      </w:r>
      <w:r>
        <w:rPr>
          <w:sz w:val="24"/>
        </w:rPr>
        <w:t>studies</w:t>
      </w:r>
      <w:r>
        <w:rPr>
          <w:spacing w:val="-2"/>
          <w:sz w:val="24"/>
        </w:rPr>
        <w:t> </w:t>
      </w:r>
      <w:r>
        <w:rPr>
          <w:sz w:val="24"/>
        </w:rPr>
        <w:t>at</w:t>
      </w:r>
      <w:r>
        <w:rPr>
          <w:spacing w:val="-1"/>
          <w:sz w:val="24"/>
        </w:rPr>
        <w:t> </w:t>
      </w:r>
      <w:r>
        <w:rPr>
          <w:sz w:val="24"/>
        </w:rPr>
        <w:t>blood</w:t>
      </w:r>
      <w:r>
        <w:rPr>
          <w:spacing w:val="-1"/>
          <w:sz w:val="24"/>
        </w:rPr>
        <w:t> </w:t>
      </w:r>
      <w:r>
        <w:rPr>
          <w:sz w:val="24"/>
        </w:rPr>
        <w:t>pH</w:t>
      </w:r>
      <w:r>
        <w:rPr>
          <w:spacing w:val="-2"/>
          <w:sz w:val="24"/>
        </w:rPr>
        <w:t> </w:t>
      </w:r>
      <w:r>
        <w:rPr>
          <w:sz w:val="24"/>
        </w:rPr>
        <w:t>(7.4)</w:t>
      </w:r>
      <w:r>
        <w:rPr>
          <w:spacing w:val="-1"/>
          <w:sz w:val="24"/>
        </w:rPr>
        <w:t> </w:t>
      </w:r>
      <w:r>
        <w:rPr>
          <w:sz w:val="24"/>
        </w:rPr>
        <w:t>using</w:t>
      </w:r>
      <w:r>
        <w:rPr>
          <w:spacing w:val="-3"/>
          <w:sz w:val="24"/>
        </w:rPr>
        <w:t> </w:t>
      </w:r>
      <w:r>
        <w:rPr>
          <w:sz w:val="24"/>
        </w:rPr>
        <w:t>phosphate</w:t>
      </w:r>
      <w:r>
        <w:rPr>
          <w:spacing w:val="-1"/>
          <w:sz w:val="24"/>
        </w:rPr>
        <w:t> </w:t>
      </w:r>
      <w:r>
        <w:rPr>
          <w:spacing w:val="-2"/>
          <w:sz w:val="24"/>
        </w:rPr>
        <w:t>buffer</w:t>
      </w:r>
      <w:r>
        <w:rPr>
          <w:sz w:val="24"/>
        </w:rPr>
        <w:tab/>
      </w:r>
      <w:r>
        <w:rPr>
          <w:spacing w:val="-5"/>
          <w:sz w:val="24"/>
        </w:rPr>
        <w:t>108</w:t>
      </w:r>
    </w:p>
    <w:p>
      <w:pPr>
        <w:spacing w:after="0" w:line="240" w:lineRule="auto"/>
        <w:jc w:val="left"/>
        <w:rPr>
          <w:sz w:val="24"/>
        </w:rPr>
        <w:sectPr>
          <w:pgSz w:w="12240" w:h="15840"/>
          <w:pgMar w:header="0" w:footer="1068" w:top="1540" w:bottom="1260" w:left="1420" w:right="440"/>
        </w:sectPr>
      </w:pPr>
    </w:p>
    <w:p>
      <w:pPr>
        <w:pStyle w:val="Heading2"/>
        <w:numPr>
          <w:ilvl w:val="1"/>
          <w:numId w:val="29"/>
        </w:numPr>
        <w:tabs>
          <w:tab w:pos="1071" w:val="left" w:leader="none"/>
        </w:tabs>
        <w:spacing w:line="240" w:lineRule="auto" w:before="77" w:after="0"/>
        <w:ind w:left="1071" w:right="0" w:hanging="360"/>
        <w:jc w:val="left"/>
      </w:pPr>
      <w:r>
        <w:rPr/>
        <w:drawing>
          <wp:anchor distT="0" distB="0" distL="0" distR="0" allowOverlap="1" layoutInCell="1" locked="0" behindDoc="1" simplePos="0" relativeHeight="483584000">
            <wp:simplePos x="0" y="0"/>
            <wp:positionH relativeFrom="page">
              <wp:posOffset>1143000</wp:posOffset>
            </wp:positionH>
            <wp:positionV relativeFrom="page">
              <wp:posOffset>1379219</wp:posOffset>
            </wp:positionV>
            <wp:extent cx="5935874" cy="7384827"/>
            <wp:effectExtent l="0" t="0" r="0" b="0"/>
            <wp:wrapNone/>
            <wp:docPr id="41" name="Image 41" descr="Scan0002c"/>
            <wp:cNvGraphicFramePr>
              <a:graphicFrameLocks/>
            </wp:cNvGraphicFramePr>
            <a:graphic>
              <a:graphicData uri="http://schemas.openxmlformats.org/drawingml/2006/picture">
                <pic:pic>
                  <pic:nvPicPr>
                    <pic:cNvPr id="41" name="Image 41" descr="Scan0002c"/>
                    <pic:cNvPicPr/>
                  </pic:nvPicPr>
                  <pic:blipFill>
                    <a:blip r:embed="rId26" cstate="print"/>
                    <a:stretch>
                      <a:fillRect/>
                    </a:stretch>
                  </pic:blipFill>
                  <pic:spPr>
                    <a:xfrm>
                      <a:off x="0" y="0"/>
                      <a:ext cx="5935874" cy="7384827"/>
                    </a:xfrm>
                    <a:prstGeom prst="rect">
                      <a:avLst/>
                    </a:prstGeom>
                  </pic:spPr>
                </pic:pic>
              </a:graphicData>
            </a:graphic>
          </wp:anchor>
        </w:drawing>
      </w:r>
      <w:bookmarkStart w:name="_TOC_250006" w:id="78"/>
      <w:r>
        <w:rPr/>
        <w:t>Infrared</w:t>
      </w:r>
      <w:r>
        <w:rPr>
          <w:spacing w:val="-4"/>
        </w:rPr>
        <w:t> </w:t>
      </w:r>
      <w:r>
        <w:rPr/>
        <w:t>Spectra</w:t>
      </w:r>
      <w:r>
        <w:rPr>
          <w:spacing w:val="-2"/>
        </w:rPr>
        <w:t> </w:t>
      </w:r>
      <w:r>
        <w:rPr/>
        <w:t>Identification</w:t>
      </w:r>
      <w:r>
        <w:rPr>
          <w:spacing w:val="2"/>
        </w:rPr>
        <w:t> </w:t>
      </w:r>
      <w:r>
        <w:rPr/>
        <w:t>of</w:t>
      </w:r>
      <w:r>
        <w:rPr>
          <w:spacing w:val="-3"/>
        </w:rPr>
        <w:t> </w:t>
      </w:r>
      <w:r>
        <w:rPr/>
        <w:t>Tinidazole</w:t>
      </w:r>
      <w:r>
        <w:rPr>
          <w:spacing w:val="-2"/>
        </w:rPr>
        <w:t> </w:t>
      </w:r>
      <w:r>
        <w:rPr/>
        <w:t>Tablets</w:t>
      </w:r>
      <w:r>
        <w:rPr>
          <w:spacing w:val="-2"/>
        </w:rPr>
        <w:t> </w:t>
      </w:r>
      <w:r>
        <w:rPr/>
        <w:t>and</w:t>
      </w:r>
      <w:r>
        <w:rPr>
          <w:spacing w:val="-2"/>
        </w:rPr>
        <w:t> </w:t>
      </w:r>
      <w:r>
        <w:rPr/>
        <w:t>Standard</w:t>
      </w:r>
      <w:r>
        <w:rPr>
          <w:spacing w:val="-3"/>
        </w:rPr>
        <w:t> </w:t>
      </w:r>
      <w:bookmarkEnd w:id="78"/>
      <w:r>
        <w:rPr>
          <w:spacing w:val="-2"/>
        </w:rPr>
        <w:t>Powder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9"/>
        <w:rPr>
          <w:b/>
          <w:sz w:val="20"/>
        </w:rPr>
      </w:pPr>
      <w:r>
        <w:rPr/>
        <mc:AlternateContent>
          <mc:Choice Requires="wps">
            <w:drawing>
              <wp:anchor distT="0" distB="0" distL="0" distR="0" allowOverlap="1" layoutInCell="1" locked="0" behindDoc="1" simplePos="0" relativeHeight="487600128">
                <wp:simplePos x="0" y="0"/>
                <wp:positionH relativeFrom="page">
                  <wp:posOffset>1335405</wp:posOffset>
                </wp:positionH>
                <wp:positionV relativeFrom="paragraph">
                  <wp:posOffset>192392</wp:posOffset>
                </wp:positionV>
                <wp:extent cx="3051810" cy="267335"/>
                <wp:effectExtent l="0" t="0" r="0" b="0"/>
                <wp:wrapTopAndBottom/>
                <wp:docPr id="42" name="Textbox 42"/>
                <wp:cNvGraphicFramePr>
                  <a:graphicFrameLocks/>
                </wp:cNvGraphicFramePr>
                <a:graphic>
                  <a:graphicData uri="http://schemas.microsoft.com/office/word/2010/wordprocessingShape">
                    <wps:wsp>
                      <wps:cNvPr id="42" name="Textbox 42"/>
                      <wps:cNvSpPr txBox="1"/>
                      <wps:spPr>
                        <a:xfrm>
                          <a:off x="0" y="0"/>
                          <a:ext cx="3051810" cy="267335"/>
                        </a:xfrm>
                        <a:prstGeom prst="rect">
                          <a:avLst/>
                        </a:prstGeom>
                        <a:solidFill>
                          <a:srgbClr val="FFFFFF"/>
                        </a:solidFill>
                      </wps:spPr>
                      <wps:txbx>
                        <w:txbxContent>
                          <w:p>
                            <w:pPr>
                              <w:spacing w:before="69"/>
                              <w:ind w:left="143" w:right="0" w:firstLine="0"/>
                              <w:jc w:val="left"/>
                              <w:rPr>
                                <w:b/>
                                <w:color w:val="000000"/>
                                <w:sz w:val="24"/>
                              </w:rPr>
                            </w:pPr>
                            <w:r>
                              <w:rPr>
                                <w:b/>
                                <w:color w:val="000000"/>
                                <w:sz w:val="24"/>
                              </w:rPr>
                              <w:t>Figure</w:t>
                            </w:r>
                            <w:r>
                              <w:rPr>
                                <w:b/>
                                <w:color w:val="000000"/>
                                <w:spacing w:val="-2"/>
                                <w:sz w:val="24"/>
                              </w:rPr>
                              <w:t> </w:t>
                            </w:r>
                            <w:r>
                              <w:rPr>
                                <w:b/>
                                <w:color w:val="000000"/>
                                <w:sz w:val="24"/>
                              </w:rPr>
                              <w:t>7.1:</w:t>
                            </w:r>
                            <w:r>
                              <w:rPr>
                                <w:b/>
                                <w:color w:val="000000"/>
                                <w:spacing w:val="-2"/>
                                <w:sz w:val="24"/>
                              </w:rPr>
                              <w:t> </w:t>
                            </w:r>
                            <w:r>
                              <w:rPr>
                                <w:b/>
                                <w:color w:val="000000"/>
                                <w:sz w:val="24"/>
                              </w:rPr>
                              <w:t>IR</w:t>
                            </w:r>
                            <w:r>
                              <w:rPr>
                                <w:b/>
                                <w:color w:val="000000"/>
                                <w:spacing w:val="-1"/>
                                <w:sz w:val="24"/>
                              </w:rPr>
                              <w:t> </w:t>
                            </w:r>
                            <w:r>
                              <w:rPr>
                                <w:b/>
                                <w:color w:val="000000"/>
                                <w:sz w:val="24"/>
                              </w:rPr>
                              <w:t>spectrum</w:t>
                            </w:r>
                            <w:r>
                              <w:rPr>
                                <w:b/>
                                <w:color w:val="000000"/>
                                <w:spacing w:val="-5"/>
                                <w:sz w:val="24"/>
                              </w:rPr>
                              <w:t> </w:t>
                            </w:r>
                            <w:r>
                              <w:rPr>
                                <w:b/>
                                <w:color w:val="000000"/>
                                <w:sz w:val="24"/>
                              </w:rPr>
                              <w:t>of sample </w:t>
                            </w:r>
                            <w:r>
                              <w:rPr>
                                <w:b/>
                                <w:color w:val="000000"/>
                                <w:spacing w:val="-10"/>
                                <w:sz w:val="24"/>
                              </w:rPr>
                              <w:t>A</w:t>
                            </w:r>
                          </w:p>
                        </w:txbxContent>
                      </wps:txbx>
                      <wps:bodyPr wrap="square" lIns="0" tIns="0" rIns="0" bIns="0" rtlCol="0">
                        <a:noAutofit/>
                      </wps:bodyPr>
                    </wps:wsp>
                  </a:graphicData>
                </a:graphic>
              </wp:anchor>
            </w:drawing>
          </mc:Choice>
          <mc:Fallback>
            <w:pict>
              <v:shape style="position:absolute;margin-left:105.150002pt;margin-top:15.149023pt;width:240.3pt;height:21.05pt;mso-position-horizontal-relative:page;mso-position-vertical-relative:paragraph;z-index:-15716352;mso-wrap-distance-left:0;mso-wrap-distance-right:0" type="#_x0000_t202" id="docshape32" filled="true" fillcolor="#ffffff" stroked="false">
                <v:textbox inset="0,0,0,0">
                  <w:txbxContent>
                    <w:p>
                      <w:pPr>
                        <w:spacing w:before="69"/>
                        <w:ind w:left="143" w:right="0" w:firstLine="0"/>
                        <w:jc w:val="left"/>
                        <w:rPr>
                          <w:b/>
                          <w:color w:val="000000"/>
                          <w:sz w:val="24"/>
                        </w:rPr>
                      </w:pPr>
                      <w:r>
                        <w:rPr>
                          <w:b/>
                          <w:color w:val="000000"/>
                          <w:sz w:val="24"/>
                        </w:rPr>
                        <w:t>Figure</w:t>
                      </w:r>
                      <w:r>
                        <w:rPr>
                          <w:b/>
                          <w:color w:val="000000"/>
                          <w:spacing w:val="-2"/>
                          <w:sz w:val="24"/>
                        </w:rPr>
                        <w:t> </w:t>
                      </w:r>
                      <w:r>
                        <w:rPr>
                          <w:b/>
                          <w:color w:val="000000"/>
                          <w:sz w:val="24"/>
                        </w:rPr>
                        <w:t>7.1:</w:t>
                      </w:r>
                      <w:r>
                        <w:rPr>
                          <w:b/>
                          <w:color w:val="000000"/>
                          <w:spacing w:val="-2"/>
                          <w:sz w:val="24"/>
                        </w:rPr>
                        <w:t> </w:t>
                      </w:r>
                      <w:r>
                        <w:rPr>
                          <w:b/>
                          <w:color w:val="000000"/>
                          <w:sz w:val="24"/>
                        </w:rPr>
                        <w:t>IR</w:t>
                      </w:r>
                      <w:r>
                        <w:rPr>
                          <w:b/>
                          <w:color w:val="000000"/>
                          <w:spacing w:val="-1"/>
                          <w:sz w:val="24"/>
                        </w:rPr>
                        <w:t> </w:t>
                      </w:r>
                      <w:r>
                        <w:rPr>
                          <w:b/>
                          <w:color w:val="000000"/>
                          <w:sz w:val="24"/>
                        </w:rPr>
                        <w:t>spectrum</w:t>
                      </w:r>
                      <w:r>
                        <w:rPr>
                          <w:b/>
                          <w:color w:val="000000"/>
                          <w:spacing w:val="-5"/>
                          <w:sz w:val="24"/>
                        </w:rPr>
                        <w:t> </w:t>
                      </w:r>
                      <w:r>
                        <w:rPr>
                          <w:b/>
                          <w:color w:val="000000"/>
                          <w:sz w:val="24"/>
                        </w:rPr>
                        <w:t>of sample </w:t>
                      </w:r>
                      <w:r>
                        <w:rPr>
                          <w:b/>
                          <w:color w:val="000000"/>
                          <w:spacing w:val="-10"/>
                          <w:sz w:val="24"/>
                        </w:rPr>
                        <w:t>A</w:t>
                      </w:r>
                    </w:p>
                  </w:txbxContent>
                </v:textbox>
                <v:fill type="solid"/>
                <w10:wrap type="topAndBottom"/>
              </v:shape>
            </w:pict>
          </mc:Fallback>
        </mc:AlternateContent>
      </w:r>
    </w:p>
    <w:p>
      <w:pPr>
        <w:spacing w:after="0"/>
        <w:rPr>
          <w:sz w:val="20"/>
        </w:rPr>
        <w:sectPr>
          <w:pgSz w:w="12240" w:h="15840"/>
          <w:pgMar w:header="0" w:footer="1068" w:top="1540" w:bottom="1260" w:left="1420" w:right="440"/>
        </w:sectPr>
      </w:pPr>
    </w:p>
    <w:p>
      <w:pPr>
        <w:pStyle w:val="BodyText"/>
        <w:ind w:left="289"/>
        <w:rPr>
          <w:sz w:val="20"/>
        </w:rPr>
      </w:pPr>
      <w:r>
        <w:rPr>
          <w:sz w:val="20"/>
        </w:rPr>
        <w:drawing>
          <wp:inline distT="0" distB="0" distL="0" distR="0">
            <wp:extent cx="5927385" cy="7712964"/>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7" cstate="print"/>
                    <a:stretch>
                      <a:fillRect/>
                    </a:stretch>
                  </pic:blipFill>
                  <pic:spPr>
                    <a:xfrm>
                      <a:off x="0" y="0"/>
                      <a:ext cx="5927385" cy="7712964"/>
                    </a:xfrm>
                    <a:prstGeom prst="rect">
                      <a:avLst/>
                    </a:prstGeom>
                  </pic:spPr>
                </pic:pic>
              </a:graphicData>
            </a:graphic>
          </wp:inline>
        </w:drawing>
      </w:r>
      <w:r>
        <w:rPr>
          <w:sz w:val="20"/>
        </w:rPr>
      </w:r>
    </w:p>
    <w:p>
      <w:pPr>
        <w:spacing w:before="5"/>
        <w:ind w:left="289" w:right="0" w:firstLine="0"/>
        <w:jc w:val="left"/>
        <w:rPr>
          <w:b/>
          <w:sz w:val="24"/>
        </w:rPr>
      </w:pPr>
      <w:r>
        <w:rPr>
          <w:b/>
          <w:sz w:val="24"/>
        </w:rPr>
        <w:t>Figure</w:t>
      </w:r>
      <w:r>
        <w:rPr>
          <w:b/>
          <w:spacing w:val="-2"/>
          <w:sz w:val="24"/>
        </w:rPr>
        <w:t> </w:t>
      </w:r>
      <w:r>
        <w:rPr>
          <w:b/>
          <w:sz w:val="24"/>
        </w:rPr>
        <w:t>7.2:</w:t>
      </w:r>
      <w:r>
        <w:rPr>
          <w:b/>
          <w:spacing w:val="-2"/>
          <w:sz w:val="24"/>
        </w:rPr>
        <w:t> </w:t>
      </w:r>
      <w:r>
        <w:rPr>
          <w:b/>
          <w:sz w:val="24"/>
        </w:rPr>
        <w:t>IR</w:t>
      </w:r>
      <w:r>
        <w:rPr>
          <w:b/>
          <w:spacing w:val="-1"/>
          <w:sz w:val="24"/>
        </w:rPr>
        <w:t> </w:t>
      </w:r>
      <w:r>
        <w:rPr>
          <w:b/>
          <w:sz w:val="24"/>
        </w:rPr>
        <w:t>spectrum</w:t>
      </w:r>
      <w:r>
        <w:rPr>
          <w:b/>
          <w:spacing w:val="-5"/>
          <w:sz w:val="24"/>
        </w:rPr>
        <w:t> </w:t>
      </w:r>
      <w:r>
        <w:rPr>
          <w:b/>
          <w:sz w:val="24"/>
        </w:rPr>
        <w:t>of sample </w:t>
      </w:r>
      <w:r>
        <w:rPr>
          <w:b/>
          <w:spacing w:val="-10"/>
          <w:sz w:val="24"/>
        </w:rPr>
        <w:t>B</w:t>
      </w:r>
    </w:p>
    <w:p>
      <w:pPr>
        <w:spacing w:after="0"/>
        <w:jc w:val="left"/>
        <w:rPr>
          <w:sz w:val="24"/>
        </w:rPr>
        <w:sectPr>
          <w:pgSz w:w="12240" w:h="15840"/>
          <w:pgMar w:header="0" w:footer="1068" w:top="1620" w:bottom="1260" w:left="1420" w:right="440"/>
        </w:sectPr>
      </w:pPr>
    </w:p>
    <w:p>
      <w:pPr>
        <w:pStyle w:val="BodyText"/>
        <w:ind w:left="380"/>
        <w:rPr>
          <w:sz w:val="20"/>
        </w:rPr>
      </w:pPr>
      <w:r>
        <w:rPr>
          <w:sz w:val="20"/>
        </w:rPr>
        <w:drawing>
          <wp:inline distT="0" distB="0" distL="0" distR="0">
            <wp:extent cx="6230705" cy="741578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8" cstate="print"/>
                    <a:stretch>
                      <a:fillRect/>
                    </a:stretch>
                  </pic:blipFill>
                  <pic:spPr>
                    <a:xfrm>
                      <a:off x="0" y="0"/>
                      <a:ext cx="6230705" cy="7415783"/>
                    </a:xfrm>
                    <a:prstGeom prst="rect">
                      <a:avLst/>
                    </a:prstGeom>
                  </pic:spPr>
                </pic:pic>
              </a:graphicData>
            </a:graphic>
          </wp:inline>
        </w:drawing>
      </w:r>
      <w:r>
        <w:rPr>
          <w:sz w:val="20"/>
        </w:rPr>
      </w:r>
    </w:p>
    <w:p>
      <w:pPr>
        <w:spacing w:before="3"/>
        <w:ind w:left="380" w:right="0" w:firstLine="0"/>
        <w:jc w:val="left"/>
        <w:rPr>
          <w:b/>
          <w:sz w:val="24"/>
        </w:rPr>
      </w:pPr>
      <w:r>
        <w:rPr>
          <w:b/>
          <w:sz w:val="24"/>
        </w:rPr>
        <w:t>Figure</w:t>
      </w:r>
      <w:r>
        <w:rPr>
          <w:b/>
          <w:spacing w:val="-2"/>
          <w:sz w:val="24"/>
        </w:rPr>
        <w:t> </w:t>
      </w:r>
      <w:r>
        <w:rPr>
          <w:b/>
          <w:sz w:val="24"/>
        </w:rPr>
        <w:t>7.3:</w:t>
      </w:r>
      <w:r>
        <w:rPr>
          <w:b/>
          <w:spacing w:val="-1"/>
          <w:sz w:val="24"/>
        </w:rPr>
        <w:t> </w:t>
      </w:r>
      <w:r>
        <w:rPr>
          <w:b/>
          <w:sz w:val="24"/>
        </w:rPr>
        <w:t>IR</w:t>
      </w:r>
      <w:r>
        <w:rPr>
          <w:b/>
          <w:spacing w:val="-2"/>
          <w:sz w:val="24"/>
        </w:rPr>
        <w:t> </w:t>
      </w:r>
      <w:r>
        <w:rPr>
          <w:b/>
          <w:sz w:val="24"/>
        </w:rPr>
        <w:t>spectrum</w:t>
      </w:r>
      <w:r>
        <w:rPr>
          <w:b/>
          <w:spacing w:val="-3"/>
          <w:sz w:val="24"/>
        </w:rPr>
        <w:t> </w:t>
      </w:r>
      <w:r>
        <w:rPr>
          <w:b/>
          <w:sz w:val="24"/>
        </w:rPr>
        <w:t>of sample </w:t>
      </w:r>
      <w:r>
        <w:rPr>
          <w:b/>
          <w:spacing w:val="-10"/>
          <w:sz w:val="24"/>
        </w:rPr>
        <w:t>C</w:t>
      </w:r>
    </w:p>
    <w:p>
      <w:pPr>
        <w:spacing w:after="0"/>
        <w:jc w:val="left"/>
        <w:rPr>
          <w:sz w:val="24"/>
        </w:rPr>
        <w:sectPr>
          <w:pgSz w:w="12240" w:h="15840"/>
          <w:pgMar w:header="0" w:footer="1068" w:top="1620" w:bottom="1260" w:left="1420" w:right="440"/>
        </w:sectPr>
      </w:pPr>
    </w:p>
    <w:p>
      <w:pPr>
        <w:pStyle w:val="BodyText"/>
        <w:ind w:left="380"/>
        <w:rPr>
          <w:sz w:val="20"/>
        </w:rPr>
      </w:pPr>
      <w:r>
        <w:rPr>
          <w:sz w:val="20"/>
        </w:rPr>
        <w:drawing>
          <wp:inline distT="0" distB="0" distL="0" distR="0">
            <wp:extent cx="5913376" cy="740664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9" cstate="print"/>
                    <a:stretch>
                      <a:fillRect/>
                    </a:stretch>
                  </pic:blipFill>
                  <pic:spPr>
                    <a:xfrm>
                      <a:off x="0" y="0"/>
                      <a:ext cx="5913376" cy="7406640"/>
                    </a:xfrm>
                    <a:prstGeom prst="rect">
                      <a:avLst/>
                    </a:prstGeom>
                  </pic:spPr>
                </pic:pic>
              </a:graphicData>
            </a:graphic>
          </wp:inline>
        </w:drawing>
      </w:r>
      <w:r>
        <w:rPr>
          <w:sz w:val="20"/>
        </w:rPr>
      </w:r>
    </w:p>
    <w:p>
      <w:pPr>
        <w:spacing w:before="1"/>
        <w:ind w:left="380" w:right="0" w:firstLine="0"/>
        <w:jc w:val="left"/>
        <w:rPr>
          <w:b/>
          <w:sz w:val="24"/>
        </w:rPr>
      </w:pPr>
      <w:r>
        <w:rPr>
          <w:b/>
          <w:sz w:val="24"/>
        </w:rPr>
        <w:t>Figure</w:t>
      </w:r>
      <w:r>
        <w:rPr>
          <w:b/>
          <w:spacing w:val="-2"/>
          <w:sz w:val="24"/>
        </w:rPr>
        <w:t> </w:t>
      </w:r>
      <w:r>
        <w:rPr>
          <w:b/>
          <w:sz w:val="24"/>
        </w:rPr>
        <w:t>7.4:</w:t>
      </w:r>
      <w:r>
        <w:rPr>
          <w:b/>
          <w:spacing w:val="-1"/>
          <w:sz w:val="24"/>
        </w:rPr>
        <w:t> </w:t>
      </w:r>
      <w:r>
        <w:rPr>
          <w:b/>
          <w:sz w:val="24"/>
        </w:rPr>
        <w:t>IR</w:t>
      </w:r>
      <w:r>
        <w:rPr>
          <w:b/>
          <w:spacing w:val="-2"/>
          <w:sz w:val="24"/>
        </w:rPr>
        <w:t> </w:t>
      </w:r>
      <w:r>
        <w:rPr>
          <w:b/>
          <w:sz w:val="24"/>
        </w:rPr>
        <w:t>spectrum</w:t>
      </w:r>
      <w:r>
        <w:rPr>
          <w:b/>
          <w:spacing w:val="-3"/>
          <w:sz w:val="24"/>
        </w:rPr>
        <w:t> </w:t>
      </w:r>
      <w:r>
        <w:rPr>
          <w:b/>
          <w:sz w:val="24"/>
        </w:rPr>
        <w:t>of sample </w:t>
      </w:r>
      <w:r>
        <w:rPr>
          <w:b/>
          <w:spacing w:val="-10"/>
          <w:sz w:val="24"/>
        </w:rPr>
        <w:t>D</w:t>
      </w:r>
    </w:p>
    <w:p>
      <w:pPr>
        <w:spacing w:after="0"/>
        <w:jc w:val="left"/>
        <w:rPr>
          <w:sz w:val="24"/>
        </w:rPr>
        <w:sectPr>
          <w:pgSz w:w="12240" w:h="15840"/>
          <w:pgMar w:header="0" w:footer="1068" w:top="1620" w:bottom="1260" w:left="1420" w:right="440"/>
        </w:sectPr>
      </w:pPr>
    </w:p>
    <w:p>
      <w:pPr>
        <w:pStyle w:val="BodyText"/>
        <w:ind w:left="380"/>
        <w:rPr>
          <w:sz w:val="20"/>
        </w:rPr>
      </w:pPr>
      <w:r>
        <w:rPr>
          <w:sz w:val="20"/>
        </w:rPr>
        <w:drawing>
          <wp:inline distT="0" distB="0" distL="0" distR="0">
            <wp:extent cx="5959481" cy="7767828"/>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0" cstate="print"/>
                    <a:stretch>
                      <a:fillRect/>
                    </a:stretch>
                  </pic:blipFill>
                  <pic:spPr>
                    <a:xfrm>
                      <a:off x="0" y="0"/>
                      <a:ext cx="5959481" cy="7767828"/>
                    </a:xfrm>
                    <a:prstGeom prst="rect">
                      <a:avLst/>
                    </a:prstGeom>
                  </pic:spPr>
                </pic:pic>
              </a:graphicData>
            </a:graphic>
          </wp:inline>
        </w:drawing>
      </w:r>
      <w:r>
        <w:rPr>
          <w:sz w:val="20"/>
        </w:rPr>
      </w:r>
    </w:p>
    <w:p>
      <w:pPr>
        <w:spacing w:before="3"/>
        <w:ind w:left="380" w:right="0" w:firstLine="0"/>
        <w:jc w:val="left"/>
        <w:rPr>
          <w:b/>
          <w:sz w:val="24"/>
        </w:rPr>
      </w:pPr>
      <w:r>
        <w:rPr>
          <w:b/>
          <w:sz w:val="24"/>
        </w:rPr>
        <w:t>Figure</w:t>
      </w:r>
      <w:r>
        <w:rPr>
          <w:b/>
          <w:spacing w:val="-2"/>
          <w:sz w:val="24"/>
        </w:rPr>
        <w:t> </w:t>
      </w:r>
      <w:r>
        <w:rPr>
          <w:b/>
          <w:sz w:val="24"/>
        </w:rPr>
        <w:t>7.5:</w:t>
      </w:r>
      <w:r>
        <w:rPr>
          <w:b/>
          <w:spacing w:val="-1"/>
          <w:sz w:val="24"/>
        </w:rPr>
        <w:t> </w:t>
      </w:r>
      <w:r>
        <w:rPr>
          <w:b/>
          <w:sz w:val="24"/>
        </w:rPr>
        <w:t>IR</w:t>
      </w:r>
      <w:r>
        <w:rPr>
          <w:b/>
          <w:spacing w:val="-2"/>
          <w:sz w:val="24"/>
        </w:rPr>
        <w:t> </w:t>
      </w:r>
      <w:r>
        <w:rPr>
          <w:b/>
          <w:sz w:val="24"/>
        </w:rPr>
        <w:t>spectrum</w:t>
      </w:r>
      <w:r>
        <w:rPr>
          <w:b/>
          <w:spacing w:val="-4"/>
          <w:sz w:val="24"/>
        </w:rPr>
        <w:t> </w:t>
      </w:r>
      <w:r>
        <w:rPr>
          <w:b/>
          <w:sz w:val="24"/>
        </w:rPr>
        <w:t>of sample</w:t>
      </w:r>
      <w:r>
        <w:rPr>
          <w:b/>
          <w:spacing w:val="-1"/>
          <w:sz w:val="24"/>
        </w:rPr>
        <w:t> </w:t>
      </w:r>
      <w:r>
        <w:rPr>
          <w:b/>
          <w:sz w:val="24"/>
        </w:rPr>
        <w:t>E</w:t>
      </w:r>
      <w:r>
        <w:rPr>
          <w:b/>
          <w:spacing w:val="-1"/>
          <w:sz w:val="24"/>
        </w:rPr>
        <w:t> </w:t>
      </w:r>
      <w:r>
        <w:rPr>
          <w:b/>
          <w:sz w:val="24"/>
        </w:rPr>
        <w:t>(Standard </w:t>
      </w:r>
      <w:r>
        <w:rPr>
          <w:b/>
          <w:spacing w:val="-2"/>
          <w:sz w:val="24"/>
        </w:rPr>
        <w:t>powder)</w:t>
      </w:r>
    </w:p>
    <w:p>
      <w:pPr>
        <w:spacing w:after="0"/>
        <w:jc w:val="left"/>
        <w:rPr>
          <w:sz w:val="24"/>
        </w:rPr>
        <w:sectPr>
          <w:pgSz w:w="12240" w:h="15840"/>
          <w:pgMar w:header="0" w:footer="1068" w:top="1620" w:bottom="1260" w:left="1420" w:right="440"/>
        </w:sectPr>
      </w:pPr>
    </w:p>
    <w:p>
      <w:pPr>
        <w:pStyle w:val="Heading2"/>
        <w:numPr>
          <w:ilvl w:val="1"/>
          <w:numId w:val="23"/>
        </w:numPr>
        <w:tabs>
          <w:tab w:pos="739" w:val="left" w:leader="none"/>
        </w:tabs>
        <w:spacing w:line="240" w:lineRule="auto" w:before="77" w:after="0"/>
        <w:ind w:left="739" w:right="0" w:hanging="359"/>
        <w:jc w:val="left"/>
      </w:pPr>
      <w:r>
        <w:rPr/>
        <mc:AlternateContent>
          <mc:Choice Requires="wps">
            <w:drawing>
              <wp:anchor distT="0" distB="0" distL="0" distR="0" allowOverlap="1" layoutInCell="1" locked="0" behindDoc="1" simplePos="0" relativeHeight="483585024">
                <wp:simplePos x="0" y="0"/>
                <wp:positionH relativeFrom="page">
                  <wp:posOffset>1025525</wp:posOffset>
                </wp:positionH>
                <wp:positionV relativeFrom="page">
                  <wp:posOffset>1387170</wp:posOffset>
                </wp:positionV>
                <wp:extent cx="5475605" cy="805815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5475605" cy="8058150"/>
                          <a:chExt cx="5475605" cy="8058150"/>
                        </a:xfrm>
                      </wpg:grpSpPr>
                      <pic:pic>
                        <pic:nvPicPr>
                          <pic:cNvPr id="48" name="Image 48"/>
                          <pic:cNvPicPr/>
                        </pic:nvPicPr>
                        <pic:blipFill>
                          <a:blip r:embed="rId32" cstate="print"/>
                          <a:stretch>
                            <a:fillRect/>
                          </a:stretch>
                        </pic:blipFill>
                        <pic:spPr>
                          <a:xfrm>
                            <a:off x="22859" y="0"/>
                            <a:ext cx="5452668" cy="7514259"/>
                          </a:xfrm>
                          <a:prstGeom prst="rect">
                            <a:avLst/>
                          </a:prstGeom>
                        </pic:spPr>
                      </pic:pic>
                      <wps:wsp>
                        <wps:cNvPr id="49" name="Graphic 49"/>
                        <wps:cNvSpPr/>
                        <wps:spPr>
                          <a:xfrm>
                            <a:off x="0" y="7526959"/>
                            <a:ext cx="3800475" cy="530860"/>
                          </a:xfrm>
                          <a:custGeom>
                            <a:avLst/>
                            <a:gdLst/>
                            <a:ahLst/>
                            <a:cxnLst/>
                            <a:rect l="l" t="t" r="r" b="b"/>
                            <a:pathLst>
                              <a:path w="3800475" h="530860">
                                <a:moveTo>
                                  <a:pt x="3800475" y="0"/>
                                </a:moveTo>
                                <a:lnTo>
                                  <a:pt x="0" y="0"/>
                                </a:lnTo>
                                <a:lnTo>
                                  <a:pt x="0" y="530860"/>
                                </a:lnTo>
                                <a:lnTo>
                                  <a:pt x="3800475" y="530860"/>
                                </a:lnTo>
                                <a:lnTo>
                                  <a:pt x="38004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0.75pt;margin-top:109.225998pt;width:431.15pt;height:634.5pt;mso-position-horizontal-relative:page;mso-position-vertical-relative:page;z-index:-19731456" id="docshapegroup33" coordorigin="1615,2185" coordsize="8623,12690">
                <v:shape style="position:absolute;left:1651;top:2184;width:8587;height:11834" type="#_x0000_t75" id="docshape34" stroked="false">
                  <v:imagedata r:id="rId32" o:title=""/>
                </v:shape>
                <v:rect style="position:absolute;left:1615;top:14038;width:5985;height:836" id="docshape35" filled="true" fillcolor="#ffffff" stroked="false">
                  <v:fill type="solid"/>
                </v:rect>
                <w10:wrap type="none"/>
              </v:group>
            </w:pict>
          </mc:Fallback>
        </mc:AlternateContent>
      </w:r>
      <w:bookmarkStart w:name="_TOC_250005" w:id="79"/>
      <w:r>
        <w:rPr/>
        <w:t>UV-Visible</w:t>
      </w:r>
      <w:r>
        <w:rPr>
          <w:spacing w:val="-5"/>
        </w:rPr>
        <w:t> </w:t>
      </w:r>
      <w:r>
        <w:rPr/>
        <w:t>Spectra</w:t>
      </w:r>
      <w:r>
        <w:rPr>
          <w:spacing w:val="-1"/>
        </w:rPr>
        <w:t> </w:t>
      </w:r>
      <w:r>
        <w:rPr/>
        <w:t>Identification</w:t>
      </w:r>
      <w:r>
        <w:rPr>
          <w:spacing w:val="-2"/>
        </w:rPr>
        <w:t> </w:t>
      </w:r>
      <w:r>
        <w:rPr/>
        <w:t>of</w:t>
      </w:r>
      <w:r>
        <w:rPr>
          <w:spacing w:val="-2"/>
        </w:rPr>
        <w:t> </w:t>
      </w:r>
      <w:r>
        <w:rPr/>
        <w:t>Tinidazole</w:t>
      </w:r>
      <w:r>
        <w:rPr>
          <w:spacing w:val="-2"/>
        </w:rPr>
        <w:t> </w:t>
      </w:r>
      <w:r>
        <w:rPr/>
        <w:t>Tablets</w:t>
      </w:r>
      <w:r>
        <w:rPr>
          <w:spacing w:val="-3"/>
        </w:rPr>
        <w:t> </w:t>
      </w:r>
      <w:r>
        <w:rPr/>
        <w:t>and</w:t>
      </w:r>
      <w:r>
        <w:rPr>
          <w:spacing w:val="-3"/>
        </w:rPr>
        <w:t> </w:t>
      </w:r>
      <w:r>
        <w:rPr/>
        <w:t>Standard</w:t>
      </w:r>
      <w:bookmarkEnd w:id="79"/>
      <w:r>
        <w:rPr>
          <w:spacing w:val="-2"/>
        </w:rPr>
        <w:t> Powder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9"/>
        <w:rPr>
          <w:b/>
        </w:rPr>
      </w:pPr>
    </w:p>
    <w:p>
      <w:pPr>
        <w:spacing w:before="0"/>
        <w:ind w:left="339" w:right="0" w:firstLine="0"/>
        <w:jc w:val="left"/>
        <w:rPr>
          <w:b/>
          <w:sz w:val="24"/>
        </w:rPr>
      </w:pPr>
      <w:r>
        <w:rPr/>
        <mc:AlternateContent>
          <mc:Choice Requires="wps">
            <w:drawing>
              <wp:anchor distT="0" distB="0" distL="0" distR="0" allowOverlap="1" layoutInCell="1" locked="0" behindDoc="1" simplePos="0" relativeHeight="483584512">
                <wp:simplePos x="0" y="0"/>
                <wp:positionH relativeFrom="page">
                  <wp:posOffset>3839590</wp:posOffset>
                </wp:positionH>
                <wp:positionV relativeFrom="paragraph">
                  <wp:posOffset>290263</wp:posOffset>
                </wp:positionV>
                <wp:extent cx="152400" cy="1689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52400" cy="168910"/>
                        </a:xfrm>
                        <a:prstGeom prst="rect">
                          <a:avLst/>
                        </a:prstGeom>
                      </wps:spPr>
                      <wps:txbx>
                        <w:txbxContent>
                          <w:p>
                            <w:pPr>
                              <w:pStyle w:val="BodyText"/>
                              <w:spacing w:line="266" w:lineRule="exact"/>
                            </w:pPr>
                            <w:r>
                              <w:rPr>
                                <w:spacing w:val="-5"/>
                              </w:rPr>
                              <w:t>99</w:t>
                            </w:r>
                          </w:p>
                        </w:txbxContent>
                      </wps:txbx>
                      <wps:bodyPr wrap="square" lIns="0" tIns="0" rIns="0" bIns="0" rtlCol="0">
                        <a:noAutofit/>
                      </wps:bodyPr>
                    </wps:wsp>
                  </a:graphicData>
                </a:graphic>
              </wp:anchor>
            </w:drawing>
          </mc:Choice>
          <mc:Fallback>
            <w:pict>
              <v:shape style="position:absolute;margin-left:302.329987pt;margin-top:22.855375pt;width:12pt;height:13.3pt;mso-position-horizontal-relative:page;mso-position-vertical-relative:paragraph;z-index:-19731968" type="#_x0000_t202" id="docshape36" filled="false" stroked="false">
                <v:textbox inset="0,0,0,0">
                  <w:txbxContent>
                    <w:p>
                      <w:pPr>
                        <w:pStyle w:val="BodyText"/>
                        <w:spacing w:line="266" w:lineRule="exact"/>
                      </w:pPr>
                      <w:r>
                        <w:rPr>
                          <w:spacing w:val="-5"/>
                        </w:rPr>
                        <w:t>99</w:t>
                      </w:r>
                    </w:p>
                  </w:txbxContent>
                </v:textbox>
                <w10:wrap type="none"/>
              </v:shape>
            </w:pict>
          </mc:Fallback>
        </mc:AlternateContent>
      </w:r>
      <w:r>
        <w:rPr>
          <w:b/>
          <w:sz w:val="24"/>
        </w:rPr>
        <w:t>Figure</w:t>
      </w:r>
      <w:r>
        <w:rPr>
          <w:b/>
          <w:spacing w:val="-2"/>
          <w:sz w:val="24"/>
        </w:rPr>
        <w:t> </w:t>
      </w:r>
      <w:r>
        <w:rPr>
          <w:b/>
          <w:sz w:val="24"/>
        </w:rPr>
        <w:t>7.6:</w:t>
      </w:r>
      <w:r>
        <w:rPr>
          <w:b/>
          <w:spacing w:val="-1"/>
          <w:sz w:val="24"/>
        </w:rPr>
        <w:t> </w:t>
      </w:r>
      <w:r>
        <w:rPr>
          <w:b/>
          <w:sz w:val="24"/>
        </w:rPr>
        <w:t>UV</w:t>
      </w:r>
      <w:r>
        <w:rPr>
          <w:b/>
          <w:spacing w:val="-1"/>
          <w:sz w:val="24"/>
        </w:rPr>
        <w:t> </w:t>
      </w:r>
      <w:r>
        <w:rPr>
          <w:b/>
          <w:sz w:val="24"/>
        </w:rPr>
        <w:t>spectrum</w:t>
      </w:r>
      <w:r>
        <w:rPr>
          <w:b/>
          <w:spacing w:val="-5"/>
          <w:sz w:val="24"/>
        </w:rPr>
        <w:t> </w:t>
      </w:r>
      <w:r>
        <w:rPr>
          <w:b/>
          <w:sz w:val="24"/>
        </w:rPr>
        <w:t>of</w:t>
      </w:r>
      <w:r>
        <w:rPr>
          <w:b/>
          <w:spacing w:val="1"/>
          <w:sz w:val="24"/>
        </w:rPr>
        <w:t> </w:t>
      </w:r>
      <w:r>
        <w:rPr>
          <w:b/>
          <w:sz w:val="24"/>
        </w:rPr>
        <w:t>sample </w:t>
      </w:r>
      <w:r>
        <w:rPr>
          <w:b/>
          <w:spacing w:val="-10"/>
          <w:sz w:val="24"/>
        </w:rPr>
        <w:t>A</w:t>
      </w:r>
    </w:p>
    <w:p>
      <w:pPr>
        <w:spacing w:after="0"/>
        <w:jc w:val="left"/>
        <w:rPr>
          <w:sz w:val="24"/>
        </w:rPr>
        <w:sectPr>
          <w:footerReference w:type="default" r:id="rId31"/>
          <w:pgSz w:w="12240" w:h="15840"/>
          <w:pgMar w:header="0" w:footer="0" w:top="1540" w:bottom="280" w:left="1420" w:right="440"/>
        </w:sectPr>
      </w:pPr>
    </w:p>
    <w:p>
      <w:pPr>
        <w:pStyle w:val="BodyText"/>
        <w:ind w:left="380"/>
        <w:rPr>
          <w:sz w:val="20"/>
        </w:rPr>
      </w:pPr>
      <w:r>
        <w:rPr>
          <w:sz w:val="20"/>
        </w:rPr>
        <w:drawing>
          <wp:inline distT="0" distB="0" distL="0" distR="0">
            <wp:extent cx="5682789" cy="7794307"/>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4" cstate="print"/>
                    <a:stretch>
                      <a:fillRect/>
                    </a:stretch>
                  </pic:blipFill>
                  <pic:spPr>
                    <a:xfrm>
                      <a:off x="0" y="0"/>
                      <a:ext cx="5682789" cy="7794307"/>
                    </a:xfrm>
                    <a:prstGeom prst="rect">
                      <a:avLst/>
                    </a:prstGeom>
                  </pic:spPr>
                </pic:pic>
              </a:graphicData>
            </a:graphic>
          </wp:inline>
        </w:drawing>
      </w:r>
      <w:r>
        <w:rPr>
          <w:sz w:val="20"/>
        </w:rPr>
      </w:r>
    </w:p>
    <w:p>
      <w:pPr>
        <w:pStyle w:val="BodyText"/>
        <w:spacing w:before="4"/>
        <w:rPr>
          <w:b/>
        </w:rPr>
      </w:pPr>
    </w:p>
    <w:p>
      <w:pPr>
        <w:spacing w:before="0"/>
        <w:ind w:left="531" w:right="0" w:firstLine="0"/>
        <w:jc w:val="left"/>
        <w:rPr>
          <w:b/>
          <w:sz w:val="24"/>
        </w:rPr>
      </w:pPr>
      <w:r>
        <w:rPr>
          <w:b/>
          <w:sz w:val="24"/>
        </w:rPr>
        <w:t>Figure</w:t>
      </w:r>
      <w:r>
        <w:rPr>
          <w:b/>
          <w:spacing w:val="-2"/>
          <w:sz w:val="24"/>
        </w:rPr>
        <w:t> </w:t>
      </w:r>
      <w:r>
        <w:rPr>
          <w:b/>
          <w:sz w:val="24"/>
        </w:rPr>
        <w:t>4.7:</w:t>
      </w:r>
      <w:r>
        <w:rPr>
          <w:b/>
          <w:spacing w:val="-1"/>
          <w:sz w:val="24"/>
        </w:rPr>
        <w:t> </w:t>
      </w:r>
      <w:r>
        <w:rPr>
          <w:b/>
          <w:sz w:val="24"/>
        </w:rPr>
        <w:t>UV</w:t>
      </w:r>
      <w:r>
        <w:rPr>
          <w:b/>
          <w:spacing w:val="-1"/>
          <w:sz w:val="24"/>
        </w:rPr>
        <w:t> </w:t>
      </w:r>
      <w:r>
        <w:rPr>
          <w:b/>
          <w:sz w:val="24"/>
        </w:rPr>
        <w:t>spectrum</w:t>
      </w:r>
      <w:r>
        <w:rPr>
          <w:b/>
          <w:spacing w:val="-5"/>
          <w:sz w:val="24"/>
        </w:rPr>
        <w:t> </w:t>
      </w:r>
      <w:r>
        <w:rPr>
          <w:b/>
          <w:sz w:val="24"/>
        </w:rPr>
        <w:t>of</w:t>
      </w:r>
      <w:r>
        <w:rPr>
          <w:b/>
          <w:spacing w:val="1"/>
          <w:sz w:val="24"/>
        </w:rPr>
        <w:t> </w:t>
      </w:r>
      <w:r>
        <w:rPr>
          <w:b/>
          <w:sz w:val="24"/>
        </w:rPr>
        <w:t>sample </w:t>
      </w:r>
      <w:r>
        <w:rPr>
          <w:b/>
          <w:spacing w:val="-10"/>
          <w:sz w:val="24"/>
        </w:rPr>
        <w:t>B</w:t>
      </w:r>
    </w:p>
    <w:p>
      <w:pPr>
        <w:spacing w:after="0"/>
        <w:jc w:val="left"/>
        <w:rPr>
          <w:sz w:val="24"/>
        </w:rPr>
        <w:sectPr>
          <w:footerReference w:type="default" r:id="rId33"/>
          <w:pgSz w:w="12240" w:h="15840"/>
          <w:pgMar w:header="0" w:footer="1068" w:top="1620" w:bottom="1260" w:left="1420" w:right="440"/>
          <w:pgNumType w:start="100"/>
        </w:sectPr>
      </w:pPr>
    </w:p>
    <w:p>
      <w:pPr>
        <w:pStyle w:val="BodyText"/>
        <w:ind w:left="380"/>
        <w:rPr>
          <w:sz w:val="20"/>
        </w:rPr>
      </w:pPr>
      <w:r>
        <w:rPr>
          <w:sz w:val="20"/>
        </w:rPr>
        <w:drawing>
          <wp:inline distT="0" distB="0" distL="0" distR="0">
            <wp:extent cx="5991283" cy="7534656"/>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35" cstate="print"/>
                    <a:stretch>
                      <a:fillRect/>
                    </a:stretch>
                  </pic:blipFill>
                  <pic:spPr>
                    <a:xfrm>
                      <a:off x="0" y="0"/>
                      <a:ext cx="5991283" cy="7534656"/>
                    </a:xfrm>
                    <a:prstGeom prst="rect">
                      <a:avLst/>
                    </a:prstGeom>
                  </pic:spPr>
                </pic:pic>
              </a:graphicData>
            </a:graphic>
          </wp:inline>
        </w:drawing>
      </w:r>
      <w:r>
        <w:rPr>
          <w:sz w:val="20"/>
        </w:rPr>
      </w:r>
    </w:p>
    <w:p>
      <w:pPr>
        <w:spacing w:before="68"/>
        <w:ind w:left="589" w:right="0" w:firstLine="0"/>
        <w:jc w:val="left"/>
        <w:rPr>
          <w:b/>
          <w:sz w:val="24"/>
        </w:rPr>
      </w:pPr>
      <w:r>
        <w:rPr>
          <w:b/>
          <w:sz w:val="24"/>
        </w:rPr>
        <w:t>Figure</w:t>
      </w:r>
      <w:r>
        <w:rPr>
          <w:b/>
          <w:spacing w:val="-2"/>
          <w:sz w:val="24"/>
        </w:rPr>
        <w:t> </w:t>
      </w:r>
      <w:r>
        <w:rPr>
          <w:b/>
          <w:sz w:val="24"/>
        </w:rPr>
        <w:t>4.8:</w:t>
      </w:r>
      <w:r>
        <w:rPr>
          <w:b/>
          <w:spacing w:val="-1"/>
          <w:sz w:val="24"/>
        </w:rPr>
        <w:t> </w:t>
      </w:r>
      <w:r>
        <w:rPr>
          <w:b/>
          <w:sz w:val="24"/>
        </w:rPr>
        <w:t>UV</w:t>
      </w:r>
      <w:r>
        <w:rPr>
          <w:b/>
          <w:spacing w:val="-1"/>
          <w:sz w:val="24"/>
        </w:rPr>
        <w:t> </w:t>
      </w:r>
      <w:r>
        <w:rPr>
          <w:b/>
          <w:sz w:val="24"/>
        </w:rPr>
        <w:t>spectrum</w:t>
      </w:r>
      <w:r>
        <w:rPr>
          <w:b/>
          <w:spacing w:val="-5"/>
          <w:sz w:val="24"/>
        </w:rPr>
        <w:t> </w:t>
      </w:r>
      <w:r>
        <w:rPr>
          <w:b/>
          <w:sz w:val="24"/>
        </w:rPr>
        <w:t>of</w:t>
      </w:r>
      <w:r>
        <w:rPr>
          <w:b/>
          <w:spacing w:val="1"/>
          <w:sz w:val="24"/>
        </w:rPr>
        <w:t> </w:t>
      </w:r>
      <w:r>
        <w:rPr>
          <w:b/>
          <w:sz w:val="24"/>
        </w:rPr>
        <w:t>sample </w:t>
      </w:r>
      <w:r>
        <w:rPr>
          <w:b/>
          <w:spacing w:val="-10"/>
          <w:sz w:val="24"/>
        </w:rPr>
        <w:t>C</w:t>
      </w:r>
    </w:p>
    <w:p>
      <w:pPr>
        <w:spacing w:after="0"/>
        <w:jc w:val="left"/>
        <w:rPr>
          <w:sz w:val="24"/>
        </w:rPr>
        <w:sectPr>
          <w:pgSz w:w="12240" w:h="15840"/>
          <w:pgMar w:header="0" w:footer="1068" w:top="1620" w:bottom="1260" w:left="1420" w:right="440"/>
        </w:sectPr>
      </w:pPr>
    </w:p>
    <w:p>
      <w:pPr>
        <w:pStyle w:val="BodyText"/>
        <w:ind w:left="380"/>
        <w:rPr>
          <w:sz w:val="20"/>
        </w:rPr>
      </w:pPr>
      <w:r>
        <w:rPr>
          <w:sz w:val="20"/>
        </w:rPr>
        <w:drawing>
          <wp:inline distT="0" distB="0" distL="0" distR="0">
            <wp:extent cx="5478941" cy="7534656"/>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36" cstate="print"/>
                    <a:stretch>
                      <a:fillRect/>
                    </a:stretch>
                  </pic:blipFill>
                  <pic:spPr>
                    <a:xfrm>
                      <a:off x="0" y="0"/>
                      <a:ext cx="5478941" cy="7534656"/>
                    </a:xfrm>
                    <a:prstGeom prst="rect">
                      <a:avLst/>
                    </a:prstGeom>
                  </pic:spPr>
                </pic:pic>
              </a:graphicData>
            </a:graphic>
          </wp:inline>
        </w:drawing>
      </w:r>
      <w:r>
        <w:rPr>
          <w:sz w:val="20"/>
        </w:rPr>
      </w:r>
    </w:p>
    <w:p>
      <w:pPr>
        <w:spacing w:before="63"/>
        <w:ind w:left="404" w:right="0" w:firstLine="0"/>
        <w:jc w:val="left"/>
        <w:rPr>
          <w:b/>
          <w:sz w:val="24"/>
        </w:rPr>
      </w:pPr>
      <w:r>
        <w:rPr>
          <w:b/>
          <w:sz w:val="24"/>
        </w:rPr>
        <w:t>Figure</w:t>
      </w:r>
      <w:r>
        <w:rPr>
          <w:b/>
          <w:spacing w:val="-2"/>
          <w:sz w:val="24"/>
        </w:rPr>
        <w:t> </w:t>
      </w:r>
      <w:r>
        <w:rPr>
          <w:b/>
          <w:sz w:val="24"/>
        </w:rPr>
        <w:t>4.9:</w:t>
      </w:r>
      <w:r>
        <w:rPr>
          <w:b/>
          <w:spacing w:val="-1"/>
          <w:sz w:val="24"/>
        </w:rPr>
        <w:t> </w:t>
      </w:r>
      <w:r>
        <w:rPr>
          <w:b/>
          <w:sz w:val="24"/>
        </w:rPr>
        <w:t>UV</w:t>
      </w:r>
      <w:r>
        <w:rPr>
          <w:b/>
          <w:spacing w:val="-1"/>
          <w:sz w:val="24"/>
        </w:rPr>
        <w:t> </w:t>
      </w:r>
      <w:r>
        <w:rPr>
          <w:b/>
          <w:sz w:val="24"/>
        </w:rPr>
        <w:t>spectrum</w:t>
      </w:r>
      <w:r>
        <w:rPr>
          <w:b/>
          <w:spacing w:val="-5"/>
          <w:sz w:val="24"/>
        </w:rPr>
        <w:t> </w:t>
      </w:r>
      <w:r>
        <w:rPr>
          <w:b/>
          <w:sz w:val="24"/>
        </w:rPr>
        <w:t>of</w:t>
      </w:r>
      <w:r>
        <w:rPr>
          <w:b/>
          <w:spacing w:val="1"/>
          <w:sz w:val="24"/>
        </w:rPr>
        <w:t> </w:t>
      </w:r>
      <w:r>
        <w:rPr>
          <w:b/>
          <w:sz w:val="24"/>
        </w:rPr>
        <w:t>sample </w:t>
      </w:r>
      <w:r>
        <w:rPr>
          <w:b/>
          <w:spacing w:val="-10"/>
          <w:sz w:val="24"/>
        </w:rPr>
        <w:t>D</w:t>
      </w:r>
    </w:p>
    <w:p>
      <w:pPr>
        <w:spacing w:after="0"/>
        <w:jc w:val="left"/>
        <w:rPr>
          <w:sz w:val="24"/>
        </w:rPr>
        <w:sectPr>
          <w:pgSz w:w="12240" w:h="15840"/>
          <w:pgMar w:header="0" w:footer="1068" w:top="1620" w:bottom="1260" w:left="1420" w:right="440"/>
        </w:sectPr>
      </w:pPr>
    </w:p>
    <w:p>
      <w:pPr>
        <w:pStyle w:val="BodyText"/>
        <w:ind w:left="380"/>
        <w:rPr>
          <w:sz w:val="20"/>
        </w:rPr>
      </w:pPr>
      <w:r>
        <w:rPr>
          <w:sz w:val="20"/>
        </w:rPr>
        <mc:AlternateContent>
          <mc:Choice Requires="wps">
            <w:drawing>
              <wp:inline distT="0" distB="0" distL="0" distR="0">
                <wp:extent cx="5744210" cy="7867015"/>
                <wp:effectExtent l="0" t="0" r="0" b="634"/>
                <wp:docPr id="55" name="Group 55"/>
                <wp:cNvGraphicFramePr>
                  <a:graphicFrameLocks/>
                </wp:cNvGraphicFramePr>
                <a:graphic>
                  <a:graphicData uri="http://schemas.microsoft.com/office/word/2010/wordprocessingGroup">
                    <wpg:wgp>
                      <wpg:cNvPr id="55" name="Group 55"/>
                      <wpg:cNvGrpSpPr/>
                      <wpg:grpSpPr>
                        <a:xfrm>
                          <a:off x="0" y="0"/>
                          <a:ext cx="5744210" cy="7867015"/>
                          <a:chExt cx="5744210" cy="7867015"/>
                        </a:xfrm>
                      </wpg:grpSpPr>
                      <pic:pic>
                        <pic:nvPicPr>
                          <pic:cNvPr id="56" name="Image 56"/>
                          <pic:cNvPicPr/>
                        </pic:nvPicPr>
                        <pic:blipFill>
                          <a:blip r:embed="rId37" cstate="print"/>
                          <a:stretch>
                            <a:fillRect/>
                          </a:stretch>
                        </pic:blipFill>
                        <pic:spPr>
                          <a:xfrm>
                            <a:off x="0" y="0"/>
                            <a:ext cx="5744209" cy="7867015"/>
                          </a:xfrm>
                          <a:prstGeom prst="rect">
                            <a:avLst/>
                          </a:prstGeom>
                        </pic:spPr>
                      </pic:pic>
                      <wps:wsp>
                        <wps:cNvPr id="57" name="Graphic 57"/>
                        <wps:cNvSpPr/>
                        <wps:spPr>
                          <a:xfrm>
                            <a:off x="2042160" y="267334"/>
                            <a:ext cx="975994" cy="441325"/>
                          </a:xfrm>
                          <a:custGeom>
                            <a:avLst/>
                            <a:gdLst/>
                            <a:ahLst/>
                            <a:cxnLst/>
                            <a:rect l="l" t="t" r="r" b="b"/>
                            <a:pathLst>
                              <a:path w="975994" h="441325">
                                <a:moveTo>
                                  <a:pt x="975994" y="0"/>
                                </a:moveTo>
                                <a:lnTo>
                                  <a:pt x="0" y="0"/>
                                </a:lnTo>
                                <a:lnTo>
                                  <a:pt x="0" y="441325"/>
                                </a:lnTo>
                                <a:lnTo>
                                  <a:pt x="975994" y="441325"/>
                                </a:lnTo>
                                <a:lnTo>
                                  <a:pt x="97599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452.3pt;height:619.450pt;mso-position-horizontal-relative:char;mso-position-vertical-relative:line" id="docshapegroup38" coordorigin="0,0" coordsize="9046,12389">
                <v:shape style="position:absolute;left:0;top:0;width:9046;height:12389" type="#_x0000_t75" id="docshape39" stroked="false">
                  <v:imagedata r:id="rId37" o:title=""/>
                </v:shape>
                <v:rect style="position:absolute;left:3216;top:421;width:1537;height:695" id="docshape40" filled="true" fillcolor="#ffffff" stroked="false">
                  <v:fill type="solid"/>
                </v:rect>
              </v:group>
            </w:pict>
          </mc:Fallback>
        </mc:AlternateContent>
      </w:r>
      <w:r>
        <w:rPr>
          <w:sz w:val="20"/>
        </w:rPr>
      </w:r>
    </w:p>
    <w:p>
      <w:pPr>
        <w:spacing w:before="0"/>
        <w:ind w:left="380" w:right="0" w:firstLine="0"/>
        <w:jc w:val="left"/>
        <w:rPr>
          <w:b/>
          <w:sz w:val="24"/>
        </w:rPr>
      </w:pPr>
      <w:r>
        <w:rPr>
          <w:b/>
          <w:sz w:val="24"/>
        </w:rPr>
        <w:t>Figure</w:t>
      </w:r>
      <w:r>
        <w:rPr>
          <w:b/>
          <w:spacing w:val="-2"/>
          <w:sz w:val="24"/>
        </w:rPr>
        <w:t> </w:t>
      </w:r>
      <w:r>
        <w:rPr>
          <w:b/>
          <w:sz w:val="24"/>
        </w:rPr>
        <w:t>4.10:</w:t>
      </w:r>
      <w:r>
        <w:rPr>
          <w:b/>
          <w:spacing w:val="-2"/>
          <w:sz w:val="24"/>
        </w:rPr>
        <w:t> </w:t>
      </w:r>
      <w:r>
        <w:rPr>
          <w:b/>
          <w:sz w:val="24"/>
        </w:rPr>
        <w:t>UV</w:t>
      </w:r>
      <w:r>
        <w:rPr>
          <w:b/>
          <w:spacing w:val="-1"/>
          <w:sz w:val="24"/>
        </w:rPr>
        <w:t> </w:t>
      </w:r>
      <w:r>
        <w:rPr>
          <w:b/>
          <w:sz w:val="24"/>
        </w:rPr>
        <w:t>spectrum</w:t>
      </w:r>
      <w:r>
        <w:rPr>
          <w:b/>
          <w:spacing w:val="-5"/>
          <w:sz w:val="24"/>
        </w:rPr>
        <w:t> </w:t>
      </w:r>
      <w:r>
        <w:rPr>
          <w:b/>
          <w:sz w:val="24"/>
        </w:rPr>
        <w:t>of sample E</w:t>
      </w:r>
      <w:r>
        <w:rPr>
          <w:b/>
          <w:spacing w:val="-1"/>
          <w:sz w:val="24"/>
        </w:rPr>
        <w:t> </w:t>
      </w:r>
      <w:r>
        <w:rPr>
          <w:b/>
          <w:sz w:val="24"/>
        </w:rPr>
        <w:t>(Standard </w:t>
      </w:r>
      <w:r>
        <w:rPr>
          <w:b/>
          <w:spacing w:val="-2"/>
          <w:sz w:val="24"/>
        </w:rPr>
        <w:t>powder)</w:t>
      </w:r>
    </w:p>
    <w:p>
      <w:pPr>
        <w:spacing w:after="0"/>
        <w:jc w:val="left"/>
        <w:rPr>
          <w:sz w:val="24"/>
        </w:rPr>
        <w:sectPr>
          <w:pgSz w:w="12240" w:h="15840"/>
          <w:pgMar w:header="0" w:footer="1068" w:top="1620" w:bottom="1260" w:left="1420" w:right="440"/>
        </w:sectPr>
      </w:pPr>
    </w:p>
    <w:p>
      <w:pPr>
        <w:pStyle w:val="Heading2"/>
        <w:numPr>
          <w:ilvl w:val="1"/>
          <w:numId w:val="30"/>
        </w:numPr>
        <w:tabs>
          <w:tab w:pos="2408" w:val="left" w:leader="none"/>
        </w:tabs>
        <w:spacing w:line="240" w:lineRule="auto" w:before="77" w:after="0"/>
        <w:ind w:left="2408" w:right="0" w:hanging="360"/>
        <w:jc w:val="both"/>
      </w:pPr>
      <w:bookmarkStart w:name="_TOC_250004" w:id="80"/>
      <w:r>
        <w:rPr/>
        <w:t>BP</w:t>
      </w:r>
      <w:r>
        <w:rPr>
          <w:spacing w:val="-4"/>
        </w:rPr>
        <w:t> </w:t>
      </w:r>
      <w:r>
        <w:rPr/>
        <w:t>2009</w:t>
      </w:r>
      <w:r>
        <w:rPr>
          <w:spacing w:val="-1"/>
        </w:rPr>
        <w:t> </w:t>
      </w:r>
      <w:r>
        <w:rPr/>
        <w:t>specification for</w:t>
      </w:r>
      <w:r>
        <w:rPr>
          <w:spacing w:val="-2"/>
        </w:rPr>
        <w:t> </w:t>
      </w:r>
      <w:r>
        <w:rPr/>
        <w:t>tinidazole</w:t>
      </w:r>
      <w:r>
        <w:rPr>
          <w:spacing w:val="-1"/>
        </w:rPr>
        <w:t> </w:t>
      </w:r>
      <w:bookmarkEnd w:id="80"/>
      <w:r>
        <w:rPr>
          <w:spacing w:val="-2"/>
        </w:rPr>
        <w:t>identification</w:t>
      </w:r>
    </w:p>
    <w:p>
      <w:pPr>
        <w:pStyle w:val="BodyText"/>
        <w:spacing w:line="480" w:lineRule="auto" w:before="271"/>
        <w:ind w:left="380" w:right="1267"/>
        <w:jc w:val="both"/>
      </w:pPr>
      <w:r>
        <w:rPr/>
        <w:t>According to BP 2009, the first line identification tools for tinidazole pure powder and tablets are the melting point determination and the FTIR spectroscopy. The standard melting point of tinidazole pure powder, is in the range of 125 °C to 128 °C based on that, the melting of standard powder and each brand was also determine</w:t>
      </w:r>
    </w:p>
    <w:p>
      <w:pPr>
        <w:pStyle w:val="Heading2"/>
        <w:numPr>
          <w:ilvl w:val="1"/>
          <w:numId w:val="30"/>
        </w:numPr>
        <w:tabs>
          <w:tab w:pos="3949" w:val="left" w:leader="none"/>
        </w:tabs>
        <w:spacing w:line="240" w:lineRule="auto" w:before="5" w:after="0"/>
        <w:ind w:left="3949" w:right="0" w:hanging="360"/>
        <w:jc w:val="both"/>
      </w:pPr>
      <w:bookmarkStart w:name="_TOC_250003" w:id="81"/>
      <w:r>
        <w:rPr/>
        <w:t>Result</w:t>
      </w:r>
      <w:r>
        <w:rPr>
          <w:spacing w:val="-1"/>
        </w:rPr>
        <w:t> </w:t>
      </w:r>
      <w:r>
        <w:rPr/>
        <w:t>of</w:t>
      </w:r>
      <w:r>
        <w:rPr>
          <w:spacing w:val="-1"/>
        </w:rPr>
        <w:t> </w:t>
      </w:r>
      <w:r>
        <w:rPr/>
        <w:t>the</w:t>
      </w:r>
      <w:r>
        <w:rPr>
          <w:spacing w:val="-1"/>
        </w:rPr>
        <w:t> </w:t>
      </w:r>
      <w:bookmarkEnd w:id="81"/>
      <w:r>
        <w:rPr>
          <w:spacing w:val="-2"/>
        </w:rPr>
        <w:t>Assay</w:t>
      </w:r>
    </w:p>
    <w:p>
      <w:pPr>
        <w:pStyle w:val="BodyText"/>
        <w:spacing w:before="49"/>
        <w:rPr>
          <w:b/>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9"/>
        <w:gridCol w:w="1342"/>
        <w:gridCol w:w="1443"/>
        <w:gridCol w:w="1443"/>
        <w:gridCol w:w="1442"/>
        <w:gridCol w:w="1570"/>
      </w:tblGrid>
      <w:tr>
        <w:trPr>
          <w:trHeight w:val="551" w:hRule="atLeast"/>
        </w:trPr>
        <w:tc>
          <w:tcPr>
            <w:tcW w:w="1719" w:type="dxa"/>
            <w:tcBorders>
              <w:top w:val="single" w:sz="8" w:space="0" w:color="000000"/>
              <w:bottom w:val="single" w:sz="8" w:space="0" w:color="000000"/>
            </w:tcBorders>
          </w:tcPr>
          <w:p>
            <w:pPr>
              <w:pStyle w:val="TableParagraph"/>
              <w:ind w:left="122"/>
              <w:rPr>
                <w:b/>
                <w:sz w:val="24"/>
              </w:rPr>
            </w:pPr>
            <w:r>
              <w:rPr>
                <w:b/>
                <w:spacing w:val="-2"/>
                <w:sz w:val="24"/>
              </w:rPr>
              <w:t>Brands</w:t>
            </w:r>
          </w:p>
        </w:tc>
        <w:tc>
          <w:tcPr>
            <w:tcW w:w="1342" w:type="dxa"/>
            <w:tcBorders>
              <w:top w:val="single" w:sz="8" w:space="0" w:color="000000"/>
              <w:bottom w:val="single" w:sz="8" w:space="0" w:color="000000"/>
            </w:tcBorders>
          </w:tcPr>
          <w:p>
            <w:pPr>
              <w:pStyle w:val="TableParagraph"/>
              <w:ind w:left="107"/>
              <w:rPr>
                <w:b/>
                <w:sz w:val="24"/>
              </w:rPr>
            </w:pPr>
            <w:r>
              <w:rPr>
                <w:b/>
                <w:spacing w:val="-10"/>
                <w:sz w:val="24"/>
              </w:rPr>
              <w:t>A</w:t>
            </w:r>
          </w:p>
        </w:tc>
        <w:tc>
          <w:tcPr>
            <w:tcW w:w="1443" w:type="dxa"/>
            <w:tcBorders>
              <w:top w:val="single" w:sz="8" w:space="0" w:color="000000"/>
              <w:bottom w:val="single" w:sz="8" w:space="0" w:color="000000"/>
            </w:tcBorders>
          </w:tcPr>
          <w:p>
            <w:pPr>
              <w:pStyle w:val="TableParagraph"/>
              <w:ind w:left="208"/>
              <w:rPr>
                <w:b/>
                <w:sz w:val="24"/>
              </w:rPr>
            </w:pPr>
            <w:r>
              <w:rPr>
                <w:b/>
                <w:spacing w:val="-10"/>
                <w:sz w:val="24"/>
              </w:rPr>
              <w:t>B</w:t>
            </w:r>
          </w:p>
        </w:tc>
        <w:tc>
          <w:tcPr>
            <w:tcW w:w="1443" w:type="dxa"/>
            <w:tcBorders>
              <w:top w:val="single" w:sz="8" w:space="0" w:color="000000"/>
              <w:bottom w:val="single" w:sz="8" w:space="0" w:color="000000"/>
            </w:tcBorders>
          </w:tcPr>
          <w:p>
            <w:pPr>
              <w:pStyle w:val="TableParagraph"/>
              <w:ind w:left="210"/>
              <w:rPr>
                <w:b/>
                <w:sz w:val="24"/>
              </w:rPr>
            </w:pPr>
            <w:r>
              <w:rPr>
                <w:b/>
                <w:spacing w:val="-10"/>
                <w:sz w:val="24"/>
              </w:rPr>
              <w:t>C</w:t>
            </w:r>
          </w:p>
        </w:tc>
        <w:tc>
          <w:tcPr>
            <w:tcW w:w="1442" w:type="dxa"/>
            <w:tcBorders>
              <w:top w:val="single" w:sz="8" w:space="0" w:color="000000"/>
              <w:bottom w:val="single" w:sz="8" w:space="0" w:color="000000"/>
            </w:tcBorders>
          </w:tcPr>
          <w:p>
            <w:pPr>
              <w:pStyle w:val="TableParagraph"/>
              <w:ind w:left="209"/>
              <w:rPr>
                <w:b/>
                <w:sz w:val="24"/>
              </w:rPr>
            </w:pPr>
            <w:r>
              <w:rPr>
                <w:b/>
                <w:spacing w:val="-10"/>
                <w:sz w:val="24"/>
              </w:rPr>
              <w:t>D</w:t>
            </w:r>
          </w:p>
        </w:tc>
        <w:tc>
          <w:tcPr>
            <w:tcW w:w="1570" w:type="dxa"/>
            <w:tcBorders>
              <w:top w:val="single" w:sz="8" w:space="0" w:color="000000"/>
              <w:bottom w:val="single" w:sz="8" w:space="0" w:color="000000"/>
            </w:tcBorders>
          </w:tcPr>
          <w:p>
            <w:pPr>
              <w:pStyle w:val="TableParagraph"/>
              <w:ind w:left="210"/>
              <w:rPr>
                <w:b/>
                <w:sz w:val="24"/>
              </w:rPr>
            </w:pPr>
            <w:r>
              <w:rPr>
                <w:b/>
                <w:sz w:val="24"/>
              </w:rPr>
              <w:t>Std</w:t>
            </w:r>
            <w:r>
              <w:rPr>
                <w:b/>
                <w:spacing w:val="-2"/>
                <w:sz w:val="24"/>
              </w:rPr>
              <w:t> Powder</w:t>
            </w:r>
          </w:p>
        </w:tc>
      </w:tr>
      <w:tr>
        <w:trPr>
          <w:trHeight w:val="1103" w:hRule="atLeast"/>
        </w:trPr>
        <w:tc>
          <w:tcPr>
            <w:tcW w:w="1719" w:type="dxa"/>
            <w:tcBorders>
              <w:top w:val="single" w:sz="8" w:space="0" w:color="000000"/>
            </w:tcBorders>
            <w:shd w:val="clear" w:color="auto" w:fill="C0C0C0"/>
          </w:tcPr>
          <w:p>
            <w:pPr>
              <w:pStyle w:val="TableParagraph"/>
              <w:tabs>
                <w:tab w:pos="710" w:val="left" w:leader="none"/>
                <w:tab w:pos="1139" w:val="left" w:leader="none"/>
              </w:tabs>
              <w:spacing w:line="275" w:lineRule="exact"/>
              <w:ind w:left="122"/>
              <w:rPr>
                <w:b/>
                <w:sz w:val="24"/>
              </w:rPr>
            </w:pPr>
            <w:r>
              <w:rPr>
                <w:b/>
                <w:spacing w:val="-5"/>
                <w:sz w:val="24"/>
              </w:rPr>
              <w:t>Vol</w:t>
            </w:r>
            <w:r>
              <w:rPr>
                <w:b/>
                <w:sz w:val="24"/>
              </w:rPr>
              <w:tab/>
            </w:r>
            <w:r>
              <w:rPr>
                <w:b/>
                <w:spacing w:val="-5"/>
                <w:sz w:val="24"/>
              </w:rPr>
              <w:t>of</w:t>
            </w:r>
            <w:r>
              <w:rPr>
                <w:b/>
                <w:sz w:val="24"/>
              </w:rPr>
              <w:tab/>
            </w:r>
            <w:r>
              <w:rPr>
                <w:b/>
                <w:spacing w:val="-4"/>
                <w:sz w:val="24"/>
              </w:rPr>
              <w:t>0.1N</w:t>
            </w:r>
          </w:p>
          <w:p>
            <w:pPr>
              <w:pStyle w:val="TableParagraph"/>
              <w:spacing w:line="240" w:lineRule="auto"/>
              <w:rPr>
                <w:b/>
                <w:sz w:val="24"/>
              </w:rPr>
            </w:pPr>
          </w:p>
          <w:p>
            <w:pPr>
              <w:pStyle w:val="TableParagraph"/>
              <w:spacing w:line="240" w:lineRule="auto"/>
              <w:ind w:left="122"/>
              <w:rPr>
                <w:b/>
                <w:sz w:val="24"/>
              </w:rPr>
            </w:pPr>
            <w:r>
              <w:rPr>
                <w:b/>
                <w:spacing w:val="-2"/>
                <w:sz w:val="24"/>
              </w:rPr>
              <w:t>HClO</w:t>
            </w:r>
            <w:r>
              <w:rPr>
                <w:b/>
                <w:spacing w:val="-2"/>
                <w:sz w:val="24"/>
                <w:vertAlign w:val="subscript"/>
              </w:rPr>
              <w:t>3</w:t>
            </w:r>
            <w:r>
              <w:rPr>
                <w:b/>
                <w:spacing w:val="-9"/>
                <w:sz w:val="24"/>
                <w:vertAlign w:val="baseline"/>
              </w:rPr>
              <w:t> </w:t>
            </w:r>
            <w:r>
              <w:rPr>
                <w:b/>
                <w:spacing w:val="-2"/>
                <w:sz w:val="24"/>
                <w:vertAlign w:val="baseline"/>
              </w:rPr>
              <w:t>(Ext.)</w:t>
            </w:r>
          </w:p>
        </w:tc>
        <w:tc>
          <w:tcPr>
            <w:tcW w:w="1342" w:type="dxa"/>
            <w:tcBorders>
              <w:top w:val="single" w:sz="8" w:space="0" w:color="000000"/>
            </w:tcBorders>
            <w:shd w:val="clear" w:color="auto" w:fill="C0C0C0"/>
          </w:tcPr>
          <w:p>
            <w:pPr>
              <w:pStyle w:val="TableParagraph"/>
              <w:spacing w:line="270" w:lineRule="exact"/>
              <w:ind w:left="107"/>
              <w:rPr>
                <w:sz w:val="24"/>
              </w:rPr>
            </w:pPr>
            <w:r>
              <w:rPr>
                <w:sz w:val="24"/>
              </w:rPr>
              <w:t>8.0 </w:t>
            </w:r>
            <w:r>
              <w:rPr>
                <w:spacing w:val="-5"/>
                <w:sz w:val="24"/>
              </w:rPr>
              <w:t>mL</w:t>
            </w:r>
          </w:p>
        </w:tc>
        <w:tc>
          <w:tcPr>
            <w:tcW w:w="1443" w:type="dxa"/>
            <w:tcBorders>
              <w:top w:val="single" w:sz="8" w:space="0" w:color="000000"/>
            </w:tcBorders>
            <w:shd w:val="clear" w:color="auto" w:fill="C0C0C0"/>
          </w:tcPr>
          <w:p>
            <w:pPr>
              <w:pStyle w:val="TableParagraph"/>
              <w:spacing w:line="270" w:lineRule="exact"/>
              <w:ind w:left="208"/>
              <w:rPr>
                <w:sz w:val="24"/>
              </w:rPr>
            </w:pPr>
            <w:r>
              <w:rPr>
                <w:sz w:val="24"/>
              </w:rPr>
              <w:t>7.8 </w:t>
            </w:r>
            <w:r>
              <w:rPr>
                <w:spacing w:val="-5"/>
                <w:sz w:val="24"/>
              </w:rPr>
              <w:t>mL</w:t>
            </w:r>
          </w:p>
        </w:tc>
        <w:tc>
          <w:tcPr>
            <w:tcW w:w="1443" w:type="dxa"/>
            <w:tcBorders>
              <w:top w:val="single" w:sz="8" w:space="0" w:color="000000"/>
            </w:tcBorders>
            <w:shd w:val="clear" w:color="auto" w:fill="C0C0C0"/>
          </w:tcPr>
          <w:p>
            <w:pPr>
              <w:pStyle w:val="TableParagraph"/>
              <w:spacing w:line="270" w:lineRule="exact"/>
              <w:ind w:left="210"/>
              <w:rPr>
                <w:sz w:val="24"/>
              </w:rPr>
            </w:pPr>
            <w:r>
              <w:rPr>
                <w:sz w:val="24"/>
              </w:rPr>
              <w:t>8.30 </w:t>
            </w:r>
            <w:r>
              <w:rPr>
                <w:spacing w:val="-5"/>
                <w:sz w:val="24"/>
              </w:rPr>
              <w:t>mL</w:t>
            </w:r>
          </w:p>
        </w:tc>
        <w:tc>
          <w:tcPr>
            <w:tcW w:w="1442" w:type="dxa"/>
            <w:tcBorders>
              <w:top w:val="single" w:sz="8" w:space="0" w:color="000000"/>
            </w:tcBorders>
            <w:shd w:val="clear" w:color="auto" w:fill="C0C0C0"/>
          </w:tcPr>
          <w:p>
            <w:pPr>
              <w:pStyle w:val="TableParagraph"/>
              <w:spacing w:line="270" w:lineRule="exact"/>
              <w:ind w:left="209"/>
              <w:rPr>
                <w:sz w:val="24"/>
              </w:rPr>
            </w:pPr>
            <w:r>
              <w:rPr>
                <w:sz w:val="24"/>
              </w:rPr>
              <w:t>8.10 </w:t>
            </w:r>
            <w:r>
              <w:rPr>
                <w:spacing w:val="-5"/>
                <w:sz w:val="24"/>
              </w:rPr>
              <w:t>mL</w:t>
            </w:r>
          </w:p>
        </w:tc>
        <w:tc>
          <w:tcPr>
            <w:tcW w:w="1570" w:type="dxa"/>
            <w:tcBorders>
              <w:top w:val="single" w:sz="8" w:space="0" w:color="000000"/>
            </w:tcBorders>
            <w:shd w:val="clear" w:color="auto" w:fill="C0C0C0"/>
          </w:tcPr>
          <w:p>
            <w:pPr>
              <w:pStyle w:val="TableParagraph"/>
              <w:spacing w:line="270" w:lineRule="exact"/>
              <w:ind w:left="210"/>
              <w:rPr>
                <w:sz w:val="24"/>
              </w:rPr>
            </w:pPr>
            <w:r>
              <w:rPr>
                <w:sz w:val="24"/>
              </w:rPr>
              <w:t>8.00 </w:t>
            </w:r>
            <w:r>
              <w:rPr>
                <w:spacing w:val="-5"/>
                <w:sz w:val="24"/>
              </w:rPr>
              <w:t>mL</w:t>
            </w:r>
          </w:p>
        </w:tc>
      </w:tr>
      <w:tr>
        <w:trPr>
          <w:trHeight w:val="1103" w:hRule="atLeast"/>
        </w:trPr>
        <w:tc>
          <w:tcPr>
            <w:tcW w:w="1719" w:type="dxa"/>
          </w:tcPr>
          <w:p>
            <w:pPr>
              <w:pStyle w:val="TableParagraph"/>
              <w:tabs>
                <w:tab w:pos="710" w:val="left" w:leader="none"/>
                <w:tab w:pos="1139" w:val="left" w:leader="none"/>
              </w:tabs>
              <w:ind w:left="122"/>
              <w:rPr>
                <w:b/>
                <w:sz w:val="24"/>
              </w:rPr>
            </w:pPr>
            <w:r>
              <w:rPr>
                <w:b/>
                <w:spacing w:val="-5"/>
                <w:sz w:val="24"/>
              </w:rPr>
              <w:t>Vol</w:t>
            </w:r>
            <w:r>
              <w:rPr>
                <w:b/>
                <w:sz w:val="24"/>
              </w:rPr>
              <w:tab/>
            </w:r>
            <w:r>
              <w:rPr>
                <w:b/>
                <w:spacing w:val="-5"/>
                <w:sz w:val="24"/>
              </w:rPr>
              <w:t>of</w:t>
            </w:r>
            <w:r>
              <w:rPr>
                <w:b/>
                <w:sz w:val="24"/>
              </w:rPr>
              <w:tab/>
            </w:r>
            <w:r>
              <w:rPr>
                <w:b/>
                <w:spacing w:val="-4"/>
                <w:sz w:val="24"/>
              </w:rPr>
              <w:t>0.1N</w:t>
            </w:r>
          </w:p>
          <w:p>
            <w:pPr>
              <w:pStyle w:val="TableParagraph"/>
              <w:spacing w:line="240" w:lineRule="auto"/>
              <w:rPr>
                <w:b/>
                <w:sz w:val="24"/>
              </w:rPr>
            </w:pPr>
          </w:p>
          <w:p>
            <w:pPr>
              <w:pStyle w:val="TableParagraph"/>
              <w:spacing w:line="240" w:lineRule="auto"/>
              <w:ind w:left="122"/>
              <w:rPr>
                <w:b/>
                <w:sz w:val="24"/>
              </w:rPr>
            </w:pPr>
            <w:r>
              <w:rPr>
                <w:b/>
                <w:spacing w:val="-2"/>
                <w:sz w:val="24"/>
              </w:rPr>
              <w:t>HClO</w:t>
            </w:r>
            <w:r>
              <w:rPr>
                <w:b/>
                <w:spacing w:val="-2"/>
                <w:sz w:val="24"/>
                <w:vertAlign w:val="subscript"/>
              </w:rPr>
              <w:t>3</w:t>
            </w:r>
            <w:r>
              <w:rPr>
                <w:b/>
                <w:spacing w:val="-9"/>
                <w:sz w:val="24"/>
                <w:vertAlign w:val="baseline"/>
              </w:rPr>
              <w:t> </w:t>
            </w:r>
            <w:r>
              <w:rPr>
                <w:b/>
                <w:spacing w:val="-2"/>
                <w:sz w:val="24"/>
                <w:vertAlign w:val="baseline"/>
              </w:rPr>
              <w:t>(Unex.)</w:t>
            </w:r>
          </w:p>
        </w:tc>
        <w:tc>
          <w:tcPr>
            <w:tcW w:w="1342" w:type="dxa"/>
          </w:tcPr>
          <w:p>
            <w:pPr>
              <w:pStyle w:val="TableParagraph"/>
              <w:spacing w:line="268" w:lineRule="exact"/>
              <w:ind w:left="107"/>
              <w:rPr>
                <w:sz w:val="24"/>
              </w:rPr>
            </w:pPr>
            <w:r>
              <w:rPr>
                <w:sz w:val="24"/>
              </w:rPr>
              <w:t>8.4 </w:t>
            </w:r>
            <w:r>
              <w:rPr>
                <w:spacing w:val="-5"/>
                <w:sz w:val="24"/>
              </w:rPr>
              <w:t>mL</w:t>
            </w:r>
          </w:p>
        </w:tc>
        <w:tc>
          <w:tcPr>
            <w:tcW w:w="1443" w:type="dxa"/>
          </w:tcPr>
          <w:p>
            <w:pPr>
              <w:pStyle w:val="TableParagraph"/>
              <w:spacing w:line="268" w:lineRule="exact"/>
              <w:ind w:left="208"/>
              <w:rPr>
                <w:sz w:val="24"/>
              </w:rPr>
            </w:pPr>
            <w:r>
              <w:rPr>
                <w:sz w:val="24"/>
              </w:rPr>
              <w:t>7.5 </w:t>
            </w:r>
            <w:r>
              <w:rPr>
                <w:spacing w:val="-5"/>
                <w:sz w:val="24"/>
              </w:rPr>
              <w:t>mL</w:t>
            </w:r>
          </w:p>
        </w:tc>
        <w:tc>
          <w:tcPr>
            <w:tcW w:w="1443" w:type="dxa"/>
          </w:tcPr>
          <w:p>
            <w:pPr>
              <w:pStyle w:val="TableParagraph"/>
              <w:spacing w:line="268" w:lineRule="exact"/>
              <w:ind w:left="210"/>
              <w:rPr>
                <w:sz w:val="24"/>
              </w:rPr>
            </w:pPr>
            <w:r>
              <w:rPr>
                <w:sz w:val="24"/>
              </w:rPr>
              <w:t>8.00 </w:t>
            </w:r>
            <w:r>
              <w:rPr>
                <w:spacing w:val="-5"/>
                <w:sz w:val="24"/>
              </w:rPr>
              <w:t>mL</w:t>
            </w:r>
          </w:p>
        </w:tc>
        <w:tc>
          <w:tcPr>
            <w:tcW w:w="1442" w:type="dxa"/>
          </w:tcPr>
          <w:p>
            <w:pPr>
              <w:pStyle w:val="TableParagraph"/>
              <w:spacing w:line="268" w:lineRule="exact"/>
              <w:ind w:left="209"/>
              <w:rPr>
                <w:sz w:val="24"/>
              </w:rPr>
            </w:pPr>
            <w:r>
              <w:rPr>
                <w:sz w:val="24"/>
              </w:rPr>
              <w:t>7.20 </w:t>
            </w:r>
            <w:r>
              <w:rPr>
                <w:spacing w:val="-5"/>
                <w:sz w:val="24"/>
              </w:rPr>
              <w:t>mL</w:t>
            </w:r>
          </w:p>
        </w:tc>
        <w:tc>
          <w:tcPr>
            <w:tcW w:w="1570" w:type="dxa"/>
          </w:tcPr>
          <w:p>
            <w:pPr>
              <w:pStyle w:val="TableParagraph"/>
              <w:spacing w:line="268" w:lineRule="exact"/>
              <w:ind w:left="210"/>
              <w:rPr>
                <w:sz w:val="24"/>
              </w:rPr>
            </w:pPr>
            <w:r>
              <w:rPr>
                <w:sz w:val="24"/>
              </w:rPr>
              <w:t>8.00 </w:t>
            </w:r>
            <w:r>
              <w:rPr>
                <w:spacing w:val="-5"/>
                <w:sz w:val="24"/>
              </w:rPr>
              <w:t>mL</w:t>
            </w:r>
          </w:p>
        </w:tc>
      </w:tr>
      <w:tr>
        <w:trPr>
          <w:trHeight w:val="1106" w:hRule="atLeast"/>
        </w:trPr>
        <w:tc>
          <w:tcPr>
            <w:tcW w:w="1719" w:type="dxa"/>
            <w:tcBorders>
              <w:bottom w:val="single" w:sz="8" w:space="0" w:color="000000"/>
            </w:tcBorders>
            <w:shd w:val="clear" w:color="auto" w:fill="C0C0C0"/>
          </w:tcPr>
          <w:p>
            <w:pPr>
              <w:pStyle w:val="TableParagraph"/>
              <w:ind w:left="122"/>
              <w:rPr>
                <w:b/>
                <w:sz w:val="24"/>
              </w:rPr>
            </w:pPr>
            <w:r>
              <w:rPr>
                <w:b/>
                <w:spacing w:val="-2"/>
                <w:sz w:val="24"/>
              </w:rPr>
              <w:t>Average</w:t>
            </w:r>
          </w:p>
          <w:p>
            <w:pPr>
              <w:pStyle w:val="TableParagraph"/>
              <w:spacing w:line="240" w:lineRule="auto"/>
              <w:rPr>
                <w:b/>
                <w:sz w:val="24"/>
              </w:rPr>
            </w:pPr>
          </w:p>
          <w:p>
            <w:pPr>
              <w:pStyle w:val="TableParagraph"/>
              <w:spacing w:line="240" w:lineRule="auto"/>
              <w:ind w:left="122"/>
              <w:rPr>
                <w:b/>
                <w:sz w:val="24"/>
              </w:rPr>
            </w:pPr>
            <w:r>
              <w:rPr>
                <w:b/>
                <w:spacing w:val="-2"/>
                <w:sz w:val="24"/>
              </w:rPr>
              <w:t>Amount</w:t>
            </w:r>
          </w:p>
        </w:tc>
        <w:tc>
          <w:tcPr>
            <w:tcW w:w="1342" w:type="dxa"/>
            <w:tcBorders>
              <w:bottom w:val="single" w:sz="8" w:space="0" w:color="000000"/>
            </w:tcBorders>
            <w:shd w:val="clear" w:color="auto" w:fill="C0C0C0"/>
          </w:tcPr>
          <w:p>
            <w:pPr>
              <w:pStyle w:val="TableParagraph"/>
              <w:spacing w:line="268" w:lineRule="exact"/>
              <w:ind w:left="107"/>
              <w:rPr>
                <w:sz w:val="24"/>
              </w:rPr>
            </w:pPr>
            <w:r>
              <w:rPr>
                <w:sz w:val="24"/>
              </w:rPr>
              <w:t>202.70 </w:t>
            </w:r>
            <w:r>
              <w:rPr>
                <w:spacing w:val="-5"/>
                <w:sz w:val="24"/>
              </w:rPr>
              <w:t>mg</w:t>
            </w:r>
          </w:p>
        </w:tc>
        <w:tc>
          <w:tcPr>
            <w:tcW w:w="1443" w:type="dxa"/>
            <w:tcBorders>
              <w:bottom w:val="single" w:sz="8" w:space="0" w:color="000000"/>
            </w:tcBorders>
            <w:shd w:val="clear" w:color="auto" w:fill="C0C0C0"/>
          </w:tcPr>
          <w:p>
            <w:pPr>
              <w:pStyle w:val="TableParagraph"/>
              <w:spacing w:line="268" w:lineRule="exact"/>
              <w:ind w:left="208"/>
              <w:rPr>
                <w:sz w:val="24"/>
              </w:rPr>
            </w:pPr>
            <w:r>
              <w:rPr>
                <w:sz w:val="24"/>
              </w:rPr>
              <w:t>189.12 </w:t>
            </w:r>
            <w:r>
              <w:rPr>
                <w:spacing w:val="-5"/>
                <w:sz w:val="24"/>
              </w:rPr>
              <w:t>mg</w:t>
            </w:r>
          </w:p>
        </w:tc>
        <w:tc>
          <w:tcPr>
            <w:tcW w:w="1443" w:type="dxa"/>
            <w:tcBorders>
              <w:bottom w:val="single" w:sz="8" w:space="0" w:color="000000"/>
            </w:tcBorders>
            <w:shd w:val="clear" w:color="auto" w:fill="C0C0C0"/>
          </w:tcPr>
          <w:p>
            <w:pPr>
              <w:pStyle w:val="TableParagraph"/>
              <w:spacing w:line="268" w:lineRule="exact"/>
              <w:ind w:left="210"/>
              <w:rPr>
                <w:sz w:val="24"/>
              </w:rPr>
            </w:pPr>
            <w:r>
              <w:rPr>
                <w:sz w:val="24"/>
              </w:rPr>
              <w:t>201.47 </w:t>
            </w:r>
            <w:r>
              <w:rPr>
                <w:spacing w:val="-5"/>
                <w:sz w:val="24"/>
              </w:rPr>
              <w:t>mg</w:t>
            </w:r>
          </w:p>
        </w:tc>
        <w:tc>
          <w:tcPr>
            <w:tcW w:w="1442" w:type="dxa"/>
            <w:tcBorders>
              <w:bottom w:val="single" w:sz="8" w:space="0" w:color="000000"/>
            </w:tcBorders>
            <w:shd w:val="clear" w:color="auto" w:fill="C0C0C0"/>
          </w:tcPr>
          <w:p>
            <w:pPr>
              <w:pStyle w:val="TableParagraph"/>
              <w:spacing w:line="268" w:lineRule="exact"/>
              <w:ind w:left="209"/>
              <w:rPr>
                <w:sz w:val="24"/>
              </w:rPr>
            </w:pPr>
            <w:r>
              <w:rPr>
                <w:sz w:val="24"/>
              </w:rPr>
              <w:t>189.12 </w:t>
            </w:r>
            <w:r>
              <w:rPr>
                <w:spacing w:val="-5"/>
                <w:sz w:val="24"/>
              </w:rPr>
              <w:t>mg</w:t>
            </w:r>
          </w:p>
        </w:tc>
        <w:tc>
          <w:tcPr>
            <w:tcW w:w="1570" w:type="dxa"/>
            <w:tcBorders>
              <w:bottom w:val="single" w:sz="8" w:space="0" w:color="000000"/>
            </w:tcBorders>
            <w:shd w:val="clear" w:color="auto" w:fill="C0C0C0"/>
          </w:tcPr>
          <w:p>
            <w:pPr>
              <w:pStyle w:val="TableParagraph"/>
              <w:spacing w:line="268" w:lineRule="exact"/>
              <w:ind w:left="210"/>
              <w:rPr>
                <w:sz w:val="24"/>
              </w:rPr>
            </w:pPr>
            <w:r>
              <w:rPr>
                <w:sz w:val="24"/>
              </w:rPr>
              <w:t>197.84 </w:t>
            </w:r>
            <w:r>
              <w:rPr>
                <w:spacing w:val="-5"/>
                <w:sz w:val="24"/>
              </w:rPr>
              <w:t>mg</w:t>
            </w:r>
          </w:p>
        </w:tc>
      </w:tr>
    </w:tbl>
    <w:p>
      <w:pPr>
        <w:pStyle w:val="BodyText"/>
        <w:spacing w:before="133"/>
        <w:rPr>
          <w:b/>
        </w:rPr>
      </w:pPr>
    </w:p>
    <w:p>
      <w:pPr>
        <w:pStyle w:val="BodyText"/>
        <w:ind w:left="380"/>
      </w:pPr>
      <w:r>
        <w:rPr/>
        <w:t>Note:</w:t>
      </w:r>
      <w:r>
        <w:rPr>
          <w:spacing w:val="-1"/>
        </w:rPr>
        <w:t> </w:t>
      </w:r>
      <w:r>
        <w:rPr/>
        <w:t>Each</w:t>
      </w:r>
      <w:r>
        <w:rPr>
          <w:spacing w:val="-1"/>
        </w:rPr>
        <w:t> </w:t>
      </w:r>
      <w:r>
        <w:rPr/>
        <w:t>1ml</w:t>
      </w:r>
      <w:r>
        <w:rPr>
          <w:spacing w:val="-1"/>
        </w:rPr>
        <w:t> </w:t>
      </w:r>
      <w:r>
        <w:rPr/>
        <w:t>of perchloric</w:t>
      </w:r>
      <w:r>
        <w:rPr>
          <w:spacing w:val="-1"/>
        </w:rPr>
        <w:t> </w:t>
      </w:r>
      <w:r>
        <w:rPr/>
        <w:t>acid</w:t>
      </w:r>
      <w:r>
        <w:rPr>
          <w:spacing w:val="-1"/>
        </w:rPr>
        <w:t> </w:t>
      </w:r>
      <w:r>
        <w:rPr/>
        <w:t>utilized</w:t>
      </w:r>
      <w:r>
        <w:rPr>
          <w:spacing w:val="-1"/>
        </w:rPr>
        <w:t> </w:t>
      </w:r>
      <w:r>
        <w:rPr/>
        <w:t>is equivalent</w:t>
      </w:r>
      <w:r>
        <w:rPr>
          <w:spacing w:val="-1"/>
        </w:rPr>
        <w:t> </w:t>
      </w:r>
      <w:r>
        <w:rPr/>
        <w:t>to</w:t>
      </w:r>
      <w:r>
        <w:rPr>
          <w:spacing w:val="-1"/>
        </w:rPr>
        <w:t> </w:t>
      </w:r>
      <w:r>
        <w:rPr/>
        <w:t>24.73 </w:t>
      </w:r>
      <w:r>
        <w:rPr>
          <w:spacing w:val="-5"/>
        </w:rPr>
        <w:t>mg</w:t>
      </w:r>
    </w:p>
    <w:p>
      <w:pPr>
        <w:spacing w:before="137"/>
        <w:ind w:left="380" w:right="0" w:firstLine="0"/>
        <w:jc w:val="left"/>
        <w:rPr>
          <w:sz w:val="24"/>
        </w:rPr>
      </w:pPr>
      <w:r>
        <w:rPr>
          <w:spacing w:val="-10"/>
          <w:sz w:val="24"/>
        </w:rPr>
        <w:t>.</w:t>
      </w:r>
    </w:p>
    <w:p>
      <w:pPr>
        <w:pStyle w:val="BodyText"/>
        <w:spacing w:before="4"/>
      </w:pPr>
    </w:p>
    <w:p>
      <w:pPr>
        <w:pStyle w:val="Heading2"/>
        <w:numPr>
          <w:ilvl w:val="1"/>
          <w:numId w:val="30"/>
        </w:numPr>
        <w:tabs>
          <w:tab w:pos="2038" w:val="left" w:leader="none"/>
        </w:tabs>
        <w:spacing w:line="240" w:lineRule="auto" w:before="1" w:after="0"/>
        <w:ind w:left="2038" w:right="0" w:hanging="360"/>
        <w:jc w:val="left"/>
      </w:pPr>
      <w:bookmarkStart w:name="_TOC_250002" w:id="82"/>
      <w:r>
        <w:rPr/>
        <w:t>In</w:t>
      </w:r>
      <w:r>
        <w:rPr>
          <w:spacing w:val="-1"/>
        </w:rPr>
        <w:t> </w:t>
      </w:r>
      <w:r>
        <w:rPr/>
        <w:t>vitro</w:t>
      </w:r>
      <w:r>
        <w:rPr>
          <w:spacing w:val="-1"/>
        </w:rPr>
        <w:t> </w:t>
      </w:r>
      <w:r>
        <w:rPr/>
        <w:t>Dissolution</w:t>
      </w:r>
      <w:r>
        <w:rPr>
          <w:spacing w:val="-2"/>
        </w:rPr>
        <w:t> </w:t>
      </w:r>
      <w:r>
        <w:rPr/>
        <w:t>studies</w:t>
      </w:r>
      <w:r>
        <w:rPr>
          <w:spacing w:val="-1"/>
        </w:rPr>
        <w:t> </w:t>
      </w:r>
      <w:r>
        <w:rPr/>
        <w:t>at</w:t>
      </w:r>
      <w:r>
        <w:rPr>
          <w:spacing w:val="-1"/>
        </w:rPr>
        <w:t> </w:t>
      </w:r>
      <w:r>
        <w:rPr/>
        <w:t>gastric</w:t>
      </w:r>
      <w:r>
        <w:rPr>
          <w:spacing w:val="-1"/>
        </w:rPr>
        <w:t> </w:t>
      </w:r>
      <w:r>
        <w:rPr/>
        <w:t>pH using</w:t>
      </w:r>
      <w:r>
        <w:rPr>
          <w:spacing w:val="-1"/>
        </w:rPr>
        <w:t> </w:t>
      </w:r>
      <w:r>
        <w:rPr/>
        <w:t>0.1N </w:t>
      </w:r>
      <w:bookmarkEnd w:id="82"/>
      <w:r>
        <w:rPr>
          <w:spacing w:val="-5"/>
        </w:rPr>
        <w:t>HCl</w:t>
      </w:r>
    </w:p>
    <w:p>
      <w:pPr>
        <w:pStyle w:val="BodyText"/>
        <w:spacing w:before="271" w:after="10"/>
        <w:ind w:left="380"/>
      </w:pPr>
      <w:r>
        <w:rPr/>
        <w:t>Table</w:t>
      </w:r>
      <w:r>
        <w:rPr>
          <w:spacing w:val="-2"/>
        </w:rPr>
        <w:t> </w:t>
      </w:r>
      <w:r>
        <w:rPr>
          <w:spacing w:val="-4"/>
        </w:rPr>
        <w:t>4.11</w:t>
      </w: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8"/>
        <w:gridCol w:w="1116"/>
        <w:gridCol w:w="802"/>
        <w:gridCol w:w="1273"/>
        <w:gridCol w:w="707"/>
        <w:gridCol w:w="1735"/>
        <w:gridCol w:w="1116"/>
        <w:gridCol w:w="653"/>
        <w:gridCol w:w="1361"/>
      </w:tblGrid>
      <w:tr>
        <w:trPr>
          <w:trHeight w:val="547" w:hRule="atLeast"/>
        </w:trPr>
        <w:tc>
          <w:tcPr>
            <w:tcW w:w="1058" w:type="dxa"/>
          </w:tcPr>
          <w:p>
            <w:pPr>
              <w:pStyle w:val="TableParagraph"/>
              <w:spacing w:line="261" w:lineRule="exact" w:before="266"/>
              <w:ind w:left="50"/>
              <w:rPr>
                <w:sz w:val="24"/>
              </w:rPr>
            </w:pPr>
            <w:r>
              <w:rPr>
                <w:spacing w:val="-2"/>
                <w:sz w:val="24"/>
              </w:rPr>
              <w:t>conc/mg</w:t>
            </w:r>
          </w:p>
        </w:tc>
        <w:tc>
          <w:tcPr>
            <w:tcW w:w="1116" w:type="dxa"/>
          </w:tcPr>
          <w:p>
            <w:pPr>
              <w:pStyle w:val="TableParagraph"/>
              <w:spacing w:line="261" w:lineRule="exact" w:before="266"/>
              <w:ind w:left="107"/>
              <w:rPr>
                <w:sz w:val="24"/>
              </w:rPr>
            </w:pPr>
            <w:r>
              <w:rPr>
                <w:spacing w:val="-2"/>
                <w:sz w:val="24"/>
              </w:rPr>
              <w:t>mg/ml</w:t>
            </w:r>
          </w:p>
        </w:tc>
        <w:tc>
          <w:tcPr>
            <w:tcW w:w="802" w:type="dxa"/>
          </w:tcPr>
          <w:p>
            <w:pPr>
              <w:pStyle w:val="TableParagraph"/>
              <w:spacing w:line="261" w:lineRule="exact" w:before="266"/>
              <w:ind w:left="108"/>
              <w:rPr>
                <w:sz w:val="24"/>
              </w:rPr>
            </w:pPr>
            <w:r>
              <w:rPr>
                <w:spacing w:val="-4"/>
                <w:sz w:val="24"/>
              </w:rPr>
              <w:t>time</w:t>
            </w:r>
          </w:p>
        </w:tc>
        <w:tc>
          <w:tcPr>
            <w:tcW w:w="1273" w:type="dxa"/>
          </w:tcPr>
          <w:p>
            <w:pPr>
              <w:pStyle w:val="TableParagraph"/>
              <w:spacing w:line="261" w:lineRule="exact" w:before="266"/>
              <w:ind w:left="266"/>
              <w:rPr>
                <w:sz w:val="24"/>
              </w:rPr>
            </w:pPr>
            <w:r>
              <w:rPr>
                <w:spacing w:val="-2"/>
                <w:sz w:val="24"/>
              </w:rPr>
              <w:t>C1+C2</w:t>
            </w:r>
          </w:p>
        </w:tc>
        <w:tc>
          <w:tcPr>
            <w:tcW w:w="707" w:type="dxa"/>
          </w:tcPr>
          <w:p>
            <w:pPr>
              <w:pStyle w:val="TableParagraph"/>
              <w:spacing w:line="261" w:lineRule="exact" w:before="266"/>
              <w:ind w:left="109"/>
              <w:rPr>
                <w:sz w:val="24"/>
              </w:rPr>
            </w:pPr>
            <w:r>
              <w:rPr>
                <w:spacing w:val="-5"/>
                <w:sz w:val="24"/>
              </w:rPr>
              <w:t>dt</w:t>
            </w:r>
          </w:p>
        </w:tc>
        <w:tc>
          <w:tcPr>
            <w:tcW w:w="1735" w:type="dxa"/>
          </w:tcPr>
          <w:p>
            <w:pPr>
              <w:pStyle w:val="TableParagraph"/>
              <w:spacing w:line="261" w:lineRule="exact" w:before="266"/>
              <w:ind w:left="362"/>
              <w:rPr>
                <w:sz w:val="24"/>
              </w:rPr>
            </w:pPr>
            <w:r>
              <w:rPr>
                <w:spacing w:val="-2"/>
                <w:sz w:val="24"/>
              </w:rPr>
              <w:t>AUC=Linear</w:t>
            </w:r>
          </w:p>
        </w:tc>
        <w:tc>
          <w:tcPr>
            <w:tcW w:w="1116" w:type="dxa"/>
          </w:tcPr>
          <w:p>
            <w:pPr>
              <w:pStyle w:val="TableParagraph"/>
              <w:spacing w:line="266" w:lineRule="exact"/>
              <w:ind w:left="113"/>
              <w:rPr>
                <w:sz w:val="24"/>
              </w:rPr>
            </w:pPr>
            <w:r>
              <w:rPr>
                <w:spacing w:val="-5"/>
                <w:sz w:val="24"/>
              </w:rPr>
              <w:t>AUC</w:t>
            </w:r>
          </w:p>
          <w:p>
            <w:pPr>
              <w:pStyle w:val="TableParagraph"/>
              <w:spacing w:line="261" w:lineRule="exact"/>
              <w:ind w:left="113"/>
              <w:rPr>
                <w:sz w:val="24"/>
              </w:rPr>
            </w:pPr>
            <w:r>
              <w:rPr>
                <w:spacing w:val="-2"/>
                <w:sz w:val="24"/>
              </w:rPr>
              <w:t>total</w:t>
            </w: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564" w:hRule="atLeast"/>
        </w:trPr>
        <w:tc>
          <w:tcPr>
            <w:tcW w:w="1058" w:type="dxa"/>
          </w:tcPr>
          <w:p>
            <w:pPr>
              <w:pStyle w:val="TableParagraph"/>
              <w:spacing w:line="271" w:lineRule="exact"/>
              <w:ind w:left="50"/>
              <w:rPr>
                <w:sz w:val="24"/>
              </w:rPr>
            </w:pPr>
            <w:r>
              <w:rPr>
                <w:spacing w:val="-2"/>
                <w:sz w:val="24"/>
              </w:rPr>
              <w:t>Sample</w:t>
            </w:r>
          </w:p>
          <w:p>
            <w:pPr>
              <w:pStyle w:val="TableParagraph"/>
              <w:ind w:left="50"/>
              <w:rPr>
                <w:sz w:val="24"/>
              </w:rPr>
            </w:pPr>
            <w:r>
              <w:rPr>
                <w:spacing w:val="-10"/>
                <w:sz w:val="24"/>
              </w:rPr>
              <w:t>A</w:t>
            </w:r>
          </w:p>
        </w:tc>
        <w:tc>
          <w:tcPr>
            <w:tcW w:w="1116" w:type="dxa"/>
          </w:tcPr>
          <w:p>
            <w:pPr>
              <w:pStyle w:val="TableParagraph"/>
              <w:spacing w:line="240" w:lineRule="auto"/>
              <w:rPr>
                <w:sz w:val="22"/>
              </w:rPr>
            </w:pPr>
          </w:p>
        </w:tc>
        <w:tc>
          <w:tcPr>
            <w:tcW w:w="802" w:type="dxa"/>
          </w:tcPr>
          <w:p>
            <w:pPr>
              <w:pStyle w:val="TableParagraph"/>
              <w:spacing w:line="240" w:lineRule="auto"/>
              <w:rPr>
                <w:sz w:val="22"/>
              </w:rPr>
            </w:pPr>
          </w:p>
        </w:tc>
        <w:tc>
          <w:tcPr>
            <w:tcW w:w="1273" w:type="dxa"/>
          </w:tcPr>
          <w:p>
            <w:pPr>
              <w:pStyle w:val="TableParagraph"/>
              <w:spacing w:line="240" w:lineRule="auto"/>
              <w:rPr>
                <w:sz w:val="22"/>
              </w:rPr>
            </w:pPr>
          </w:p>
        </w:tc>
        <w:tc>
          <w:tcPr>
            <w:tcW w:w="707" w:type="dxa"/>
          </w:tcPr>
          <w:p>
            <w:pPr>
              <w:pStyle w:val="TableParagraph"/>
              <w:spacing w:line="240" w:lineRule="auto"/>
              <w:rPr>
                <w:sz w:val="22"/>
              </w:rPr>
            </w:pPr>
          </w:p>
        </w:tc>
        <w:tc>
          <w:tcPr>
            <w:tcW w:w="1735" w:type="dxa"/>
          </w:tcPr>
          <w:p>
            <w:pPr>
              <w:pStyle w:val="TableParagraph"/>
              <w:spacing w:line="240" w:lineRule="auto"/>
              <w:rPr>
                <w:sz w:val="22"/>
              </w:rPr>
            </w:pPr>
          </w:p>
        </w:tc>
        <w:tc>
          <w:tcPr>
            <w:tcW w:w="1116" w:type="dxa"/>
          </w:tcPr>
          <w:p>
            <w:pPr>
              <w:pStyle w:val="TableParagraph"/>
              <w:spacing w:line="240" w:lineRule="auto"/>
              <w:rPr>
                <w:sz w:val="22"/>
              </w:rPr>
            </w:pP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10"/>
                <w:sz w:val="24"/>
              </w:rPr>
              <w:t>0</w:t>
            </w:r>
          </w:p>
        </w:tc>
        <w:tc>
          <w:tcPr>
            <w:tcW w:w="1116" w:type="dxa"/>
          </w:tcPr>
          <w:p>
            <w:pPr>
              <w:pStyle w:val="TableParagraph"/>
              <w:spacing w:before="7"/>
              <w:ind w:left="107"/>
              <w:rPr>
                <w:sz w:val="24"/>
              </w:rPr>
            </w:pPr>
            <w:r>
              <w:rPr>
                <w:spacing w:val="-10"/>
                <w:sz w:val="24"/>
              </w:rPr>
              <w:t>0</w:t>
            </w:r>
          </w:p>
        </w:tc>
        <w:tc>
          <w:tcPr>
            <w:tcW w:w="802" w:type="dxa"/>
          </w:tcPr>
          <w:p>
            <w:pPr>
              <w:pStyle w:val="TableParagraph"/>
              <w:spacing w:before="7"/>
              <w:ind w:left="108"/>
              <w:rPr>
                <w:sz w:val="24"/>
              </w:rPr>
            </w:pPr>
            <w:r>
              <w:rPr>
                <w:spacing w:val="-10"/>
                <w:sz w:val="24"/>
              </w:rPr>
              <w:t>0</w:t>
            </w:r>
          </w:p>
        </w:tc>
        <w:tc>
          <w:tcPr>
            <w:tcW w:w="1273" w:type="dxa"/>
          </w:tcPr>
          <w:p>
            <w:pPr>
              <w:pStyle w:val="TableParagraph"/>
              <w:spacing w:before="7"/>
              <w:ind w:left="266"/>
              <w:rPr>
                <w:sz w:val="24"/>
              </w:rPr>
            </w:pPr>
            <w:r>
              <w:rPr>
                <w:spacing w:val="-10"/>
                <w:sz w:val="24"/>
              </w:rPr>
              <w:t>0</w:t>
            </w:r>
          </w:p>
        </w:tc>
        <w:tc>
          <w:tcPr>
            <w:tcW w:w="707" w:type="dxa"/>
          </w:tcPr>
          <w:p>
            <w:pPr>
              <w:pStyle w:val="TableParagraph"/>
              <w:spacing w:line="240" w:lineRule="auto"/>
              <w:rPr>
                <w:sz w:val="22"/>
              </w:rPr>
            </w:pPr>
          </w:p>
        </w:tc>
        <w:tc>
          <w:tcPr>
            <w:tcW w:w="1735" w:type="dxa"/>
          </w:tcPr>
          <w:p>
            <w:pPr>
              <w:pStyle w:val="TableParagraph"/>
              <w:spacing w:before="7"/>
              <w:ind w:left="362"/>
              <w:rPr>
                <w:sz w:val="24"/>
              </w:rPr>
            </w:pPr>
            <w:r>
              <w:rPr>
                <w:spacing w:val="-10"/>
                <w:sz w:val="24"/>
              </w:rPr>
              <w:t>0</w:t>
            </w:r>
          </w:p>
        </w:tc>
        <w:tc>
          <w:tcPr>
            <w:tcW w:w="1116" w:type="dxa"/>
          </w:tcPr>
          <w:p>
            <w:pPr>
              <w:pStyle w:val="TableParagraph"/>
              <w:spacing w:line="240" w:lineRule="auto"/>
              <w:rPr>
                <w:sz w:val="22"/>
              </w:rPr>
            </w:pP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39.92395</w:t>
            </w:r>
          </w:p>
        </w:tc>
        <w:tc>
          <w:tcPr>
            <w:tcW w:w="1116" w:type="dxa"/>
          </w:tcPr>
          <w:p>
            <w:pPr>
              <w:pStyle w:val="TableParagraph"/>
              <w:spacing w:before="7"/>
              <w:ind w:left="107"/>
              <w:rPr>
                <w:sz w:val="24"/>
              </w:rPr>
            </w:pPr>
            <w:r>
              <w:rPr>
                <w:spacing w:val="-2"/>
                <w:sz w:val="24"/>
              </w:rPr>
              <w:t>0.039924</w:t>
            </w:r>
          </w:p>
        </w:tc>
        <w:tc>
          <w:tcPr>
            <w:tcW w:w="802" w:type="dxa"/>
          </w:tcPr>
          <w:p>
            <w:pPr>
              <w:pStyle w:val="TableParagraph"/>
              <w:spacing w:before="7"/>
              <w:ind w:left="108"/>
              <w:rPr>
                <w:sz w:val="24"/>
              </w:rPr>
            </w:pPr>
            <w:r>
              <w:rPr>
                <w:spacing w:val="-10"/>
                <w:sz w:val="24"/>
              </w:rPr>
              <w:t>5</w:t>
            </w:r>
          </w:p>
        </w:tc>
        <w:tc>
          <w:tcPr>
            <w:tcW w:w="1273" w:type="dxa"/>
          </w:tcPr>
          <w:p>
            <w:pPr>
              <w:pStyle w:val="TableParagraph"/>
              <w:spacing w:before="7"/>
              <w:ind w:left="266"/>
              <w:rPr>
                <w:sz w:val="24"/>
              </w:rPr>
            </w:pPr>
            <w:r>
              <w:rPr>
                <w:spacing w:val="-2"/>
                <w:sz w:val="24"/>
              </w:rPr>
              <w:t>0.039924</w:t>
            </w:r>
          </w:p>
        </w:tc>
        <w:tc>
          <w:tcPr>
            <w:tcW w:w="707" w:type="dxa"/>
          </w:tcPr>
          <w:p>
            <w:pPr>
              <w:pStyle w:val="TableParagraph"/>
              <w:spacing w:before="7"/>
              <w:ind w:left="109"/>
              <w:rPr>
                <w:sz w:val="24"/>
              </w:rPr>
            </w:pPr>
            <w:r>
              <w:rPr>
                <w:spacing w:val="-10"/>
                <w:sz w:val="24"/>
              </w:rPr>
              <w:t>5</w:t>
            </w:r>
          </w:p>
        </w:tc>
        <w:tc>
          <w:tcPr>
            <w:tcW w:w="1735" w:type="dxa"/>
          </w:tcPr>
          <w:p>
            <w:pPr>
              <w:pStyle w:val="TableParagraph"/>
              <w:spacing w:before="7"/>
              <w:ind w:left="362"/>
              <w:rPr>
                <w:sz w:val="24"/>
              </w:rPr>
            </w:pPr>
            <w:r>
              <w:rPr>
                <w:spacing w:val="-2"/>
                <w:sz w:val="24"/>
              </w:rPr>
              <w:t>0.099809886</w:t>
            </w:r>
          </w:p>
        </w:tc>
        <w:tc>
          <w:tcPr>
            <w:tcW w:w="1116" w:type="dxa"/>
          </w:tcPr>
          <w:p>
            <w:pPr>
              <w:pStyle w:val="TableParagraph"/>
              <w:spacing w:before="7"/>
              <w:ind w:left="113"/>
              <w:rPr>
                <w:sz w:val="24"/>
              </w:rPr>
            </w:pPr>
            <w:r>
              <w:rPr>
                <w:spacing w:val="-2"/>
                <w:sz w:val="24"/>
              </w:rPr>
              <w:t>0.09981</w:t>
            </w: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51.3308</w:t>
            </w:r>
          </w:p>
        </w:tc>
        <w:tc>
          <w:tcPr>
            <w:tcW w:w="1116" w:type="dxa"/>
          </w:tcPr>
          <w:p>
            <w:pPr>
              <w:pStyle w:val="TableParagraph"/>
              <w:spacing w:before="7"/>
              <w:ind w:left="107"/>
              <w:rPr>
                <w:sz w:val="24"/>
              </w:rPr>
            </w:pPr>
            <w:r>
              <w:rPr>
                <w:spacing w:val="-2"/>
                <w:sz w:val="24"/>
              </w:rPr>
              <w:t>0.051331</w:t>
            </w:r>
          </w:p>
        </w:tc>
        <w:tc>
          <w:tcPr>
            <w:tcW w:w="802" w:type="dxa"/>
          </w:tcPr>
          <w:p>
            <w:pPr>
              <w:pStyle w:val="TableParagraph"/>
              <w:spacing w:before="7"/>
              <w:ind w:left="108"/>
              <w:rPr>
                <w:sz w:val="24"/>
              </w:rPr>
            </w:pPr>
            <w:r>
              <w:rPr>
                <w:spacing w:val="-5"/>
                <w:sz w:val="24"/>
              </w:rPr>
              <w:t>10</w:t>
            </w:r>
          </w:p>
        </w:tc>
        <w:tc>
          <w:tcPr>
            <w:tcW w:w="1273" w:type="dxa"/>
          </w:tcPr>
          <w:p>
            <w:pPr>
              <w:pStyle w:val="TableParagraph"/>
              <w:spacing w:before="7"/>
              <w:ind w:left="266"/>
              <w:rPr>
                <w:sz w:val="24"/>
              </w:rPr>
            </w:pPr>
            <w:r>
              <w:rPr>
                <w:spacing w:val="-2"/>
                <w:sz w:val="24"/>
              </w:rPr>
              <w:t>0.091255</w:t>
            </w:r>
          </w:p>
        </w:tc>
        <w:tc>
          <w:tcPr>
            <w:tcW w:w="707" w:type="dxa"/>
          </w:tcPr>
          <w:p>
            <w:pPr>
              <w:pStyle w:val="TableParagraph"/>
              <w:spacing w:before="7"/>
              <w:ind w:left="109"/>
              <w:rPr>
                <w:sz w:val="24"/>
              </w:rPr>
            </w:pPr>
            <w:r>
              <w:rPr>
                <w:spacing w:val="-10"/>
                <w:sz w:val="24"/>
              </w:rPr>
              <w:t>5</w:t>
            </w:r>
          </w:p>
        </w:tc>
        <w:tc>
          <w:tcPr>
            <w:tcW w:w="1735" w:type="dxa"/>
          </w:tcPr>
          <w:p>
            <w:pPr>
              <w:pStyle w:val="TableParagraph"/>
              <w:spacing w:before="7"/>
              <w:ind w:left="362"/>
              <w:rPr>
                <w:sz w:val="24"/>
              </w:rPr>
            </w:pPr>
            <w:r>
              <w:rPr>
                <w:spacing w:val="-2"/>
                <w:sz w:val="24"/>
              </w:rPr>
              <w:t>0.228136882</w:t>
            </w:r>
          </w:p>
        </w:tc>
        <w:tc>
          <w:tcPr>
            <w:tcW w:w="1116" w:type="dxa"/>
          </w:tcPr>
          <w:p>
            <w:pPr>
              <w:pStyle w:val="TableParagraph"/>
              <w:spacing w:before="7"/>
              <w:ind w:left="113"/>
              <w:rPr>
                <w:sz w:val="24"/>
              </w:rPr>
            </w:pPr>
            <w:r>
              <w:rPr>
                <w:spacing w:val="-2"/>
                <w:sz w:val="24"/>
              </w:rPr>
              <w:t>0.327947</w:t>
            </w: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56.27376</w:t>
            </w:r>
          </w:p>
        </w:tc>
        <w:tc>
          <w:tcPr>
            <w:tcW w:w="1116" w:type="dxa"/>
          </w:tcPr>
          <w:p>
            <w:pPr>
              <w:pStyle w:val="TableParagraph"/>
              <w:spacing w:before="7"/>
              <w:ind w:left="107"/>
              <w:rPr>
                <w:sz w:val="24"/>
              </w:rPr>
            </w:pPr>
            <w:r>
              <w:rPr>
                <w:spacing w:val="-2"/>
                <w:sz w:val="24"/>
              </w:rPr>
              <w:t>0.056274</w:t>
            </w:r>
          </w:p>
        </w:tc>
        <w:tc>
          <w:tcPr>
            <w:tcW w:w="802" w:type="dxa"/>
          </w:tcPr>
          <w:p>
            <w:pPr>
              <w:pStyle w:val="TableParagraph"/>
              <w:spacing w:before="7"/>
              <w:ind w:left="108"/>
              <w:rPr>
                <w:sz w:val="24"/>
              </w:rPr>
            </w:pPr>
            <w:r>
              <w:rPr>
                <w:spacing w:val="-5"/>
                <w:sz w:val="24"/>
              </w:rPr>
              <w:t>20</w:t>
            </w:r>
          </w:p>
        </w:tc>
        <w:tc>
          <w:tcPr>
            <w:tcW w:w="1273" w:type="dxa"/>
          </w:tcPr>
          <w:p>
            <w:pPr>
              <w:pStyle w:val="TableParagraph"/>
              <w:spacing w:before="7"/>
              <w:ind w:left="266"/>
              <w:rPr>
                <w:sz w:val="24"/>
              </w:rPr>
            </w:pPr>
            <w:r>
              <w:rPr>
                <w:spacing w:val="-2"/>
                <w:sz w:val="24"/>
              </w:rPr>
              <w:t>0.107605</w:t>
            </w:r>
          </w:p>
        </w:tc>
        <w:tc>
          <w:tcPr>
            <w:tcW w:w="707" w:type="dxa"/>
          </w:tcPr>
          <w:p>
            <w:pPr>
              <w:pStyle w:val="TableParagraph"/>
              <w:spacing w:before="7"/>
              <w:ind w:left="109"/>
              <w:rPr>
                <w:sz w:val="24"/>
              </w:rPr>
            </w:pPr>
            <w:r>
              <w:rPr>
                <w:spacing w:val="-5"/>
                <w:sz w:val="24"/>
              </w:rPr>
              <w:t>10</w:t>
            </w:r>
          </w:p>
        </w:tc>
        <w:tc>
          <w:tcPr>
            <w:tcW w:w="1735" w:type="dxa"/>
          </w:tcPr>
          <w:p>
            <w:pPr>
              <w:pStyle w:val="TableParagraph"/>
              <w:spacing w:before="7"/>
              <w:ind w:left="362"/>
              <w:rPr>
                <w:sz w:val="24"/>
              </w:rPr>
            </w:pPr>
            <w:r>
              <w:rPr>
                <w:spacing w:val="-2"/>
                <w:sz w:val="24"/>
              </w:rPr>
              <w:t>0.538022814</w:t>
            </w:r>
          </w:p>
        </w:tc>
        <w:tc>
          <w:tcPr>
            <w:tcW w:w="1116" w:type="dxa"/>
          </w:tcPr>
          <w:p>
            <w:pPr>
              <w:pStyle w:val="TableParagraph"/>
              <w:spacing w:before="7"/>
              <w:ind w:left="113"/>
              <w:rPr>
                <w:sz w:val="24"/>
              </w:rPr>
            </w:pPr>
            <w:r>
              <w:rPr>
                <w:spacing w:val="-2"/>
                <w:sz w:val="24"/>
              </w:rPr>
              <w:t>0.86597</w:t>
            </w: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299" w:hRule="atLeast"/>
        </w:trPr>
        <w:tc>
          <w:tcPr>
            <w:tcW w:w="1058" w:type="dxa"/>
          </w:tcPr>
          <w:p>
            <w:pPr>
              <w:pStyle w:val="TableParagraph"/>
              <w:spacing w:before="7"/>
              <w:ind w:left="50"/>
              <w:rPr>
                <w:sz w:val="24"/>
              </w:rPr>
            </w:pPr>
            <w:r>
              <w:rPr>
                <w:spacing w:val="-2"/>
                <w:sz w:val="24"/>
              </w:rPr>
              <w:t>73.0038</w:t>
            </w:r>
          </w:p>
        </w:tc>
        <w:tc>
          <w:tcPr>
            <w:tcW w:w="1116" w:type="dxa"/>
          </w:tcPr>
          <w:p>
            <w:pPr>
              <w:pStyle w:val="TableParagraph"/>
              <w:spacing w:before="7"/>
              <w:ind w:left="107"/>
              <w:rPr>
                <w:sz w:val="24"/>
              </w:rPr>
            </w:pPr>
            <w:r>
              <w:rPr>
                <w:spacing w:val="-2"/>
                <w:sz w:val="24"/>
              </w:rPr>
              <w:t>0.073004</w:t>
            </w:r>
          </w:p>
        </w:tc>
        <w:tc>
          <w:tcPr>
            <w:tcW w:w="802" w:type="dxa"/>
          </w:tcPr>
          <w:p>
            <w:pPr>
              <w:pStyle w:val="TableParagraph"/>
              <w:spacing w:before="7"/>
              <w:ind w:left="108"/>
              <w:rPr>
                <w:sz w:val="24"/>
              </w:rPr>
            </w:pPr>
            <w:r>
              <w:rPr>
                <w:spacing w:val="-5"/>
                <w:sz w:val="24"/>
              </w:rPr>
              <w:t>30</w:t>
            </w:r>
          </w:p>
        </w:tc>
        <w:tc>
          <w:tcPr>
            <w:tcW w:w="1273" w:type="dxa"/>
          </w:tcPr>
          <w:p>
            <w:pPr>
              <w:pStyle w:val="TableParagraph"/>
              <w:spacing w:before="7"/>
              <w:ind w:left="266"/>
              <w:rPr>
                <w:sz w:val="24"/>
              </w:rPr>
            </w:pPr>
            <w:r>
              <w:rPr>
                <w:spacing w:val="-2"/>
                <w:sz w:val="24"/>
              </w:rPr>
              <w:t>0.129278</w:t>
            </w:r>
          </w:p>
        </w:tc>
        <w:tc>
          <w:tcPr>
            <w:tcW w:w="707" w:type="dxa"/>
          </w:tcPr>
          <w:p>
            <w:pPr>
              <w:pStyle w:val="TableParagraph"/>
              <w:spacing w:before="7"/>
              <w:ind w:left="109"/>
              <w:rPr>
                <w:sz w:val="24"/>
              </w:rPr>
            </w:pPr>
            <w:r>
              <w:rPr>
                <w:spacing w:val="-5"/>
                <w:sz w:val="24"/>
              </w:rPr>
              <w:t>10</w:t>
            </w:r>
          </w:p>
        </w:tc>
        <w:tc>
          <w:tcPr>
            <w:tcW w:w="1735" w:type="dxa"/>
          </w:tcPr>
          <w:p>
            <w:pPr>
              <w:pStyle w:val="TableParagraph"/>
              <w:spacing w:before="7"/>
              <w:ind w:left="362"/>
              <w:rPr>
                <w:sz w:val="24"/>
              </w:rPr>
            </w:pPr>
            <w:r>
              <w:rPr>
                <w:spacing w:val="-2"/>
                <w:sz w:val="24"/>
              </w:rPr>
              <w:t>0.646387833</w:t>
            </w:r>
          </w:p>
        </w:tc>
        <w:tc>
          <w:tcPr>
            <w:tcW w:w="1116" w:type="dxa"/>
          </w:tcPr>
          <w:p>
            <w:pPr>
              <w:pStyle w:val="TableParagraph"/>
              <w:spacing w:before="7"/>
              <w:ind w:left="113"/>
              <w:rPr>
                <w:sz w:val="24"/>
              </w:rPr>
            </w:pPr>
            <w:r>
              <w:rPr>
                <w:spacing w:val="-2"/>
                <w:sz w:val="24"/>
              </w:rPr>
              <w:t>1.512357</w:t>
            </w: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299" w:hRule="atLeast"/>
        </w:trPr>
        <w:tc>
          <w:tcPr>
            <w:tcW w:w="1058" w:type="dxa"/>
          </w:tcPr>
          <w:p>
            <w:pPr>
              <w:pStyle w:val="TableParagraph"/>
              <w:spacing w:before="7"/>
              <w:ind w:left="50"/>
              <w:rPr>
                <w:sz w:val="24"/>
              </w:rPr>
            </w:pPr>
            <w:r>
              <w:rPr>
                <w:spacing w:val="-2"/>
                <w:sz w:val="24"/>
              </w:rPr>
              <w:t>89.35361</w:t>
            </w:r>
          </w:p>
        </w:tc>
        <w:tc>
          <w:tcPr>
            <w:tcW w:w="1116" w:type="dxa"/>
          </w:tcPr>
          <w:p>
            <w:pPr>
              <w:pStyle w:val="TableParagraph"/>
              <w:spacing w:before="7"/>
              <w:ind w:left="107"/>
              <w:rPr>
                <w:sz w:val="24"/>
              </w:rPr>
            </w:pPr>
            <w:r>
              <w:rPr>
                <w:spacing w:val="-2"/>
                <w:sz w:val="24"/>
              </w:rPr>
              <w:t>0.089354</w:t>
            </w:r>
          </w:p>
        </w:tc>
        <w:tc>
          <w:tcPr>
            <w:tcW w:w="802" w:type="dxa"/>
          </w:tcPr>
          <w:p>
            <w:pPr>
              <w:pStyle w:val="TableParagraph"/>
              <w:spacing w:before="7"/>
              <w:ind w:left="108"/>
              <w:rPr>
                <w:sz w:val="24"/>
              </w:rPr>
            </w:pPr>
            <w:r>
              <w:rPr>
                <w:spacing w:val="-5"/>
                <w:sz w:val="24"/>
              </w:rPr>
              <w:t>40</w:t>
            </w:r>
          </w:p>
        </w:tc>
        <w:tc>
          <w:tcPr>
            <w:tcW w:w="1273" w:type="dxa"/>
          </w:tcPr>
          <w:p>
            <w:pPr>
              <w:pStyle w:val="TableParagraph"/>
              <w:spacing w:before="7"/>
              <w:ind w:left="266"/>
              <w:rPr>
                <w:sz w:val="24"/>
              </w:rPr>
            </w:pPr>
            <w:r>
              <w:rPr>
                <w:spacing w:val="-2"/>
                <w:sz w:val="24"/>
              </w:rPr>
              <w:t>0.162357</w:t>
            </w:r>
          </w:p>
        </w:tc>
        <w:tc>
          <w:tcPr>
            <w:tcW w:w="707" w:type="dxa"/>
          </w:tcPr>
          <w:p>
            <w:pPr>
              <w:pStyle w:val="TableParagraph"/>
              <w:spacing w:before="7"/>
              <w:ind w:left="109"/>
              <w:rPr>
                <w:sz w:val="24"/>
              </w:rPr>
            </w:pPr>
            <w:r>
              <w:rPr>
                <w:spacing w:val="-5"/>
                <w:sz w:val="24"/>
              </w:rPr>
              <w:t>10</w:t>
            </w:r>
          </w:p>
        </w:tc>
        <w:tc>
          <w:tcPr>
            <w:tcW w:w="1735" w:type="dxa"/>
          </w:tcPr>
          <w:p>
            <w:pPr>
              <w:pStyle w:val="TableParagraph"/>
              <w:spacing w:before="7"/>
              <w:ind w:left="362"/>
              <w:rPr>
                <w:sz w:val="24"/>
              </w:rPr>
            </w:pPr>
            <w:r>
              <w:rPr>
                <w:spacing w:val="-2"/>
                <w:sz w:val="24"/>
              </w:rPr>
              <w:t>0.811787072</w:t>
            </w:r>
          </w:p>
        </w:tc>
        <w:tc>
          <w:tcPr>
            <w:tcW w:w="1116" w:type="dxa"/>
          </w:tcPr>
          <w:p>
            <w:pPr>
              <w:pStyle w:val="TableParagraph"/>
              <w:spacing w:before="7"/>
              <w:ind w:left="113"/>
              <w:rPr>
                <w:sz w:val="24"/>
              </w:rPr>
            </w:pPr>
            <w:r>
              <w:rPr>
                <w:spacing w:val="-2"/>
                <w:sz w:val="24"/>
              </w:rPr>
              <w:t>2.324144</w:t>
            </w:r>
          </w:p>
        </w:tc>
        <w:tc>
          <w:tcPr>
            <w:tcW w:w="653" w:type="dxa"/>
          </w:tcPr>
          <w:p>
            <w:pPr>
              <w:pStyle w:val="TableParagraph"/>
              <w:spacing w:line="240" w:lineRule="auto"/>
              <w:rPr>
                <w:sz w:val="22"/>
              </w:rPr>
            </w:pPr>
          </w:p>
        </w:tc>
        <w:tc>
          <w:tcPr>
            <w:tcW w:w="1361" w:type="dxa"/>
          </w:tcPr>
          <w:p>
            <w:pPr>
              <w:pStyle w:val="TableParagraph"/>
              <w:spacing w:line="240" w:lineRule="auto"/>
              <w:rPr>
                <w:sz w:val="22"/>
              </w:rPr>
            </w:pPr>
          </w:p>
        </w:tc>
      </w:tr>
      <w:tr>
        <w:trPr>
          <w:trHeight w:val="282" w:hRule="atLeast"/>
        </w:trPr>
        <w:tc>
          <w:tcPr>
            <w:tcW w:w="1058" w:type="dxa"/>
          </w:tcPr>
          <w:p>
            <w:pPr>
              <w:pStyle w:val="TableParagraph"/>
              <w:spacing w:line="256" w:lineRule="exact" w:before="7"/>
              <w:ind w:left="50"/>
              <w:rPr>
                <w:sz w:val="24"/>
              </w:rPr>
            </w:pPr>
            <w:r>
              <w:rPr>
                <w:spacing w:val="-2"/>
                <w:sz w:val="24"/>
              </w:rPr>
              <w:t>112.1673</w:t>
            </w:r>
          </w:p>
        </w:tc>
        <w:tc>
          <w:tcPr>
            <w:tcW w:w="1116" w:type="dxa"/>
          </w:tcPr>
          <w:p>
            <w:pPr>
              <w:pStyle w:val="TableParagraph"/>
              <w:spacing w:line="256" w:lineRule="exact" w:before="7"/>
              <w:ind w:left="107"/>
              <w:rPr>
                <w:sz w:val="24"/>
              </w:rPr>
            </w:pPr>
            <w:r>
              <w:rPr>
                <w:spacing w:val="-2"/>
                <w:sz w:val="24"/>
              </w:rPr>
              <w:t>0.112167</w:t>
            </w:r>
          </w:p>
        </w:tc>
        <w:tc>
          <w:tcPr>
            <w:tcW w:w="802" w:type="dxa"/>
          </w:tcPr>
          <w:p>
            <w:pPr>
              <w:pStyle w:val="TableParagraph"/>
              <w:spacing w:line="256" w:lineRule="exact" w:before="7"/>
              <w:ind w:left="108"/>
              <w:rPr>
                <w:sz w:val="24"/>
              </w:rPr>
            </w:pPr>
            <w:r>
              <w:rPr>
                <w:spacing w:val="-5"/>
                <w:sz w:val="24"/>
              </w:rPr>
              <w:t>50</w:t>
            </w:r>
          </w:p>
        </w:tc>
        <w:tc>
          <w:tcPr>
            <w:tcW w:w="1273" w:type="dxa"/>
          </w:tcPr>
          <w:p>
            <w:pPr>
              <w:pStyle w:val="TableParagraph"/>
              <w:spacing w:line="256" w:lineRule="exact" w:before="7"/>
              <w:ind w:left="266"/>
              <w:rPr>
                <w:sz w:val="24"/>
              </w:rPr>
            </w:pPr>
            <w:r>
              <w:rPr>
                <w:spacing w:val="-2"/>
                <w:sz w:val="24"/>
              </w:rPr>
              <w:t>0.201521</w:t>
            </w:r>
          </w:p>
        </w:tc>
        <w:tc>
          <w:tcPr>
            <w:tcW w:w="707" w:type="dxa"/>
          </w:tcPr>
          <w:p>
            <w:pPr>
              <w:pStyle w:val="TableParagraph"/>
              <w:spacing w:line="256" w:lineRule="exact" w:before="7"/>
              <w:ind w:left="109"/>
              <w:rPr>
                <w:sz w:val="24"/>
              </w:rPr>
            </w:pPr>
            <w:r>
              <w:rPr>
                <w:spacing w:val="-5"/>
                <w:sz w:val="24"/>
              </w:rPr>
              <w:t>10</w:t>
            </w:r>
          </w:p>
        </w:tc>
        <w:tc>
          <w:tcPr>
            <w:tcW w:w="1735" w:type="dxa"/>
          </w:tcPr>
          <w:p>
            <w:pPr>
              <w:pStyle w:val="TableParagraph"/>
              <w:spacing w:line="256" w:lineRule="exact" w:before="7"/>
              <w:ind w:left="362"/>
              <w:rPr>
                <w:sz w:val="24"/>
              </w:rPr>
            </w:pPr>
            <w:r>
              <w:rPr>
                <w:spacing w:val="-2"/>
                <w:sz w:val="24"/>
              </w:rPr>
              <w:t>1.007604563</w:t>
            </w:r>
          </w:p>
        </w:tc>
        <w:tc>
          <w:tcPr>
            <w:tcW w:w="1116" w:type="dxa"/>
          </w:tcPr>
          <w:p>
            <w:pPr>
              <w:pStyle w:val="TableParagraph"/>
              <w:spacing w:line="256" w:lineRule="exact" w:before="7"/>
              <w:ind w:left="113"/>
              <w:rPr>
                <w:sz w:val="24"/>
              </w:rPr>
            </w:pPr>
            <w:r>
              <w:rPr>
                <w:spacing w:val="-2"/>
                <w:sz w:val="24"/>
              </w:rPr>
              <w:t>3.331749</w:t>
            </w:r>
          </w:p>
        </w:tc>
        <w:tc>
          <w:tcPr>
            <w:tcW w:w="653" w:type="dxa"/>
          </w:tcPr>
          <w:p>
            <w:pPr>
              <w:pStyle w:val="TableParagraph"/>
              <w:spacing w:line="256" w:lineRule="exact" w:before="7"/>
              <w:ind w:left="114"/>
              <w:rPr>
                <w:sz w:val="24"/>
              </w:rPr>
            </w:pPr>
            <w:r>
              <w:rPr>
                <w:spacing w:val="-10"/>
                <w:sz w:val="24"/>
              </w:rPr>
              <w:t>F</w:t>
            </w:r>
          </w:p>
        </w:tc>
        <w:tc>
          <w:tcPr>
            <w:tcW w:w="1361" w:type="dxa"/>
          </w:tcPr>
          <w:p>
            <w:pPr>
              <w:pStyle w:val="TableParagraph"/>
              <w:spacing w:line="256" w:lineRule="exact" w:before="7"/>
              <w:ind w:left="313" w:right="-72"/>
              <w:rPr>
                <w:sz w:val="24"/>
              </w:rPr>
            </w:pPr>
            <w:r>
              <w:rPr>
                <w:color w:val="000000"/>
                <w:spacing w:val="48"/>
                <w:sz w:val="24"/>
                <w:highlight w:val="red"/>
              </w:rPr>
              <w:t> </w:t>
            </w:r>
            <w:r>
              <w:rPr>
                <w:color w:val="000000"/>
                <w:spacing w:val="-2"/>
                <w:sz w:val="24"/>
                <w:highlight w:val="red"/>
              </w:rPr>
              <w:t>66.49823</w:t>
            </w:r>
            <w:r>
              <w:rPr>
                <w:color w:val="000000"/>
                <w:spacing w:val="80"/>
                <w:sz w:val="24"/>
                <w:highlight w:val="red"/>
              </w:rPr>
              <w:t> </w:t>
            </w:r>
          </w:p>
        </w:tc>
      </w:tr>
    </w:tbl>
    <w:p>
      <w:pPr>
        <w:spacing w:after="0" w:line="256" w:lineRule="exact"/>
        <w:rPr>
          <w:sz w:val="24"/>
        </w:rPr>
        <w:sectPr>
          <w:pgSz w:w="12240" w:h="15840"/>
          <w:pgMar w:header="0" w:footer="1068" w:top="1540" w:bottom="1260" w:left="1420" w:right="440"/>
        </w:sectPr>
      </w:pPr>
    </w:p>
    <w:p>
      <w:pPr>
        <w:pStyle w:val="BodyText"/>
        <w:spacing w:before="3"/>
        <w:rPr>
          <w:sz w:val="2"/>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8"/>
        <w:gridCol w:w="1116"/>
        <w:gridCol w:w="768"/>
        <w:gridCol w:w="1308"/>
        <w:gridCol w:w="708"/>
        <w:gridCol w:w="1679"/>
        <w:gridCol w:w="1229"/>
        <w:gridCol w:w="600"/>
        <w:gridCol w:w="1363"/>
      </w:tblGrid>
      <w:tr>
        <w:trPr>
          <w:trHeight w:val="282" w:hRule="atLeast"/>
        </w:trPr>
        <w:tc>
          <w:tcPr>
            <w:tcW w:w="1058" w:type="dxa"/>
          </w:tcPr>
          <w:p>
            <w:pPr>
              <w:pStyle w:val="TableParagraph"/>
              <w:spacing w:line="263" w:lineRule="exact"/>
              <w:ind w:left="50"/>
              <w:rPr>
                <w:sz w:val="24"/>
              </w:rPr>
            </w:pPr>
            <w:r>
              <w:rPr>
                <w:spacing w:val="-2"/>
                <w:sz w:val="24"/>
              </w:rPr>
              <w:t>127.3764</w:t>
            </w:r>
          </w:p>
        </w:tc>
        <w:tc>
          <w:tcPr>
            <w:tcW w:w="1116" w:type="dxa"/>
          </w:tcPr>
          <w:p>
            <w:pPr>
              <w:pStyle w:val="TableParagraph"/>
              <w:spacing w:line="263" w:lineRule="exact"/>
              <w:ind w:left="107"/>
              <w:rPr>
                <w:sz w:val="24"/>
              </w:rPr>
            </w:pPr>
            <w:r>
              <w:rPr>
                <w:spacing w:val="-2"/>
                <w:sz w:val="24"/>
              </w:rPr>
              <w:t>0.127376</w:t>
            </w:r>
          </w:p>
        </w:tc>
        <w:tc>
          <w:tcPr>
            <w:tcW w:w="768" w:type="dxa"/>
          </w:tcPr>
          <w:p>
            <w:pPr>
              <w:pStyle w:val="TableParagraph"/>
              <w:spacing w:line="263" w:lineRule="exact"/>
              <w:ind w:left="108"/>
              <w:rPr>
                <w:sz w:val="24"/>
              </w:rPr>
            </w:pPr>
            <w:r>
              <w:rPr>
                <w:spacing w:val="-5"/>
                <w:sz w:val="24"/>
              </w:rPr>
              <w:t>60</w:t>
            </w:r>
          </w:p>
        </w:tc>
        <w:tc>
          <w:tcPr>
            <w:tcW w:w="1308" w:type="dxa"/>
          </w:tcPr>
          <w:p>
            <w:pPr>
              <w:pStyle w:val="TableParagraph"/>
              <w:spacing w:line="263" w:lineRule="exact"/>
              <w:ind w:left="300"/>
              <w:rPr>
                <w:sz w:val="24"/>
              </w:rPr>
            </w:pPr>
            <w:r>
              <w:rPr>
                <w:spacing w:val="-2"/>
                <w:sz w:val="24"/>
              </w:rPr>
              <w:t>0.239544</w:t>
            </w:r>
          </w:p>
        </w:tc>
        <w:tc>
          <w:tcPr>
            <w:tcW w:w="708" w:type="dxa"/>
          </w:tcPr>
          <w:p>
            <w:pPr>
              <w:pStyle w:val="TableParagraph"/>
              <w:spacing w:line="263" w:lineRule="exact"/>
              <w:ind w:left="108"/>
              <w:rPr>
                <w:sz w:val="24"/>
              </w:rPr>
            </w:pPr>
            <w:r>
              <w:rPr>
                <w:spacing w:val="-5"/>
                <w:sz w:val="24"/>
              </w:rPr>
              <w:t>10</w:t>
            </w:r>
          </w:p>
        </w:tc>
        <w:tc>
          <w:tcPr>
            <w:tcW w:w="1679" w:type="dxa"/>
          </w:tcPr>
          <w:p>
            <w:pPr>
              <w:pStyle w:val="TableParagraph"/>
              <w:spacing w:line="263" w:lineRule="exact"/>
              <w:ind w:left="360"/>
              <w:rPr>
                <w:sz w:val="24"/>
              </w:rPr>
            </w:pPr>
            <w:r>
              <w:rPr>
                <w:spacing w:val="-2"/>
                <w:sz w:val="24"/>
              </w:rPr>
              <w:t>1.197718631</w:t>
            </w:r>
          </w:p>
        </w:tc>
        <w:tc>
          <w:tcPr>
            <w:tcW w:w="1229" w:type="dxa"/>
          </w:tcPr>
          <w:p>
            <w:pPr>
              <w:pStyle w:val="TableParagraph"/>
              <w:spacing w:line="263" w:lineRule="exact"/>
              <w:ind w:left="167"/>
              <w:rPr>
                <w:sz w:val="24"/>
              </w:rPr>
            </w:pPr>
            <w:r>
              <w:rPr>
                <w:spacing w:val="-2"/>
                <w:sz w:val="24"/>
              </w:rPr>
              <w:t>4.529468</w:t>
            </w:r>
          </w:p>
        </w:tc>
        <w:tc>
          <w:tcPr>
            <w:tcW w:w="600" w:type="dxa"/>
          </w:tcPr>
          <w:p>
            <w:pPr>
              <w:pStyle w:val="TableParagraph"/>
              <w:spacing w:line="240" w:lineRule="auto"/>
              <w:rPr>
                <w:sz w:val="20"/>
              </w:rPr>
            </w:pPr>
          </w:p>
        </w:tc>
        <w:tc>
          <w:tcPr>
            <w:tcW w:w="1363" w:type="dxa"/>
          </w:tcPr>
          <w:p>
            <w:pPr>
              <w:pStyle w:val="TableParagraph"/>
              <w:spacing w:line="240" w:lineRule="auto"/>
              <w:rPr>
                <w:sz w:val="20"/>
              </w:rPr>
            </w:pPr>
          </w:p>
        </w:tc>
      </w:tr>
      <w:tr>
        <w:trPr>
          <w:trHeight w:val="300" w:hRule="atLeast"/>
        </w:trPr>
        <w:tc>
          <w:tcPr>
            <w:tcW w:w="1058" w:type="dxa"/>
          </w:tcPr>
          <w:p>
            <w:pPr>
              <w:pStyle w:val="TableParagraph"/>
              <w:spacing w:before="7"/>
              <w:ind w:left="50"/>
              <w:rPr>
                <w:sz w:val="24"/>
              </w:rPr>
            </w:pPr>
            <w:r>
              <w:rPr>
                <w:spacing w:val="-2"/>
                <w:sz w:val="24"/>
              </w:rPr>
              <w:t>174.9049</w:t>
            </w:r>
          </w:p>
        </w:tc>
        <w:tc>
          <w:tcPr>
            <w:tcW w:w="1116" w:type="dxa"/>
          </w:tcPr>
          <w:p>
            <w:pPr>
              <w:pStyle w:val="TableParagraph"/>
              <w:spacing w:before="7"/>
              <w:ind w:left="107"/>
              <w:rPr>
                <w:sz w:val="24"/>
              </w:rPr>
            </w:pPr>
            <w:r>
              <w:rPr>
                <w:spacing w:val="-2"/>
                <w:sz w:val="24"/>
              </w:rPr>
              <w:t>0.174905</w:t>
            </w:r>
          </w:p>
        </w:tc>
        <w:tc>
          <w:tcPr>
            <w:tcW w:w="768" w:type="dxa"/>
          </w:tcPr>
          <w:p>
            <w:pPr>
              <w:pStyle w:val="TableParagraph"/>
              <w:spacing w:before="7"/>
              <w:ind w:left="108"/>
              <w:rPr>
                <w:sz w:val="24"/>
              </w:rPr>
            </w:pPr>
            <w:r>
              <w:rPr>
                <w:spacing w:val="-5"/>
                <w:sz w:val="24"/>
              </w:rPr>
              <w:t>70</w:t>
            </w:r>
          </w:p>
        </w:tc>
        <w:tc>
          <w:tcPr>
            <w:tcW w:w="1308" w:type="dxa"/>
          </w:tcPr>
          <w:p>
            <w:pPr>
              <w:pStyle w:val="TableParagraph"/>
              <w:spacing w:before="7"/>
              <w:ind w:left="300"/>
              <w:rPr>
                <w:sz w:val="24"/>
              </w:rPr>
            </w:pPr>
            <w:r>
              <w:rPr>
                <w:spacing w:val="-2"/>
                <w:sz w:val="24"/>
              </w:rPr>
              <w:t>0.302281</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1.511406844</w:t>
            </w:r>
          </w:p>
        </w:tc>
        <w:tc>
          <w:tcPr>
            <w:tcW w:w="1229" w:type="dxa"/>
          </w:tcPr>
          <w:p>
            <w:pPr>
              <w:pStyle w:val="TableParagraph"/>
              <w:spacing w:before="7"/>
              <w:ind w:left="167"/>
              <w:rPr>
                <w:sz w:val="24"/>
              </w:rPr>
            </w:pPr>
            <w:r>
              <w:rPr>
                <w:spacing w:val="-2"/>
                <w:sz w:val="24"/>
              </w:rPr>
              <w:t>6.040875</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221.2928</w:t>
            </w:r>
          </w:p>
        </w:tc>
        <w:tc>
          <w:tcPr>
            <w:tcW w:w="1116" w:type="dxa"/>
          </w:tcPr>
          <w:p>
            <w:pPr>
              <w:pStyle w:val="TableParagraph"/>
              <w:spacing w:before="7"/>
              <w:ind w:left="107"/>
              <w:rPr>
                <w:sz w:val="24"/>
              </w:rPr>
            </w:pPr>
            <w:r>
              <w:rPr>
                <w:spacing w:val="-2"/>
                <w:sz w:val="24"/>
              </w:rPr>
              <w:t>0.221293</w:t>
            </w:r>
          </w:p>
        </w:tc>
        <w:tc>
          <w:tcPr>
            <w:tcW w:w="768" w:type="dxa"/>
          </w:tcPr>
          <w:p>
            <w:pPr>
              <w:pStyle w:val="TableParagraph"/>
              <w:spacing w:before="7"/>
              <w:ind w:left="108"/>
              <w:rPr>
                <w:sz w:val="24"/>
              </w:rPr>
            </w:pPr>
            <w:r>
              <w:rPr>
                <w:spacing w:val="-5"/>
                <w:sz w:val="24"/>
              </w:rPr>
              <w:t>80</w:t>
            </w:r>
          </w:p>
        </w:tc>
        <w:tc>
          <w:tcPr>
            <w:tcW w:w="1308" w:type="dxa"/>
          </w:tcPr>
          <w:p>
            <w:pPr>
              <w:pStyle w:val="TableParagraph"/>
              <w:spacing w:before="7"/>
              <w:ind w:left="300"/>
              <w:rPr>
                <w:sz w:val="24"/>
              </w:rPr>
            </w:pPr>
            <w:r>
              <w:rPr>
                <w:spacing w:val="-2"/>
                <w:sz w:val="24"/>
              </w:rPr>
              <w:t>0.396198</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1.980988593</w:t>
            </w:r>
          </w:p>
        </w:tc>
        <w:tc>
          <w:tcPr>
            <w:tcW w:w="1229" w:type="dxa"/>
          </w:tcPr>
          <w:p>
            <w:pPr>
              <w:pStyle w:val="TableParagraph"/>
              <w:spacing w:before="7"/>
              <w:ind w:left="167"/>
              <w:rPr>
                <w:sz w:val="24"/>
              </w:rPr>
            </w:pPr>
            <w:r>
              <w:rPr>
                <w:spacing w:val="-2"/>
                <w:sz w:val="24"/>
              </w:rPr>
              <w:t>8.021863</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229.2776</w:t>
            </w:r>
          </w:p>
        </w:tc>
        <w:tc>
          <w:tcPr>
            <w:tcW w:w="1116" w:type="dxa"/>
          </w:tcPr>
          <w:p>
            <w:pPr>
              <w:pStyle w:val="TableParagraph"/>
              <w:spacing w:before="7"/>
              <w:ind w:left="107"/>
              <w:rPr>
                <w:sz w:val="24"/>
              </w:rPr>
            </w:pPr>
            <w:r>
              <w:rPr>
                <w:spacing w:val="-2"/>
                <w:sz w:val="24"/>
              </w:rPr>
              <w:t>0.229278</w:t>
            </w:r>
          </w:p>
        </w:tc>
        <w:tc>
          <w:tcPr>
            <w:tcW w:w="768" w:type="dxa"/>
          </w:tcPr>
          <w:p>
            <w:pPr>
              <w:pStyle w:val="TableParagraph"/>
              <w:spacing w:before="7"/>
              <w:ind w:left="108"/>
              <w:rPr>
                <w:sz w:val="24"/>
              </w:rPr>
            </w:pPr>
            <w:r>
              <w:rPr>
                <w:spacing w:val="-5"/>
                <w:sz w:val="24"/>
              </w:rPr>
              <w:t>90</w:t>
            </w:r>
          </w:p>
        </w:tc>
        <w:tc>
          <w:tcPr>
            <w:tcW w:w="1308" w:type="dxa"/>
          </w:tcPr>
          <w:p>
            <w:pPr>
              <w:pStyle w:val="TableParagraph"/>
              <w:spacing w:before="7"/>
              <w:ind w:left="300"/>
              <w:rPr>
                <w:sz w:val="24"/>
              </w:rPr>
            </w:pPr>
            <w:r>
              <w:rPr>
                <w:spacing w:val="-2"/>
                <w:sz w:val="24"/>
              </w:rPr>
              <w:t>0.45057</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2.252851711</w:t>
            </w:r>
          </w:p>
        </w:tc>
        <w:tc>
          <w:tcPr>
            <w:tcW w:w="1229" w:type="dxa"/>
          </w:tcPr>
          <w:p>
            <w:pPr>
              <w:pStyle w:val="TableParagraph"/>
              <w:spacing w:before="7"/>
              <w:ind w:left="167"/>
              <w:rPr>
                <w:sz w:val="24"/>
              </w:rPr>
            </w:pPr>
            <w:r>
              <w:rPr>
                <w:spacing w:val="-2"/>
                <w:sz w:val="24"/>
              </w:rPr>
              <w:t>10.27471</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230.038</w:t>
            </w:r>
          </w:p>
        </w:tc>
        <w:tc>
          <w:tcPr>
            <w:tcW w:w="1116" w:type="dxa"/>
          </w:tcPr>
          <w:p>
            <w:pPr>
              <w:pStyle w:val="TableParagraph"/>
              <w:spacing w:before="7"/>
              <w:ind w:left="107"/>
              <w:rPr>
                <w:sz w:val="24"/>
              </w:rPr>
            </w:pPr>
            <w:r>
              <w:rPr>
                <w:spacing w:val="-2"/>
                <w:sz w:val="24"/>
              </w:rPr>
              <w:t>0.230038</w:t>
            </w:r>
          </w:p>
        </w:tc>
        <w:tc>
          <w:tcPr>
            <w:tcW w:w="768" w:type="dxa"/>
          </w:tcPr>
          <w:p>
            <w:pPr>
              <w:pStyle w:val="TableParagraph"/>
              <w:spacing w:before="7"/>
              <w:ind w:left="108"/>
              <w:rPr>
                <w:sz w:val="24"/>
              </w:rPr>
            </w:pPr>
            <w:r>
              <w:rPr>
                <w:spacing w:val="-5"/>
                <w:sz w:val="24"/>
              </w:rPr>
              <w:t>100</w:t>
            </w:r>
          </w:p>
        </w:tc>
        <w:tc>
          <w:tcPr>
            <w:tcW w:w="1308" w:type="dxa"/>
          </w:tcPr>
          <w:p>
            <w:pPr>
              <w:pStyle w:val="TableParagraph"/>
              <w:spacing w:before="7"/>
              <w:ind w:left="300"/>
              <w:rPr>
                <w:sz w:val="24"/>
              </w:rPr>
            </w:pPr>
            <w:r>
              <w:rPr>
                <w:spacing w:val="-2"/>
                <w:sz w:val="24"/>
              </w:rPr>
              <w:t>0.459316</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2.296577947</w:t>
            </w:r>
          </w:p>
        </w:tc>
        <w:tc>
          <w:tcPr>
            <w:tcW w:w="1229" w:type="dxa"/>
          </w:tcPr>
          <w:p>
            <w:pPr>
              <w:pStyle w:val="TableParagraph"/>
              <w:spacing w:before="7"/>
              <w:ind w:left="167"/>
              <w:rPr>
                <w:sz w:val="24"/>
              </w:rPr>
            </w:pPr>
            <w:r>
              <w:rPr>
                <w:spacing w:val="-2"/>
                <w:sz w:val="24"/>
              </w:rPr>
              <w:t>12.57129</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286" w:hRule="atLeast"/>
        </w:trPr>
        <w:tc>
          <w:tcPr>
            <w:tcW w:w="1058" w:type="dxa"/>
          </w:tcPr>
          <w:p>
            <w:pPr>
              <w:pStyle w:val="TableParagraph"/>
              <w:spacing w:line="260" w:lineRule="exact" w:before="7"/>
              <w:ind w:left="50"/>
              <w:rPr>
                <w:sz w:val="24"/>
              </w:rPr>
            </w:pPr>
            <w:r>
              <w:rPr>
                <w:spacing w:val="-2"/>
                <w:sz w:val="24"/>
              </w:rPr>
              <w:t>251.711</w:t>
            </w:r>
          </w:p>
        </w:tc>
        <w:tc>
          <w:tcPr>
            <w:tcW w:w="1116" w:type="dxa"/>
          </w:tcPr>
          <w:p>
            <w:pPr>
              <w:pStyle w:val="TableParagraph"/>
              <w:spacing w:line="260" w:lineRule="exact" w:before="7"/>
              <w:ind w:left="107"/>
              <w:rPr>
                <w:sz w:val="24"/>
              </w:rPr>
            </w:pPr>
            <w:r>
              <w:rPr>
                <w:spacing w:val="-2"/>
                <w:sz w:val="24"/>
              </w:rPr>
              <w:t>0.251711</w:t>
            </w:r>
          </w:p>
        </w:tc>
        <w:tc>
          <w:tcPr>
            <w:tcW w:w="768" w:type="dxa"/>
          </w:tcPr>
          <w:p>
            <w:pPr>
              <w:pStyle w:val="TableParagraph"/>
              <w:spacing w:line="260" w:lineRule="exact" w:before="7"/>
              <w:ind w:left="108"/>
              <w:rPr>
                <w:sz w:val="24"/>
              </w:rPr>
            </w:pPr>
            <w:r>
              <w:rPr>
                <w:spacing w:val="-5"/>
                <w:sz w:val="24"/>
              </w:rPr>
              <w:t>110</w:t>
            </w:r>
          </w:p>
        </w:tc>
        <w:tc>
          <w:tcPr>
            <w:tcW w:w="1308" w:type="dxa"/>
          </w:tcPr>
          <w:p>
            <w:pPr>
              <w:pStyle w:val="TableParagraph"/>
              <w:spacing w:line="260" w:lineRule="exact" w:before="7"/>
              <w:ind w:left="300"/>
              <w:rPr>
                <w:sz w:val="24"/>
              </w:rPr>
            </w:pPr>
            <w:r>
              <w:rPr>
                <w:spacing w:val="-2"/>
                <w:sz w:val="24"/>
              </w:rPr>
              <w:t>0.481749</w:t>
            </w:r>
          </w:p>
        </w:tc>
        <w:tc>
          <w:tcPr>
            <w:tcW w:w="708" w:type="dxa"/>
          </w:tcPr>
          <w:p>
            <w:pPr>
              <w:pStyle w:val="TableParagraph"/>
              <w:spacing w:line="260" w:lineRule="exact" w:before="7"/>
              <w:ind w:left="108"/>
              <w:rPr>
                <w:sz w:val="24"/>
              </w:rPr>
            </w:pPr>
            <w:r>
              <w:rPr>
                <w:spacing w:val="-5"/>
                <w:sz w:val="24"/>
              </w:rPr>
              <w:t>10</w:t>
            </w:r>
          </w:p>
        </w:tc>
        <w:tc>
          <w:tcPr>
            <w:tcW w:w="1679" w:type="dxa"/>
          </w:tcPr>
          <w:p>
            <w:pPr>
              <w:pStyle w:val="TableParagraph"/>
              <w:spacing w:line="260" w:lineRule="exact" w:before="7"/>
              <w:ind w:left="360"/>
              <w:rPr>
                <w:sz w:val="24"/>
              </w:rPr>
            </w:pPr>
            <w:r>
              <w:rPr>
                <w:spacing w:val="-2"/>
                <w:sz w:val="24"/>
              </w:rPr>
              <w:t>2.408745247</w:t>
            </w:r>
          </w:p>
        </w:tc>
        <w:tc>
          <w:tcPr>
            <w:tcW w:w="1229" w:type="dxa"/>
          </w:tcPr>
          <w:p>
            <w:pPr>
              <w:pStyle w:val="TableParagraph"/>
              <w:spacing w:line="260" w:lineRule="exact" w:before="7"/>
              <w:ind w:left="167"/>
              <w:rPr>
                <w:sz w:val="24"/>
              </w:rPr>
            </w:pPr>
            <w:r>
              <w:rPr>
                <w:spacing w:val="-2"/>
                <w:sz w:val="24"/>
              </w:rPr>
              <w:t>14.98004</w:t>
            </w:r>
          </w:p>
        </w:tc>
        <w:tc>
          <w:tcPr>
            <w:tcW w:w="600" w:type="dxa"/>
          </w:tcPr>
          <w:p>
            <w:pPr>
              <w:pStyle w:val="TableParagraph"/>
              <w:spacing w:line="240" w:lineRule="auto"/>
              <w:rPr>
                <w:sz w:val="20"/>
              </w:rPr>
            </w:pPr>
          </w:p>
        </w:tc>
        <w:tc>
          <w:tcPr>
            <w:tcW w:w="1363" w:type="dxa"/>
          </w:tcPr>
          <w:p>
            <w:pPr>
              <w:pStyle w:val="TableParagraph"/>
              <w:spacing w:line="240" w:lineRule="auto"/>
              <w:rPr>
                <w:sz w:val="20"/>
              </w:rPr>
            </w:pPr>
          </w:p>
        </w:tc>
      </w:tr>
      <w:tr>
        <w:trPr>
          <w:trHeight w:val="455" w:hRule="atLeast"/>
        </w:trPr>
        <w:tc>
          <w:tcPr>
            <w:tcW w:w="1058" w:type="dxa"/>
          </w:tcPr>
          <w:p>
            <w:pPr>
              <w:pStyle w:val="TableParagraph"/>
              <w:spacing w:line="240" w:lineRule="auto" w:before="20"/>
              <w:ind w:left="50"/>
              <w:rPr>
                <w:sz w:val="24"/>
              </w:rPr>
            </w:pPr>
            <w:r>
              <w:rPr>
                <w:spacing w:val="-2"/>
                <w:sz w:val="24"/>
              </w:rPr>
              <w:t>255.1331</w:t>
            </w:r>
          </w:p>
        </w:tc>
        <w:tc>
          <w:tcPr>
            <w:tcW w:w="1116" w:type="dxa"/>
          </w:tcPr>
          <w:p>
            <w:pPr>
              <w:pStyle w:val="TableParagraph"/>
              <w:spacing w:line="240" w:lineRule="auto" w:before="20"/>
              <w:ind w:left="107"/>
              <w:rPr>
                <w:sz w:val="24"/>
              </w:rPr>
            </w:pPr>
            <w:r>
              <w:rPr>
                <w:spacing w:val="-2"/>
                <w:sz w:val="24"/>
              </w:rPr>
              <w:t>0.255133</w:t>
            </w:r>
          </w:p>
        </w:tc>
        <w:tc>
          <w:tcPr>
            <w:tcW w:w="768" w:type="dxa"/>
          </w:tcPr>
          <w:p>
            <w:pPr>
              <w:pStyle w:val="TableParagraph"/>
              <w:spacing w:line="240" w:lineRule="auto" w:before="20"/>
              <w:ind w:left="108"/>
              <w:rPr>
                <w:sz w:val="24"/>
              </w:rPr>
            </w:pPr>
            <w:r>
              <w:rPr>
                <w:spacing w:val="-5"/>
                <w:sz w:val="24"/>
              </w:rPr>
              <w:t>120</w:t>
            </w:r>
          </w:p>
        </w:tc>
        <w:tc>
          <w:tcPr>
            <w:tcW w:w="1308" w:type="dxa"/>
          </w:tcPr>
          <w:p>
            <w:pPr>
              <w:pStyle w:val="TableParagraph"/>
              <w:spacing w:line="240" w:lineRule="auto" w:before="20"/>
              <w:ind w:left="300"/>
              <w:rPr>
                <w:sz w:val="24"/>
              </w:rPr>
            </w:pPr>
            <w:r>
              <w:rPr>
                <w:spacing w:val="-2"/>
                <w:sz w:val="24"/>
              </w:rPr>
              <w:t>0.506844</w:t>
            </w:r>
          </w:p>
        </w:tc>
        <w:tc>
          <w:tcPr>
            <w:tcW w:w="708" w:type="dxa"/>
          </w:tcPr>
          <w:p>
            <w:pPr>
              <w:pStyle w:val="TableParagraph"/>
              <w:spacing w:line="240" w:lineRule="auto" w:before="20"/>
              <w:ind w:left="108"/>
              <w:rPr>
                <w:sz w:val="24"/>
              </w:rPr>
            </w:pPr>
            <w:r>
              <w:rPr>
                <w:spacing w:val="-5"/>
                <w:sz w:val="24"/>
              </w:rPr>
              <w:t>10</w:t>
            </w:r>
          </w:p>
        </w:tc>
        <w:tc>
          <w:tcPr>
            <w:tcW w:w="1679" w:type="dxa"/>
          </w:tcPr>
          <w:p>
            <w:pPr>
              <w:pStyle w:val="TableParagraph"/>
              <w:spacing w:line="240" w:lineRule="auto" w:before="20"/>
              <w:ind w:left="360"/>
              <w:rPr>
                <w:sz w:val="24"/>
              </w:rPr>
            </w:pPr>
            <w:r>
              <w:rPr>
                <w:spacing w:val="-2"/>
                <w:sz w:val="24"/>
              </w:rPr>
              <w:t>2.534220532</w:t>
            </w:r>
          </w:p>
        </w:tc>
        <w:tc>
          <w:tcPr>
            <w:tcW w:w="1229" w:type="dxa"/>
          </w:tcPr>
          <w:p>
            <w:pPr>
              <w:pStyle w:val="TableParagraph"/>
              <w:spacing w:line="240" w:lineRule="auto" w:before="20"/>
              <w:ind w:right="50"/>
              <w:jc w:val="right"/>
              <w:rPr>
                <w:sz w:val="24"/>
              </w:rPr>
            </w:pPr>
            <w:r>
              <w:rPr>
                <w:color w:val="000000"/>
                <w:spacing w:val="48"/>
                <w:sz w:val="24"/>
                <w:highlight w:val="yellow"/>
              </w:rPr>
              <w:t> </w:t>
            </w:r>
            <w:r>
              <w:rPr>
                <w:color w:val="000000"/>
                <w:spacing w:val="-2"/>
                <w:sz w:val="24"/>
                <w:highlight w:val="yellow"/>
              </w:rPr>
              <w:t>17.51426</w:t>
            </w:r>
            <w:r>
              <w:rPr>
                <w:color w:val="000000"/>
                <w:spacing w:val="80"/>
                <w:sz w:val="24"/>
                <w:highlight w:val="yellow"/>
              </w:rPr>
              <w:t> </w:t>
            </w:r>
          </w:p>
        </w:tc>
        <w:tc>
          <w:tcPr>
            <w:tcW w:w="600" w:type="dxa"/>
          </w:tcPr>
          <w:p>
            <w:pPr>
              <w:pStyle w:val="TableParagraph"/>
              <w:spacing w:line="240" w:lineRule="auto"/>
              <w:rPr>
                <w:sz w:val="24"/>
              </w:rPr>
            </w:pPr>
          </w:p>
        </w:tc>
        <w:tc>
          <w:tcPr>
            <w:tcW w:w="1363" w:type="dxa"/>
          </w:tcPr>
          <w:p>
            <w:pPr>
              <w:pStyle w:val="TableParagraph"/>
              <w:spacing w:line="240" w:lineRule="auto"/>
              <w:rPr>
                <w:sz w:val="24"/>
              </w:rPr>
            </w:pPr>
          </w:p>
        </w:tc>
      </w:tr>
      <w:tr>
        <w:trPr>
          <w:trHeight w:val="709" w:hRule="atLeast"/>
        </w:trPr>
        <w:tc>
          <w:tcPr>
            <w:tcW w:w="1058" w:type="dxa"/>
          </w:tcPr>
          <w:p>
            <w:pPr>
              <w:pStyle w:val="TableParagraph"/>
              <w:spacing w:line="270" w:lineRule="atLeast" w:before="138"/>
              <w:ind w:left="50" w:right="280"/>
              <w:rPr>
                <w:sz w:val="24"/>
              </w:rPr>
            </w:pPr>
            <w:r>
              <w:rPr>
                <w:spacing w:val="-2"/>
                <w:sz w:val="24"/>
              </w:rPr>
              <w:t>Sample </w:t>
            </w:r>
            <w:r>
              <w:rPr>
                <w:spacing w:val="-10"/>
                <w:sz w:val="24"/>
              </w:rPr>
              <w:t>B</w:t>
            </w:r>
          </w:p>
        </w:tc>
        <w:tc>
          <w:tcPr>
            <w:tcW w:w="1116" w:type="dxa"/>
          </w:tcPr>
          <w:p>
            <w:pPr>
              <w:pStyle w:val="TableParagraph"/>
              <w:spacing w:line="240" w:lineRule="auto"/>
              <w:rPr>
                <w:sz w:val="24"/>
              </w:rPr>
            </w:pPr>
          </w:p>
        </w:tc>
        <w:tc>
          <w:tcPr>
            <w:tcW w:w="768" w:type="dxa"/>
          </w:tcPr>
          <w:p>
            <w:pPr>
              <w:pStyle w:val="TableParagraph"/>
              <w:spacing w:line="240" w:lineRule="auto"/>
              <w:rPr>
                <w:sz w:val="24"/>
              </w:rPr>
            </w:pPr>
          </w:p>
        </w:tc>
        <w:tc>
          <w:tcPr>
            <w:tcW w:w="1308" w:type="dxa"/>
          </w:tcPr>
          <w:p>
            <w:pPr>
              <w:pStyle w:val="TableParagraph"/>
              <w:spacing w:line="240" w:lineRule="auto"/>
              <w:rPr>
                <w:sz w:val="24"/>
              </w:rPr>
            </w:pPr>
          </w:p>
        </w:tc>
        <w:tc>
          <w:tcPr>
            <w:tcW w:w="708" w:type="dxa"/>
          </w:tcPr>
          <w:p>
            <w:pPr>
              <w:pStyle w:val="TableParagraph"/>
              <w:spacing w:line="240" w:lineRule="auto"/>
              <w:rPr>
                <w:sz w:val="24"/>
              </w:rPr>
            </w:pPr>
          </w:p>
        </w:tc>
        <w:tc>
          <w:tcPr>
            <w:tcW w:w="1679" w:type="dxa"/>
          </w:tcPr>
          <w:p>
            <w:pPr>
              <w:pStyle w:val="TableParagraph"/>
              <w:spacing w:line="240" w:lineRule="auto"/>
              <w:rPr>
                <w:sz w:val="24"/>
              </w:rPr>
            </w:pPr>
          </w:p>
        </w:tc>
        <w:tc>
          <w:tcPr>
            <w:tcW w:w="1229" w:type="dxa"/>
          </w:tcPr>
          <w:p>
            <w:pPr>
              <w:pStyle w:val="TableParagraph"/>
              <w:spacing w:line="240" w:lineRule="auto"/>
              <w:rPr>
                <w:sz w:val="24"/>
              </w:rPr>
            </w:pPr>
          </w:p>
        </w:tc>
        <w:tc>
          <w:tcPr>
            <w:tcW w:w="600" w:type="dxa"/>
          </w:tcPr>
          <w:p>
            <w:pPr>
              <w:pStyle w:val="TableParagraph"/>
              <w:spacing w:line="240" w:lineRule="auto"/>
              <w:rPr>
                <w:sz w:val="24"/>
              </w:rPr>
            </w:pPr>
          </w:p>
        </w:tc>
        <w:tc>
          <w:tcPr>
            <w:tcW w:w="1363" w:type="dxa"/>
          </w:tcPr>
          <w:p>
            <w:pPr>
              <w:pStyle w:val="TableParagraph"/>
              <w:spacing w:line="240" w:lineRule="auto"/>
              <w:rPr>
                <w:sz w:val="24"/>
              </w:rPr>
            </w:pPr>
          </w:p>
        </w:tc>
      </w:tr>
      <w:tr>
        <w:trPr>
          <w:trHeight w:val="300" w:hRule="atLeast"/>
        </w:trPr>
        <w:tc>
          <w:tcPr>
            <w:tcW w:w="1058" w:type="dxa"/>
          </w:tcPr>
          <w:p>
            <w:pPr>
              <w:pStyle w:val="TableParagraph"/>
              <w:spacing w:before="7"/>
              <w:ind w:left="50"/>
              <w:rPr>
                <w:sz w:val="24"/>
              </w:rPr>
            </w:pPr>
            <w:r>
              <w:rPr>
                <w:spacing w:val="-10"/>
                <w:sz w:val="24"/>
              </w:rPr>
              <w:t>0</w:t>
            </w:r>
          </w:p>
        </w:tc>
        <w:tc>
          <w:tcPr>
            <w:tcW w:w="1116" w:type="dxa"/>
          </w:tcPr>
          <w:p>
            <w:pPr>
              <w:pStyle w:val="TableParagraph"/>
              <w:spacing w:before="7"/>
              <w:ind w:left="107"/>
              <w:rPr>
                <w:sz w:val="24"/>
              </w:rPr>
            </w:pPr>
            <w:r>
              <w:rPr>
                <w:spacing w:val="-10"/>
                <w:sz w:val="24"/>
              </w:rPr>
              <w:t>0</w:t>
            </w:r>
          </w:p>
        </w:tc>
        <w:tc>
          <w:tcPr>
            <w:tcW w:w="768" w:type="dxa"/>
          </w:tcPr>
          <w:p>
            <w:pPr>
              <w:pStyle w:val="TableParagraph"/>
              <w:spacing w:before="7"/>
              <w:ind w:left="108"/>
              <w:rPr>
                <w:sz w:val="24"/>
              </w:rPr>
            </w:pPr>
            <w:r>
              <w:rPr>
                <w:spacing w:val="-10"/>
                <w:sz w:val="24"/>
              </w:rPr>
              <w:t>0</w:t>
            </w:r>
          </w:p>
        </w:tc>
        <w:tc>
          <w:tcPr>
            <w:tcW w:w="1308" w:type="dxa"/>
          </w:tcPr>
          <w:p>
            <w:pPr>
              <w:pStyle w:val="TableParagraph"/>
              <w:spacing w:line="240" w:lineRule="auto"/>
              <w:rPr>
                <w:sz w:val="22"/>
              </w:rPr>
            </w:pPr>
          </w:p>
        </w:tc>
        <w:tc>
          <w:tcPr>
            <w:tcW w:w="708" w:type="dxa"/>
          </w:tcPr>
          <w:p>
            <w:pPr>
              <w:pStyle w:val="TableParagraph"/>
              <w:spacing w:line="240" w:lineRule="auto"/>
              <w:rPr>
                <w:sz w:val="22"/>
              </w:rPr>
            </w:pPr>
          </w:p>
        </w:tc>
        <w:tc>
          <w:tcPr>
            <w:tcW w:w="1679" w:type="dxa"/>
          </w:tcPr>
          <w:p>
            <w:pPr>
              <w:pStyle w:val="TableParagraph"/>
              <w:spacing w:before="7"/>
              <w:ind w:left="360"/>
              <w:rPr>
                <w:sz w:val="24"/>
              </w:rPr>
            </w:pPr>
            <w:r>
              <w:rPr>
                <w:spacing w:val="-10"/>
                <w:sz w:val="24"/>
              </w:rPr>
              <w:t>0</w:t>
            </w:r>
          </w:p>
        </w:tc>
        <w:tc>
          <w:tcPr>
            <w:tcW w:w="1229" w:type="dxa"/>
          </w:tcPr>
          <w:p>
            <w:pPr>
              <w:pStyle w:val="TableParagraph"/>
              <w:spacing w:line="240" w:lineRule="auto"/>
              <w:rPr>
                <w:sz w:val="22"/>
              </w:rPr>
            </w:pP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306.8821</w:t>
            </w:r>
          </w:p>
        </w:tc>
        <w:tc>
          <w:tcPr>
            <w:tcW w:w="1116" w:type="dxa"/>
          </w:tcPr>
          <w:p>
            <w:pPr>
              <w:pStyle w:val="TableParagraph"/>
              <w:spacing w:before="7"/>
              <w:ind w:left="107"/>
              <w:rPr>
                <w:sz w:val="24"/>
              </w:rPr>
            </w:pPr>
            <w:r>
              <w:rPr>
                <w:spacing w:val="-2"/>
                <w:sz w:val="24"/>
              </w:rPr>
              <w:t>0.306882</w:t>
            </w:r>
          </w:p>
        </w:tc>
        <w:tc>
          <w:tcPr>
            <w:tcW w:w="768" w:type="dxa"/>
          </w:tcPr>
          <w:p>
            <w:pPr>
              <w:pStyle w:val="TableParagraph"/>
              <w:spacing w:before="7"/>
              <w:ind w:left="108"/>
              <w:rPr>
                <w:sz w:val="24"/>
              </w:rPr>
            </w:pPr>
            <w:r>
              <w:rPr>
                <w:spacing w:val="-10"/>
                <w:sz w:val="24"/>
              </w:rPr>
              <w:t>5</w:t>
            </w:r>
          </w:p>
        </w:tc>
        <w:tc>
          <w:tcPr>
            <w:tcW w:w="1308" w:type="dxa"/>
          </w:tcPr>
          <w:p>
            <w:pPr>
              <w:pStyle w:val="TableParagraph"/>
              <w:spacing w:before="7"/>
              <w:ind w:left="300"/>
              <w:rPr>
                <w:sz w:val="24"/>
              </w:rPr>
            </w:pPr>
            <w:r>
              <w:rPr>
                <w:spacing w:val="-2"/>
                <w:sz w:val="24"/>
              </w:rPr>
              <w:t>0.306882</w:t>
            </w:r>
          </w:p>
        </w:tc>
        <w:tc>
          <w:tcPr>
            <w:tcW w:w="708" w:type="dxa"/>
          </w:tcPr>
          <w:p>
            <w:pPr>
              <w:pStyle w:val="TableParagraph"/>
              <w:spacing w:before="7"/>
              <w:ind w:left="108"/>
              <w:rPr>
                <w:sz w:val="24"/>
              </w:rPr>
            </w:pPr>
            <w:r>
              <w:rPr>
                <w:spacing w:val="-10"/>
                <w:sz w:val="24"/>
              </w:rPr>
              <w:t>5</w:t>
            </w:r>
          </w:p>
        </w:tc>
        <w:tc>
          <w:tcPr>
            <w:tcW w:w="1679" w:type="dxa"/>
          </w:tcPr>
          <w:p>
            <w:pPr>
              <w:pStyle w:val="TableParagraph"/>
              <w:spacing w:before="7"/>
              <w:ind w:left="360"/>
              <w:rPr>
                <w:sz w:val="24"/>
              </w:rPr>
            </w:pPr>
            <w:r>
              <w:rPr>
                <w:spacing w:val="-2"/>
                <w:sz w:val="24"/>
              </w:rPr>
              <w:t>0.767205323</w:t>
            </w:r>
          </w:p>
        </w:tc>
        <w:tc>
          <w:tcPr>
            <w:tcW w:w="1229" w:type="dxa"/>
          </w:tcPr>
          <w:p>
            <w:pPr>
              <w:pStyle w:val="TableParagraph"/>
              <w:spacing w:before="7"/>
              <w:ind w:left="167"/>
              <w:rPr>
                <w:sz w:val="24"/>
              </w:rPr>
            </w:pPr>
            <w:r>
              <w:rPr>
                <w:spacing w:val="-2"/>
                <w:sz w:val="24"/>
              </w:rPr>
              <w:t>0.767205</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313.9924</w:t>
            </w:r>
          </w:p>
        </w:tc>
        <w:tc>
          <w:tcPr>
            <w:tcW w:w="1116" w:type="dxa"/>
          </w:tcPr>
          <w:p>
            <w:pPr>
              <w:pStyle w:val="TableParagraph"/>
              <w:spacing w:before="7"/>
              <w:ind w:left="107"/>
              <w:rPr>
                <w:sz w:val="24"/>
              </w:rPr>
            </w:pPr>
            <w:r>
              <w:rPr>
                <w:spacing w:val="-2"/>
                <w:sz w:val="24"/>
              </w:rPr>
              <w:t>0.313992</w:t>
            </w:r>
          </w:p>
        </w:tc>
        <w:tc>
          <w:tcPr>
            <w:tcW w:w="768" w:type="dxa"/>
          </w:tcPr>
          <w:p>
            <w:pPr>
              <w:pStyle w:val="TableParagraph"/>
              <w:spacing w:before="7"/>
              <w:ind w:left="108"/>
              <w:rPr>
                <w:sz w:val="24"/>
              </w:rPr>
            </w:pPr>
            <w:r>
              <w:rPr>
                <w:spacing w:val="-5"/>
                <w:sz w:val="24"/>
              </w:rPr>
              <w:t>10</w:t>
            </w:r>
          </w:p>
        </w:tc>
        <w:tc>
          <w:tcPr>
            <w:tcW w:w="1308" w:type="dxa"/>
          </w:tcPr>
          <w:p>
            <w:pPr>
              <w:pStyle w:val="TableParagraph"/>
              <w:spacing w:before="7"/>
              <w:ind w:left="300"/>
              <w:rPr>
                <w:sz w:val="24"/>
              </w:rPr>
            </w:pPr>
            <w:r>
              <w:rPr>
                <w:spacing w:val="-2"/>
                <w:sz w:val="24"/>
              </w:rPr>
              <w:t>0.620875</w:t>
            </w:r>
          </w:p>
        </w:tc>
        <w:tc>
          <w:tcPr>
            <w:tcW w:w="708" w:type="dxa"/>
          </w:tcPr>
          <w:p>
            <w:pPr>
              <w:pStyle w:val="TableParagraph"/>
              <w:spacing w:before="7"/>
              <w:ind w:left="108"/>
              <w:rPr>
                <w:sz w:val="24"/>
              </w:rPr>
            </w:pPr>
            <w:r>
              <w:rPr>
                <w:spacing w:val="-10"/>
                <w:sz w:val="24"/>
              </w:rPr>
              <w:t>5</w:t>
            </w:r>
          </w:p>
        </w:tc>
        <w:tc>
          <w:tcPr>
            <w:tcW w:w="1679" w:type="dxa"/>
          </w:tcPr>
          <w:p>
            <w:pPr>
              <w:pStyle w:val="TableParagraph"/>
              <w:spacing w:before="7"/>
              <w:ind w:left="360"/>
              <w:rPr>
                <w:sz w:val="24"/>
              </w:rPr>
            </w:pPr>
            <w:r>
              <w:rPr>
                <w:spacing w:val="-2"/>
                <w:sz w:val="24"/>
              </w:rPr>
              <w:t>1.552186312</w:t>
            </w:r>
          </w:p>
        </w:tc>
        <w:tc>
          <w:tcPr>
            <w:tcW w:w="1229" w:type="dxa"/>
          </w:tcPr>
          <w:p>
            <w:pPr>
              <w:pStyle w:val="TableParagraph"/>
              <w:spacing w:before="7"/>
              <w:ind w:left="167"/>
              <w:rPr>
                <w:sz w:val="24"/>
              </w:rPr>
            </w:pPr>
            <w:r>
              <w:rPr>
                <w:spacing w:val="-2"/>
                <w:sz w:val="24"/>
              </w:rPr>
              <w:t>2.319392</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315.9354</w:t>
            </w:r>
          </w:p>
        </w:tc>
        <w:tc>
          <w:tcPr>
            <w:tcW w:w="1116" w:type="dxa"/>
          </w:tcPr>
          <w:p>
            <w:pPr>
              <w:pStyle w:val="TableParagraph"/>
              <w:spacing w:before="7"/>
              <w:ind w:left="107"/>
              <w:rPr>
                <w:sz w:val="24"/>
              </w:rPr>
            </w:pPr>
            <w:r>
              <w:rPr>
                <w:spacing w:val="-2"/>
                <w:sz w:val="24"/>
              </w:rPr>
              <w:t>0.315935</w:t>
            </w:r>
          </w:p>
        </w:tc>
        <w:tc>
          <w:tcPr>
            <w:tcW w:w="768" w:type="dxa"/>
          </w:tcPr>
          <w:p>
            <w:pPr>
              <w:pStyle w:val="TableParagraph"/>
              <w:spacing w:before="7"/>
              <w:ind w:left="108"/>
              <w:rPr>
                <w:sz w:val="24"/>
              </w:rPr>
            </w:pPr>
            <w:r>
              <w:rPr>
                <w:spacing w:val="-5"/>
                <w:sz w:val="24"/>
              </w:rPr>
              <w:t>20</w:t>
            </w:r>
          </w:p>
        </w:tc>
        <w:tc>
          <w:tcPr>
            <w:tcW w:w="1308" w:type="dxa"/>
          </w:tcPr>
          <w:p>
            <w:pPr>
              <w:pStyle w:val="TableParagraph"/>
              <w:spacing w:before="7"/>
              <w:ind w:left="300"/>
              <w:rPr>
                <w:sz w:val="24"/>
              </w:rPr>
            </w:pPr>
            <w:r>
              <w:rPr>
                <w:spacing w:val="-2"/>
                <w:sz w:val="24"/>
              </w:rPr>
              <w:t>0.629928</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3.149638783</w:t>
            </w:r>
          </w:p>
        </w:tc>
        <w:tc>
          <w:tcPr>
            <w:tcW w:w="1229" w:type="dxa"/>
          </w:tcPr>
          <w:p>
            <w:pPr>
              <w:pStyle w:val="TableParagraph"/>
              <w:spacing w:before="7"/>
              <w:ind w:left="167"/>
              <w:rPr>
                <w:sz w:val="24"/>
              </w:rPr>
            </w:pPr>
            <w:r>
              <w:rPr>
                <w:spacing w:val="-2"/>
                <w:sz w:val="24"/>
              </w:rPr>
              <w:t>5.46903</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318.8631</w:t>
            </w:r>
          </w:p>
        </w:tc>
        <w:tc>
          <w:tcPr>
            <w:tcW w:w="1116" w:type="dxa"/>
          </w:tcPr>
          <w:p>
            <w:pPr>
              <w:pStyle w:val="TableParagraph"/>
              <w:spacing w:before="7"/>
              <w:ind w:left="107"/>
              <w:rPr>
                <w:sz w:val="24"/>
              </w:rPr>
            </w:pPr>
            <w:r>
              <w:rPr>
                <w:spacing w:val="-2"/>
                <w:sz w:val="24"/>
              </w:rPr>
              <w:t>0.318863</w:t>
            </w:r>
          </w:p>
        </w:tc>
        <w:tc>
          <w:tcPr>
            <w:tcW w:w="768" w:type="dxa"/>
          </w:tcPr>
          <w:p>
            <w:pPr>
              <w:pStyle w:val="TableParagraph"/>
              <w:spacing w:before="7"/>
              <w:ind w:left="108"/>
              <w:rPr>
                <w:sz w:val="24"/>
              </w:rPr>
            </w:pPr>
            <w:r>
              <w:rPr>
                <w:spacing w:val="-5"/>
                <w:sz w:val="24"/>
              </w:rPr>
              <w:t>30</w:t>
            </w:r>
          </w:p>
        </w:tc>
        <w:tc>
          <w:tcPr>
            <w:tcW w:w="1308" w:type="dxa"/>
          </w:tcPr>
          <w:p>
            <w:pPr>
              <w:pStyle w:val="TableParagraph"/>
              <w:spacing w:before="7"/>
              <w:ind w:left="300"/>
              <w:rPr>
                <w:sz w:val="24"/>
              </w:rPr>
            </w:pPr>
            <w:r>
              <w:rPr>
                <w:spacing w:val="-2"/>
                <w:sz w:val="24"/>
              </w:rPr>
              <w:t>0.634798</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3.173992395</w:t>
            </w:r>
          </w:p>
        </w:tc>
        <w:tc>
          <w:tcPr>
            <w:tcW w:w="1229" w:type="dxa"/>
          </w:tcPr>
          <w:p>
            <w:pPr>
              <w:pStyle w:val="TableParagraph"/>
              <w:spacing w:before="7"/>
              <w:ind w:left="167"/>
              <w:rPr>
                <w:sz w:val="24"/>
              </w:rPr>
            </w:pPr>
            <w:r>
              <w:rPr>
                <w:spacing w:val="-2"/>
                <w:sz w:val="24"/>
              </w:rPr>
              <w:t>8.643023</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314.9049</w:t>
            </w:r>
          </w:p>
        </w:tc>
        <w:tc>
          <w:tcPr>
            <w:tcW w:w="1116" w:type="dxa"/>
          </w:tcPr>
          <w:p>
            <w:pPr>
              <w:pStyle w:val="TableParagraph"/>
              <w:spacing w:before="7"/>
              <w:ind w:left="107"/>
              <w:rPr>
                <w:sz w:val="24"/>
              </w:rPr>
            </w:pPr>
            <w:r>
              <w:rPr>
                <w:spacing w:val="-2"/>
                <w:sz w:val="24"/>
              </w:rPr>
              <w:t>0.314905</w:t>
            </w:r>
          </w:p>
        </w:tc>
        <w:tc>
          <w:tcPr>
            <w:tcW w:w="768" w:type="dxa"/>
          </w:tcPr>
          <w:p>
            <w:pPr>
              <w:pStyle w:val="TableParagraph"/>
              <w:spacing w:before="7"/>
              <w:ind w:left="108"/>
              <w:rPr>
                <w:sz w:val="24"/>
              </w:rPr>
            </w:pPr>
            <w:r>
              <w:rPr>
                <w:spacing w:val="-5"/>
                <w:sz w:val="24"/>
              </w:rPr>
              <w:t>40</w:t>
            </w:r>
          </w:p>
        </w:tc>
        <w:tc>
          <w:tcPr>
            <w:tcW w:w="1308" w:type="dxa"/>
          </w:tcPr>
          <w:p>
            <w:pPr>
              <w:pStyle w:val="TableParagraph"/>
              <w:spacing w:before="7"/>
              <w:ind w:left="300"/>
              <w:rPr>
                <w:sz w:val="24"/>
              </w:rPr>
            </w:pPr>
            <w:r>
              <w:rPr>
                <w:spacing w:val="-2"/>
                <w:sz w:val="24"/>
              </w:rPr>
              <w:t>0.633768</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3.168840304</w:t>
            </w:r>
          </w:p>
        </w:tc>
        <w:tc>
          <w:tcPr>
            <w:tcW w:w="1229" w:type="dxa"/>
          </w:tcPr>
          <w:p>
            <w:pPr>
              <w:pStyle w:val="TableParagraph"/>
              <w:spacing w:before="7"/>
              <w:ind w:left="167"/>
              <w:rPr>
                <w:sz w:val="24"/>
              </w:rPr>
            </w:pPr>
            <w:r>
              <w:rPr>
                <w:spacing w:val="-2"/>
                <w:sz w:val="24"/>
              </w:rPr>
              <w:t>11.81186</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319.9468</w:t>
            </w:r>
          </w:p>
        </w:tc>
        <w:tc>
          <w:tcPr>
            <w:tcW w:w="1116" w:type="dxa"/>
          </w:tcPr>
          <w:p>
            <w:pPr>
              <w:pStyle w:val="TableParagraph"/>
              <w:spacing w:before="7"/>
              <w:ind w:left="107"/>
              <w:rPr>
                <w:sz w:val="24"/>
              </w:rPr>
            </w:pPr>
            <w:r>
              <w:rPr>
                <w:spacing w:val="-2"/>
                <w:sz w:val="24"/>
              </w:rPr>
              <w:t>0.319947</w:t>
            </w:r>
          </w:p>
        </w:tc>
        <w:tc>
          <w:tcPr>
            <w:tcW w:w="768" w:type="dxa"/>
          </w:tcPr>
          <w:p>
            <w:pPr>
              <w:pStyle w:val="TableParagraph"/>
              <w:spacing w:before="7"/>
              <w:ind w:left="108"/>
              <w:rPr>
                <w:sz w:val="24"/>
              </w:rPr>
            </w:pPr>
            <w:r>
              <w:rPr>
                <w:spacing w:val="-5"/>
                <w:sz w:val="24"/>
              </w:rPr>
              <w:t>50</w:t>
            </w:r>
          </w:p>
        </w:tc>
        <w:tc>
          <w:tcPr>
            <w:tcW w:w="1308" w:type="dxa"/>
          </w:tcPr>
          <w:p>
            <w:pPr>
              <w:pStyle w:val="TableParagraph"/>
              <w:spacing w:before="7"/>
              <w:ind w:left="300"/>
              <w:rPr>
                <w:sz w:val="24"/>
              </w:rPr>
            </w:pPr>
            <w:r>
              <w:rPr>
                <w:spacing w:val="-2"/>
                <w:sz w:val="24"/>
              </w:rPr>
              <w:t>0.634852</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3.174258555</w:t>
            </w:r>
          </w:p>
        </w:tc>
        <w:tc>
          <w:tcPr>
            <w:tcW w:w="1229" w:type="dxa"/>
          </w:tcPr>
          <w:p>
            <w:pPr>
              <w:pStyle w:val="TableParagraph"/>
              <w:spacing w:before="7"/>
              <w:ind w:left="167"/>
              <w:rPr>
                <w:sz w:val="24"/>
              </w:rPr>
            </w:pPr>
            <w:r>
              <w:rPr>
                <w:spacing w:val="-2"/>
                <w:sz w:val="24"/>
              </w:rPr>
              <w:t>14.98612</w:t>
            </w:r>
          </w:p>
        </w:tc>
        <w:tc>
          <w:tcPr>
            <w:tcW w:w="600" w:type="dxa"/>
          </w:tcPr>
          <w:p>
            <w:pPr>
              <w:pStyle w:val="TableParagraph"/>
              <w:spacing w:before="7"/>
              <w:ind w:left="55"/>
              <w:rPr>
                <w:sz w:val="24"/>
              </w:rPr>
            </w:pPr>
            <w:r>
              <w:rPr>
                <w:spacing w:val="-10"/>
                <w:sz w:val="24"/>
              </w:rPr>
              <w:t>F</w:t>
            </w:r>
          </w:p>
        </w:tc>
        <w:tc>
          <w:tcPr>
            <w:tcW w:w="1363" w:type="dxa"/>
          </w:tcPr>
          <w:p>
            <w:pPr>
              <w:pStyle w:val="TableParagraph"/>
              <w:spacing w:before="7"/>
              <w:ind w:right="-72"/>
              <w:jc w:val="right"/>
              <w:rPr>
                <w:sz w:val="24"/>
              </w:rPr>
            </w:pPr>
            <w:r>
              <w:rPr>
                <w:color w:val="000000"/>
                <w:spacing w:val="48"/>
                <w:sz w:val="24"/>
                <w:highlight w:val="red"/>
              </w:rPr>
              <w:t> </w:t>
            </w:r>
            <w:r>
              <w:rPr>
                <w:color w:val="000000"/>
                <w:spacing w:val="-2"/>
                <w:sz w:val="24"/>
                <w:highlight w:val="red"/>
              </w:rPr>
              <w:t>85.80369</w:t>
            </w:r>
            <w:r>
              <w:rPr>
                <w:color w:val="000000"/>
                <w:spacing w:val="80"/>
                <w:sz w:val="24"/>
                <w:highlight w:val="red"/>
              </w:rPr>
              <w:t> </w:t>
            </w:r>
          </w:p>
        </w:tc>
      </w:tr>
      <w:tr>
        <w:trPr>
          <w:trHeight w:val="300" w:hRule="atLeast"/>
        </w:trPr>
        <w:tc>
          <w:tcPr>
            <w:tcW w:w="1058" w:type="dxa"/>
          </w:tcPr>
          <w:p>
            <w:pPr>
              <w:pStyle w:val="TableParagraph"/>
              <w:spacing w:before="7"/>
              <w:ind w:left="50"/>
              <w:rPr>
                <w:sz w:val="24"/>
              </w:rPr>
            </w:pPr>
            <w:r>
              <w:rPr>
                <w:spacing w:val="-2"/>
                <w:sz w:val="24"/>
              </w:rPr>
              <w:t>322.327</w:t>
            </w:r>
          </w:p>
        </w:tc>
        <w:tc>
          <w:tcPr>
            <w:tcW w:w="1116" w:type="dxa"/>
          </w:tcPr>
          <w:p>
            <w:pPr>
              <w:pStyle w:val="TableParagraph"/>
              <w:spacing w:before="7"/>
              <w:ind w:left="107"/>
              <w:rPr>
                <w:sz w:val="24"/>
              </w:rPr>
            </w:pPr>
            <w:r>
              <w:rPr>
                <w:spacing w:val="-2"/>
                <w:sz w:val="24"/>
              </w:rPr>
              <w:t>0.322327</w:t>
            </w:r>
          </w:p>
        </w:tc>
        <w:tc>
          <w:tcPr>
            <w:tcW w:w="768" w:type="dxa"/>
          </w:tcPr>
          <w:p>
            <w:pPr>
              <w:pStyle w:val="TableParagraph"/>
              <w:spacing w:before="7"/>
              <w:ind w:left="108"/>
              <w:rPr>
                <w:sz w:val="24"/>
              </w:rPr>
            </w:pPr>
            <w:r>
              <w:rPr>
                <w:spacing w:val="-5"/>
                <w:sz w:val="24"/>
              </w:rPr>
              <w:t>60</w:t>
            </w:r>
          </w:p>
        </w:tc>
        <w:tc>
          <w:tcPr>
            <w:tcW w:w="1308" w:type="dxa"/>
          </w:tcPr>
          <w:p>
            <w:pPr>
              <w:pStyle w:val="TableParagraph"/>
              <w:spacing w:before="7"/>
              <w:ind w:left="300"/>
              <w:rPr>
                <w:sz w:val="24"/>
              </w:rPr>
            </w:pPr>
            <w:r>
              <w:rPr>
                <w:spacing w:val="-2"/>
                <w:sz w:val="24"/>
              </w:rPr>
              <w:t>0.642274</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3.211368821</w:t>
            </w:r>
          </w:p>
        </w:tc>
        <w:tc>
          <w:tcPr>
            <w:tcW w:w="1229" w:type="dxa"/>
          </w:tcPr>
          <w:p>
            <w:pPr>
              <w:pStyle w:val="TableParagraph"/>
              <w:spacing w:before="7"/>
              <w:ind w:left="167"/>
              <w:rPr>
                <w:sz w:val="24"/>
              </w:rPr>
            </w:pPr>
            <w:r>
              <w:rPr>
                <w:spacing w:val="-2"/>
                <w:sz w:val="24"/>
              </w:rPr>
              <w:t>18.19749</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324.5932</w:t>
            </w:r>
          </w:p>
        </w:tc>
        <w:tc>
          <w:tcPr>
            <w:tcW w:w="1116" w:type="dxa"/>
          </w:tcPr>
          <w:p>
            <w:pPr>
              <w:pStyle w:val="TableParagraph"/>
              <w:spacing w:before="7"/>
              <w:ind w:left="107"/>
              <w:rPr>
                <w:sz w:val="24"/>
              </w:rPr>
            </w:pPr>
            <w:r>
              <w:rPr>
                <w:spacing w:val="-2"/>
                <w:sz w:val="24"/>
              </w:rPr>
              <w:t>0.324593</w:t>
            </w:r>
          </w:p>
        </w:tc>
        <w:tc>
          <w:tcPr>
            <w:tcW w:w="768" w:type="dxa"/>
          </w:tcPr>
          <w:p>
            <w:pPr>
              <w:pStyle w:val="TableParagraph"/>
              <w:spacing w:before="7"/>
              <w:ind w:left="108"/>
              <w:rPr>
                <w:sz w:val="24"/>
              </w:rPr>
            </w:pPr>
            <w:r>
              <w:rPr>
                <w:spacing w:val="-5"/>
                <w:sz w:val="24"/>
              </w:rPr>
              <w:t>70</w:t>
            </w:r>
          </w:p>
        </w:tc>
        <w:tc>
          <w:tcPr>
            <w:tcW w:w="1308" w:type="dxa"/>
          </w:tcPr>
          <w:p>
            <w:pPr>
              <w:pStyle w:val="TableParagraph"/>
              <w:spacing w:before="7"/>
              <w:ind w:left="300"/>
              <w:rPr>
                <w:sz w:val="24"/>
              </w:rPr>
            </w:pPr>
            <w:r>
              <w:rPr>
                <w:spacing w:val="-2"/>
                <w:sz w:val="24"/>
              </w:rPr>
              <w:t>0.64692</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3.23460076</w:t>
            </w:r>
          </w:p>
        </w:tc>
        <w:tc>
          <w:tcPr>
            <w:tcW w:w="1229" w:type="dxa"/>
          </w:tcPr>
          <w:p>
            <w:pPr>
              <w:pStyle w:val="TableParagraph"/>
              <w:spacing w:before="7"/>
              <w:ind w:left="167"/>
              <w:rPr>
                <w:sz w:val="24"/>
              </w:rPr>
            </w:pPr>
            <w:r>
              <w:rPr>
                <w:spacing w:val="-2"/>
                <w:sz w:val="24"/>
              </w:rPr>
              <w:t>21.43209</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329.3536</w:t>
            </w:r>
          </w:p>
        </w:tc>
        <w:tc>
          <w:tcPr>
            <w:tcW w:w="1116" w:type="dxa"/>
          </w:tcPr>
          <w:p>
            <w:pPr>
              <w:pStyle w:val="TableParagraph"/>
              <w:spacing w:before="7"/>
              <w:ind w:left="107"/>
              <w:rPr>
                <w:sz w:val="24"/>
              </w:rPr>
            </w:pPr>
            <w:r>
              <w:rPr>
                <w:spacing w:val="-2"/>
                <w:sz w:val="24"/>
              </w:rPr>
              <w:t>0.329354</w:t>
            </w:r>
          </w:p>
        </w:tc>
        <w:tc>
          <w:tcPr>
            <w:tcW w:w="768" w:type="dxa"/>
          </w:tcPr>
          <w:p>
            <w:pPr>
              <w:pStyle w:val="TableParagraph"/>
              <w:spacing w:before="7"/>
              <w:ind w:left="108"/>
              <w:rPr>
                <w:sz w:val="24"/>
              </w:rPr>
            </w:pPr>
            <w:r>
              <w:rPr>
                <w:spacing w:val="-5"/>
                <w:sz w:val="24"/>
              </w:rPr>
              <w:t>80</w:t>
            </w:r>
          </w:p>
        </w:tc>
        <w:tc>
          <w:tcPr>
            <w:tcW w:w="1308" w:type="dxa"/>
          </w:tcPr>
          <w:p>
            <w:pPr>
              <w:pStyle w:val="TableParagraph"/>
              <w:spacing w:before="7"/>
              <w:ind w:left="300"/>
              <w:rPr>
                <w:sz w:val="24"/>
              </w:rPr>
            </w:pPr>
            <w:r>
              <w:rPr>
                <w:spacing w:val="-2"/>
                <w:sz w:val="24"/>
              </w:rPr>
              <w:t>0.653947</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3.26973384</w:t>
            </w:r>
          </w:p>
        </w:tc>
        <w:tc>
          <w:tcPr>
            <w:tcW w:w="1229" w:type="dxa"/>
          </w:tcPr>
          <w:p>
            <w:pPr>
              <w:pStyle w:val="TableParagraph"/>
              <w:spacing w:before="7"/>
              <w:ind w:left="167"/>
              <w:rPr>
                <w:sz w:val="24"/>
              </w:rPr>
            </w:pPr>
            <w:r>
              <w:rPr>
                <w:spacing w:val="-2"/>
                <w:sz w:val="24"/>
              </w:rPr>
              <w:t>24.70183</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330.8745</w:t>
            </w:r>
          </w:p>
        </w:tc>
        <w:tc>
          <w:tcPr>
            <w:tcW w:w="1116" w:type="dxa"/>
          </w:tcPr>
          <w:p>
            <w:pPr>
              <w:pStyle w:val="TableParagraph"/>
              <w:spacing w:before="7"/>
              <w:ind w:left="107"/>
              <w:rPr>
                <w:sz w:val="24"/>
              </w:rPr>
            </w:pPr>
            <w:r>
              <w:rPr>
                <w:spacing w:val="-2"/>
                <w:sz w:val="24"/>
              </w:rPr>
              <w:t>0.330875</w:t>
            </w:r>
          </w:p>
        </w:tc>
        <w:tc>
          <w:tcPr>
            <w:tcW w:w="768" w:type="dxa"/>
          </w:tcPr>
          <w:p>
            <w:pPr>
              <w:pStyle w:val="TableParagraph"/>
              <w:spacing w:before="7"/>
              <w:ind w:left="108"/>
              <w:rPr>
                <w:sz w:val="24"/>
              </w:rPr>
            </w:pPr>
            <w:r>
              <w:rPr>
                <w:spacing w:val="-5"/>
                <w:sz w:val="24"/>
              </w:rPr>
              <w:t>90</w:t>
            </w:r>
          </w:p>
        </w:tc>
        <w:tc>
          <w:tcPr>
            <w:tcW w:w="1308" w:type="dxa"/>
          </w:tcPr>
          <w:p>
            <w:pPr>
              <w:pStyle w:val="TableParagraph"/>
              <w:spacing w:before="7"/>
              <w:ind w:left="300"/>
              <w:rPr>
                <w:sz w:val="24"/>
              </w:rPr>
            </w:pPr>
            <w:r>
              <w:rPr>
                <w:spacing w:val="-2"/>
                <w:sz w:val="24"/>
              </w:rPr>
              <w:t>0.660228</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3.301140684</w:t>
            </w:r>
          </w:p>
        </w:tc>
        <w:tc>
          <w:tcPr>
            <w:tcW w:w="1229" w:type="dxa"/>
          </w:tcPr>
          <w:p>
            <w:pPr>
              <w:pStyle w:val="TableParagraph"/>
              <w:spacing w:before="7"/>
              <w:ind w:left="167"/>
              <w:rPr>
                <w:sz w:val="24"/>
              </w:rPr>
            </w:pPr>
            <w:r>
              <w:rPr>
                <w:spacing w:val="-2"/>
                <w:sz w:val="24"/>
              </w:rPr>
              <w:t>28.00297</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337.9848</w:t>
            </w:r>
          </w:p>
        </w:tc>
        <w:tc>
          <w:tcPr>
            <w:tcW w:w="1116" w:type="dxa"/>
          </w:tcPr>
          <w:p>
            <w:pPr>
              <w:pStyle w:val="TableParagraph"/>
              <w:spacing w:before="7"/>
              <w:ind w:left="107"/>
              <w:rPr>
                <w:sz w:val="24"/>
              </w:rPr>
            </w:pPr>
            <w:r>
              <w:rPr>
                <w:spacing w:val="-2"/>
                <w:sz w:val="24"/>
              </w:rPr>
              <w:t>0.337985</w:t>
            </w:r>
          </w:p>
        </w:tc>
        <w:tc>
          <w:tcPr>
            <w:tcW w:w="768" w:type="dxa"/>
          </w:tcPr>
          <w:p>
            <w:pPr>
              <w:pStyle w:val="TableParagraph"/>
              <w:spacing w:before="7"/>
              <w:ind w:left="108"/>
              <w:rPr>
                <w:sz w:val="24"/>
              </w:rPr>
            </w:pPr>
            <w:r>
              <w:rPr>
                <w:spacing w:val="-5"/>
                <w:sz w:val="24"/>
              </w:rPr>
              <w:t>100</w:t>
            </w:r>
          </w:p>
        </w:tc>
        <w:tc>
          <w:tcPr>
            <w:tcW w:w="1308" w:type="dxa"/>
          </w:tcPr>
          <w:p>
            <w:pPr>
              <w:pStyle w:val="TableParagraph"/>
              <w:spacing w:before="7"/>
              <w:ind w:left="300"/>
              <w:rPr>
                <w:sz w:val="24"/>
              </w:rPr>
            </w:pPr>
            <w:r>
              <w:rPr>
                <w:spacing w:val="-2"/>
                <w:sz w:val="24"/>
              </w:rPr>
              <w:t>0.668859</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3.344296578</w:t>
            </w:r>
          </w:p>
        </w:tc>
        <w:tc>
          <w:tcPr>
            <w:tcW w:w="1229" w:type="dxa"/>
          </w:tcPr>
          <w:p>
            <w:pPr>
              <w:pStyle w:val="TableParagraph"/>
              <w:spacing w:before="7"/>
              <w:ind w:left="167"/>
              <w:rPr>
                <w:sz w:val="24"/>
              </w:rPr>
            </w:pPr>
            <w:r>
              <w:rPr>
                <w:spacing w:val="-2"/>
                <w:sz w:val="24"/>
              </w:rPr>
              <w:t>31.34726</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287" w:hRule="atLeast"/>
        </w:trPr>
        <w:tc>
          <w:tcPr>
            <w:tcW w:w="1058" w:type="dxa"/>
          </w:tcPr>
          <w:p>
            <w:pPr>
              <w:pStyle w:val="TableParagraph"/>
              <w:spacing w:line="260" w:lineRule="exact" w:before="7"/>
              <w:ind w:left="50"/>
              <w:rPr>
                <w:sz w:val="24"/>
              </w:rPr>
            </w:pPr>
            <w:r>
              <w:rPr>
                <w:spacing w:val="-2"/>
                <w:sz w:val="24"/>
              </w:rPr>
              <w:t>339.1635</w:t>
            </w:r>
          </w:p>
        </w:tc>
        <w:tc>
          <w:tcPr>
            <w:tcW w:w="1116" w:type="dxa"/>
          </w:tcPr>
          <w:p>
            <w:pPr>
              <w:pStyle w:val="TableParagraph"/>
              <w:spacing w:line="260" w:lineRule="exact" w:before="7"/>
              <w:ind w:left="107"/>
              <w:rPr>
                <w:sz w:val="24"/>
              </w:rPr>
            </w:pPr>
            <w:r>
              <w:rPr>
                <w:spacing w:val="-2"/>
                <w:sz w:val="24"/>
              </w:rPr>
              <w:t>0.339163</w:t>
            </w:r>
          </w:p>
        </w:tc>
        <w:tc>
          <w:tcPr>
            <w:tcW w:w="768" w:type="dxa"/>
          </w:tcPr>
          <w:p>
            <w:pPr>
              <w:pStyle w:val="TableParagraph"/>
              <w:spacing w:line="260" w:lineRule="exact" w:before="7"/>
              <w:ind w:left="108"/>
              <w:rPr>
                <w:sz w:val="24"/>
              </w:rPr>
            </w:pPr>
            <w:r>
              <w:rPr>
                <w:spacing w:val="-5"/>
                <w:sz w:val="24"/>
              </w:rPr>
              <w:t>110</w:t>
            </w:r>
          </w:p>
        </w:tc>
        <w:tc>
          <w:tcPr>
            <w:tcW w:w="1308" w:type="dxa"/>
          </w:tcPr>
          <w:p>
            <w:pPr>
              <w:pStyle w:val="TableParagraph"/>
              <w:spacing w:line="260" w:lineRule="exact" w:before="7"/>
              <w:ind w:left="300"/>
              <w:rPr>
                <w:sz w:val="24"/>
              </w:rPr>
            </w:pPr>
            <w:r>
              <w:rPr>
                <w:spacing w:val="-2"/>
                <w:sz w:val="24"/>
              </w:rPr>
              <w:t>0.677148</w:t>
            </w:r>
          </w:p>
        </w:tc>
        <w:tc>
          <w:tcPr>
            <w:tcW w:w="708" w:type="dxa"/>
          </w:tcPr>
          <w:p>
            <w:pPr>
              <w:pStyle w:val="TableParagraph"/>
              <w:spacing w:line="260" w:lineRule="exact" w:before="7"/>
              <w:ind w:left="108"/>
              <w:rPr>
                <w:sz w:val="24"/>
              </w:rPr>
            </w:pPr>
            <w:r>
              <w:rPr>
                <w:spacing w:val="-5"/>
                <w:sz w:val="24"/>
              </w:rPr>
              <w:t>10</w:t>
            </w:r>
          </w:p>
        </w:tc>
        <w:tc>
          <w:tcPr>
            <w:tcW w:w="1679" w:type="dxa"/>
          </w:tcPr>
          <w:p>
            <w:pPr>
              <w:pStyle w:val="TableParagraph"/>
              <w:spacing w:line="260" w:lineRule="exact" w:before="7"/>
              <w:ind w:left="360"/>
              <w:rPr>
                <w:sz w:val="24"/>
              </w:rPr>
            </w:pPr>
            <w:r>
              <w:rPr>
                <w:spacing w:val="-2"/>
                <w:sz w:val="24"/>
              </w:rPr>
              <w:t>3.385741445</w:t>
            </w:r>
          </w:p>
        </w:tc>
        <w:tc>
          <w:tcPr>
            <w:tcW w:w="1229" w:type="dxa"/>
          </w:tcPr>
          <w:p>
            <w:pPr>
              <w:pStyle w:val="TableParagraph"/>
              <w:spacing w:line="260" w:lineRule="exact" w:before="7"/>
              <w:ind w:left="167"/>
              <w:rPr>
                <w:sz w:val="24"/>
              </w:rPr>
            </w:pPr>
            <w:r>
              <w:rPr>
                <w:spacing w:val="-2"/>
                <w:sz w:val="24"/>
              </w:rPr>
              <w:t>34.733</w:t>
            </w:r>
          </w:p>
        </w:tc>
        <w:tc>
          <w:tcPr>
            <w:tcW w:w="600" w:type="dxa"/>
          </w:tcPr>
          <w:p>
            <w:pPr>
              <w:pStyle w:val="TableParagraph"/>
              <w:spacing w:line="240" w:lineRule="auto"/>
              <w:rPr>
                <w:sz w:val="20"/>
              </w:rPr>
            </w:pPr>
          </w:p>
        </w:tc>
        <w:tc>
          <w:tcPr>
            <w:tcW w:w="1363" w:type="dxa"/>
          </w:tcPr>
          <w:p>
            <w:pPr>
              <w:pStyle w:val="TableParagraph"/>
              <w:spacing w:line="240" w:lineRule="auto"/>
              <w:rPr>
                <w:sz w:val="20"/>
              </w:rPr>
            </w:pPr>
          </w:p>
        </w:tc>
      </w:tr>
      <w:tr>
        <w:trPr>
          <w:trHeight w:val="455" w:hRule="atLeast"/>
        </w:trPr>
        <w:tc>
          <w:tcPr>
            <w:tcW w:w="1058" w:type="dxa"/>
          </w:tcPr>
          <w:p>
            <w:pPr>
              <w:pStyle w:val="TableParagraph"/>
              <w:spacing w:line="240" w:lineRule="auto" w:before="20"/>
              <w:ind w:left="50"/>
              <w:rPr>
                <w:sz w:val="24"/>
              </w:rPr>
            </w:pPr>
            <w:r>
              <w:rPr>
                <w:spacing w:val="-2"/>
                <w:sz w:val="24"/>
              </w:rPr>
              <w:t>476.8061</w:t>
            </w:r>
          </w:p>
        </w:tc>
        <w:tc>
          <w:tcPr>
            <w:tcW w:w="1116" w:type="dxa"/>
          </w:tcPr>
          <w:p>
            <w:pPr>
              <w:pStyle w:val="TableParagraph"/>
              <w:spacing w:line="240" w:lineRule="auto" w:before="20"/>
              <w:ind w:left="107"/>
              <w:rPr>
                <w:sz w:val="24"/>
              </w:rPr>
            </w:pPr>
            <w:r>
              <w:rPr>
                <w:spacing w:val="-2"/>
                <w:sz w:val="24"/>
              </w:rPr>
              <w:t>0.476806</w:t>
            </w:r>
          </w:p>
        </w:tc>
        <w:tc>
          <w:tcPr>
            <w:tcW w:w="768" w:type="dxa"/>
          </w:tcPr>
          <w:p>
            <w:pPr>
              <w:pStyle w:val="TableParagraph"/>
              <w:spacing w:line="240" w:lineRule="auto" w:before="20"/>
              <w:ind w:left="108"/>
              <w:rPr>
                <w:sz w:val="24"/>
              </w:rPr>
            </w:pPr>
            <w:r>
              <w:rPr>
                <w:spacing w:val="-5"/>
                <w:sz w:val="24"/>
              </w:rPr>
              <w:t>120</w:t>
            </w:r>
          </w:p>
        </w:tc>
        <w:tc>
          <w:tcPr>
            <w:tcW w:w="1308" w:type="dxa"/>
          </w:tcPr>
          <w:p>
            <w:pPr>
              <w:pStyle w:val="TableParagraph"/>
              <w:spacing w:line="240" w:lineRule="auto" w:before="20"/>
              <w:ind w:left="300"/>
              <w:rPr>
                <w:sz w:val="24"/>
              </w:rPr>
            </w:pPr>
            <w:r>
              <w:rPr>
                <w:spacing w:val="-2"/>
                <w:sz w:val="24"/>
              </w:rPr>
              <w:t>0.81597</w:t>
            </w:r>
          </w:p>
        </w:tc>
        <w:tc>
          <w:tcPr>
            <w:tcW w:w="708" w:type="dxa"/>
          </w:tcPr>
          <w:p>
            <w:pPr>
              <w:pStyle w:val="TableParagraph"/>
              <w:spacing w:line="240" w:lineRule="auto" w:before="20"/>
              <w:ind w:left="108"/>
              <w:rPr>
                <w:sz w:val="24"/>
              </w:rPr>
            </w:pPr>
            <w:r>
              <w:rPr>
                <w:spacing w:val="-5"/>
                <w:sz w:val="24"/>
              </w:rPr>
              <w:t>10</w:t>
            </w:r>
          </w:p>
        </w:tc>
        <w:tc>
          <w:tcPr>
            <w:tcW w:w="1679" w:type="dxa"/>
          </w:tcPr>
          <w:p>
            <w:pPr>
              <w:pStyle w:val="TableParagraph"/>
              <w:spacing w:line="240" w:lineRule="auto" w:before="20"/>
              <w:ind w:left="360"/>
              <w:rPr>
                <w:sz w:val="24"/>
              </w:rPr>
            </w:pPr>
            <w:r>
              <w:rPr>
                <w:spacing w:val="-2"/>
                <w:sz w:val="24"/>
              </w:rPr>
              <w:t>4.079847909</w:t>
            </w:r>
          </w:p>
        </w:tc>
        <w:tc>
          <w:tcPr>
            <w:tcW w:w="1229" w:type="dxa"/>
          </w:tcPr>
          <w:p>
            <w:pPr>
              <w:pStyle w:val="TableParagraph"/>
              <w:spacing w:line="240" w:lineRule="auto" w:before="20"/>
              <w:ind w:right="50"/>
              <w:jc w:val="right"/>
              <w:rPr>
                <w:sz w:val="24"/>
              </w:rPr>
            </w:pPr>
            <w:r>
              <w:rPr>
                <w:color w:val="000000"/>
                <w:spacing w:val="48"/>
                <w:sz w:val="24"/>
                <w:highlight w:val="yellow"/>
              </w:rPr>
              <w:t> </w:t>
            </w:r>
            <w:r>
              <w:rPr>
                <w:color w:val="000000"/>
                <w:spacing w:val="-2"/>
                <w:sz w:val="24"/>
                <w:highlight w:val="yellow"/>
              </w:rPr>
              <w:t>38.81285</w:t>
            </w:r>
            <w:r>
              <w:rPr>
                <w:color w:val="000000"/>
                <w:spacing w:val="80"/>
                <w:sz w:val="24"/>
                <w:highlight w:val="yellow"/>
              </w:rPr>
              <w:t> </w:t>
            </w:r>
          </w:p>
        </w:tc>
        <w:tc>
          <w:tcPr>
            <w:tcW w:w="600" w:type="dxa"/>
          </w:tcPr>
          <w:p>
            <w:pPr>
              <w:pStyle w:val="TableParagraph"/>
              <w:spacing w:line="240" w:lineRule="auto"/>
              <w:rPr>
                <w:sz w:val="24"/>
              </w:rPr>
            </w:pPr>
          </w:p>
        </w:tc>
        <w:tc>
          <w:tcPr>
            <w:tcW w:w="1363" w:type="dxa"/>
          </w:tcPr>
          <w:p>
            <w:pPr>
              <w:pStyle w:val="TableParagraph"/>
              <w:spacing w:line="240" w:lineRule="auto"/>
              <w:rPr>
                <w:sz w:val="24"/>
              </w:rPr>
            </w:pPr>
          </w:p>
        </w:tc>
      </w:tr>
      <w:tr>
        <w:trPr>
          <w:trHeight w:val="709" w:hRule="atLeast"/>
        </w:trPr>
        <w:tc>
          <w:tcPr>
            <w:tcW w:w="1058" w:type="dxa"/>
          </w:tcPr>
          <w:p>
            <w:pPr>
              <w:pStyle w:val="TableParagraph"/>
              <w:spacing w:line="270" w:lineRule="atLeast" w:before="138"/>
              <w:ind w:left="50" w:right="280"/>
              <w:rPr>
                <w:sz w:val="24"/>
              </w:rPr>
            </w:pPr>
            <w:r>
              <w:rPr>
                <w:spacing w:val="-2"/>
                <w:sz w:val="24"/>
              </w:rPr>
              <w:t>Sample </w:t>
            </w:r>
            <w:r>
              <w:rPr>
                <w:spacing w:val="-10"/>
                <w:sz w:val="24"/>
              </w:rPr>
              <w:t>C</w:t>
            </w:r>
          </w:p>
        </w:tc>
        <w:tc>
          <w:tcPr>
            <w:tcW w:w="1116" w:type="dxa"/>
          </w:tcPr>
          <w:p>
            <w:pPr>
              <w:pStyle w:val="TableParagraph"/>
              <w:spacing w:line="240" w:lineRule="auto"/>
              <w:rPr>
                <w:sz w:val="24"/>
              </w:rPr>
            </w:pPr>
          </w:p>
        </w:tc>
        <w:tc>
          <w:tcPr>
            <w:tcW w:w="768" w:type="dxa"/>
          </w:tcPr>
          <w:p>
            <w:pPr>
              <w:pStyle w:val="TableParagraph"/>
              <w:spacing w:line="240" w:lineRule="auto"/>
              <w:rPr>
                <w:sz w:val="24"/>
              </w:rPr>
            </w:pPr>
          </w:p>
        </w:tc>
        <w:tc>
          <w:tcPr>
            <w:tcW w:w="1308" w:type="dxa"/>
          </w:tcPr>
          <w:p>
            <w:pPr>
              <w:pStyle w:val="TableParagraph"/>
              <w:spacing w:line="240" w:lineRule="auto"/>
              <w:rPr>
                <w:sz w:val="24"/>
              </w:rPr>
            </w:pPr>
          </w:p>
        </w:tc>
        <w:tc>
          <w:tcPr>
            <w:tcW w:w="708" w:type="dxa"/>
          </w:tcPr>
          <w:p>
            <w:pPr>
              <w:pStyle w:val="TableParagraph"/>
              <w:spacing w:line="240" w:lineRule="auto"/>
              <w:rPr>
                <w:sz w:val="24"/>
              </w:rPr>
            </w:pPr>
          </w:p>
        </w:tc>
        <w:tc>
          <w:tcPr>
            <w:tcW w:w="1679" w:type="dxa"/>
          </w:tcPr>
          <w:p>
            <w:pPr>
              <w:pStyle w:val="TableParagraph"/>
              <w:spacing w:line="240" w:lineRule="auto"/>
              <w:rPr>
                <w:sz w:val="24"/>
              </w:rPr>
            </w:pPr>
          </w:p>
        </w:tc>
        <w:tc>
          <w:tcPr>
            <w:tcW w:w="1229" w:type="dxa"/>
          </w:tcPr>
          <w:p>
            <w:pPr>
              <w:pStyle w:val="TableParagraph"/>
              <w:spacing w:line="240" w:lineRule="auto"/>
              <w:rPr>
                <w:sz w:val="24"/>
              </w:rPr>
            </w:pPr>
          </w:p>
        </w:tc>
        <w:tc>
          <w:tcPr>
            <w:tcW w:w="600" w:type="dxa"/>
          </w:tcPr>
          <w:p>
            <w:pPr>
              <w:pStyle w:val="TableParagraph"/>
              <w:spacing w:line="240" w:lineRule="auto"/>
              <w:rPr>
                <w:sz w:val="24"/>
              </w:rPr>
            </w:pPr>
          </w:p>
        </w:tc>
        <w:tc>
          <w:tcPr>
            <w:tcW w:w="1363" w:type="dxa"/>
          </w:tcPr>
          <w:p>
            <w:pPr>
              <w:pStyle w:val="TableParagraph"/>
              <w:spacing w:line="240" w:lineRule="auto"/>
              <w:rPr>
                <w:sz w:val="24"/>
              </w:rPr>
            </w:pPr>
          </w:p>
        </w:tc>
      </w:tr>
      <w:tr>
        <w:trPr>
          <w:trHeight w:val="300" w:hRule="atLeast"/>
        </w:trPr>
        <w:tc>
          <w:tcPr>
            <w:tcW w:w="1058" w:type="dxa"/>
          </w:tcPr>
          <w:p>
            <w:pPr>
              <w:pStyle w:val="TableParagraph"/>
              <w:spacing w:before="7"/>
              <w:ind w:left="50"/>
              <w:rPr>
                <w:sz w:val="24"/>
              </w:rPr>
            </w:pPr>
            <w:r>
              <w:rPr>
                <w:spacing w:val="-10"/>
                <w:sz w:val="24"/>
              </w:rPr>
              <w:t>0</w:t>
            </w:r>
          </w:p>
        </w:tc>
        <w:tc>
          <w:tcPr>
            <w:tcW w:w="1116" w:type="dxa"/>
          </w:tcPr>
          <w:p>
            <w:pPr>
              <w:pStyle w:val="TableParagraph"/>
              <w:spacing w:before="7"/>
              <w:ind w:left="107"/>
              <w:rPr>
                <w:sz w:val="24"/>
              </w:rPr>
            </w:pPr>
            <w:r>
              <w:rPr>
                <w:spacing w:val="-10"/>
                <w:sz w:val="24"/>
              </w:rPr>
              <w:t>0</w:t>
            </w:r>
          </w:p>
        </w:tc>
        <w:tc>
          <w:tcPr>
            <w:tcW w:w="768" w:type="dxa"/>
          </w:tcPr>
          <w:p>
            <w:pPr>
              <w:pStyle w:val="TableParagraph"/>
              <w:spacing w:before="7"/>
              <w:ind w:left="108"/>
              <w:rPr>
                <w:sz w:val="24"/>
              </w:rPr>
            </w:pPr>
            <w:r>
              <w:rPr>
                <w:spacing w:val="-10"/>
                <w:sz w:val="24"/>
              </w:rPr>
              <w:t>0</w:t>
            </w:r>
          </w:p>
        </w:tc>
        <w:tc>
          <w:tcPr>
            <w:tcW w:w="1308" w:type="dxa"/>
          </w:tcPr>
          <w:p>
            <w:pPr>
              <w:pStyle w:val="TableParagraph"/>
              <w:spacing w:before="7"/>
              <w:ind w:left="300"/>
              <w:rPr>
                <w:sz w:val="24"/>
              </w:rPr>
            </w:pPr>
            <w:r>
              <w:rPr>
                <w:spacing w:val="-10"/>
                <w:sz w:val="24"/>
              </w:rPr>
              <w:t>0</w:t>
            </w:r>
          </w:p>
        </w:tc>
        <w:tc>
          <w:tcPr>
            <w:tcW w:w="708" w:type="dxa"/>
          </w:tcPr>
          <w:p>
            <w:pPr>
              <w:pStyle w:val="TableParagraph"/>
              <w:spacing w:before="7"/>
              <w:ind w:left="108"/>
              <w:rPr>
                <w:sz w:val="24"/>
              </w:rPr>
            </w:pPr>
            <w:r>
              <w:rPr>
                <w:spacing w:val="-10"/>
                <w:sz w:val="24"/>
              </w:rPr>
              <w:t>0</w:t>
            </w:r>
          </w:p>
        </w:tc>
        <w:tc>
          <w:tcPr>
            <w:tcW w:w="1679" w:type="dxa"/>
          </w:tcPr>
          <w:p>
            <w:pPr>
              <w:pStyle w:val="TableParagraph"/>
              <w:spacing w:before="7"/>
              <w:ind w:left="360"/>
              <w:rPr>
                <w:sz w:val="24"/>
              </w:rPr>
            </w:pPr>
            <w:r>
              <w:rPr>
                <w:spacing w:val="-10"/>
                <w:sz w:val="24"/>
              </w:rPr>
              <w:t>0</w:t>
            </w:r>
          </w:p>
        </w:tc>
        <w:tc>
          <w:tcPr>
            <w:tcW w:w="1229" w:type="dxa"/>
          </w:tcPr>
          <w:p>
            <w:pPr>
              <w:pStyle w:val="TableParagraph"/>
              <w:spacing w:line="240" w:lineRule="auto"/>
              <w:rPr>
                <w:sz w:val="22"/>
              </w:rPr>
            </w:pP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49.04943</w:t>
            </w:r>
          </w:p>
        </w:tc>
        <w:tc>
          <w:tcPr>
            <w:tcW w:w="1116" w:type="dxa"/>
          </w:tcPr>
          <w:p>
            <w:pPr>
              <w:pStyle w:val="TableParagraph"/>
              <w:spacing w:before="7"/>
              <w:ind w:left="107"/>
              <w:rPr>
                <w:sz w:val="24"/>
              </w:rPr>
            </w:pPr>
            <w:r>
              <w:rPr>
                <w:spacing w:val="-2"/>
                <w:sz w:val="24"/>
              </w:rPr>
              <w:t>0.049049</w:t>
            </w:r>
          </w:p>
        </w:tc>
        <w:tc>
          <w:tcPr>
            <w:tcW w:w="768" w:type="dxa"/>
          </w:tcPr>
          <w:p>
            <w:pPr>
              <w:pStyle w:val="TableParagraph"/>
              <w:spacing w:before="7"/>
              <w:ind w:left="108"/>
              <w:rPr>
                <w:sz w:val="24"/>
              </w:rPr>
            </w:pPr>
            <w:r>
              <w:rPr>
                <w:spacing w:val="-10"/>
                <w:sz w:val="24"/>
              </w:rPr>
              <w:t>5</w:t>
            </w:r>
          </w:p>
        </w:tc>
        <w:tc>
          <w:tcPr>
            <w:tcW w:w="1308" w:type="dxa"/>
          </w:tcPr>
          <w:p>
            <w:pPr>
              <w:pStyle w:val="TableParagraph"/>
              <w:spacing w:before="7"/>
              <w:ind w:left="300"/>
              <w:rPr>
                <w:sz w:val="24"/>
              </w:rPr>
            </w:pPr>
            <w:r>
              <w:rPr>
                <w:spacing w:val="-2"/>
                <w:sz w:val="24"/>
              </w:rPr>
              <w:t>0.049049</w:t>
            </w:r>
          </w:p>
        </w:tc>
        <w:tc>
          <w:tcPr>
            <w:tcW w:w="708" w:type="dxa"/>
          </w:tcPr>
          <w:p>
            <w:pPr>
              <w:pStyle w:val="TableParagraph"/>
              <w:spacing w:before="7"/>
              <w:ind w:left="108"/>
              <w:rPr>
                <w:sz w:val="24"/>
              </w:rPr>
            </w:pPr>
            <w:r>
              <w:rPr>
                <w:spacing w:val="-10"/>
                <w:sz w:val="24"/>
              </w:rPr>
              <w:t>5</w:t>
            </w:r>
          </w:p>
        </w:tc>
        <w:tc>
          <w:tcPr>
            <w:tcW w:w="1679" w:type="dxa"/>
          </w:tcPr>
          <w:p>
            <w:pPr>
              <w:pStyle w:val="TableParagraph"/>
              <w:spacing w:before="7"/>
              <w:ind w:left="360"/>
              <w:rPr>
                <w:sz w:val="24"/>
              </w:rPr>
            </w:pPr>
            <w:r>
              <w:rPr>
                <w:spacing w:val="-2"/>
                <w:sz w:val="24"/>
              </w:rPr>
              <w:t>0.122623574</w:t>
            </w:r>
          </w:p>
        </w:tc>
        <w:tc>
          <w:tcPr>
            <w:tcW w:w="1229" w:type="dxa"/>
          </w:tcPr>
          <w:p>
            <w:pPr>
              <w:pStyle w:val="TableParagraph"/>
              <w:spacing w:before="7"/>
              <w:ind w:left="167"/>
              <w:rPr>
                <w:sz w:val="24"/>
              </w:rPr>
            </w:pPr>
            <w:r>
              <w:rPr>
                <w:spacing w:val="-2"/>
                <w:sz w:val="24"/>
              </w:rPr>
              <w:t>0.122624</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60.07605</w:t>
            </w:r>
          </w:p>
        </w:tc>
        <w:tc>
          <w:tcPr>
            <w:tcW w:w="1116" w:type="dxa"/>
          </w:tcPr>
          <w:p>
            <w:pPr>
              <w:pStyle w:val="TableParagraph"/>
              <w:spacing w:before="7"/>
              <w:ind w:left="107"/>
              <w:rPr>
                <w:sz w:val="24"/>
              </w:rPr>
            </w:pPr>
            <w:r>
              <w:rPr>
                <w:spacing w:val="-2"/>
                <w:sz w:val="24"/>
              </w:rPr>
              <w:t>0.060076</w:t>
            </w:r>
          </w:p>
        </w:tc>
        <w:tc>
          <w:tcPr>
            <w:tcW w:w="768" w:type="dxa"/>
          </w:tcPr>
          <w:p>
            <w:pPr>
              <w:pStyle w:val="TableParagraph"/>
              <w:spacing w:before="7"/>
              <w:ind w:left="108"/>
              <w:rPr>
                <w:sz w:val="24"/>
              </w:rPr>
            </w:pPr>
            <w:r>
              <w:rPr>
                <w:spacing w:val="-5"/>
                <w:sz w:val="24"/>
              </w:rPr>
              <w:t>10</w:t>
            </w:r>
          </w:p>
        </w:tc>
        <w:tc>
          <w:tcPr>
            <w:tcW w:w="1308" w:type="dxa"/>
          </w:tcPr>
          <w:p>
            <w:pPr>
              <w:pStyle w:val="TableParagraph"/>
              <w:spacing w:before="7"/>
              <w:ind w:left="300"/>
              <w:rPr>
                <w:sz w:val="24"/>
              </w:rPr>
            </w:pPr>
            <w:r>
              <w:rPr>
                <w:spacing w:val="-2"/>
                <w:sz w:val="24"/>
              </w:rPr>
              <w:t>0.109125</w:t>
            </w:r>
          </w:p>
        </w:tc>
        <w:tc>
          <w:tcPr>
            <w:tcW w:w="708" w:type="dxa"/>
          </w:tcPr>
          <w:p>
            <w:pPr>
              <w:pStyle w:val="TableParagraph"/>
              <w:spacing w:before="7"/>
              <w:ind w:left="108"/>
              <w:rPr>
                <w:sz w:val="24"/>
              </w:rPr>
            </w:pPr>
            <w:r>
              <w:rPr>
                <w:spacing w:val="-10"/>
                <w:sz w:val="24"/>
              </w:rPr>
              <w:t>5</w:t>
            </w:r>
          </w:p>
        </w:tc>
        <w:tc>
          <w:tcPr>
            <w:tcW w:w="1679" w:type="dxa"/>
          </w:tcPr>
          <w:p>
            <w:pPr>
              <w:pStyle w:val="TableParagraph"/>
              <w:spacing w:before="7"/>
              <w:ind w:left="360"/>
              <w:rPr>
                <w:sz w:val="24"/>
              </w:rPr>
            </w:pPr>
            <w:r>
              <w:rPr>
                <w:spacing w:val="-2"/>
                <w:sz w:val="24"/>
              </w:rPr>
              <w:t>0.272813688</w:t>
            </w:r>
          </w:p>
        </w:tc>
        <w:tc>
          <w:tcPr>
            <w:tcW w:w="1229" w:type="dxa"/>
          </w:tcPr>
          <w:p>
            <w:pPr>
              <w:pStyle w:val="TableParagraph"/>
              <w:spacing w:before="7"/>
              <w:ind w:left="167"/>
              <w:rPr>
                <w:sz w:val="24"/>
              </w:rPr>
            </w:pPr>
            <w:r>
              <w:rPr>
                <w:spacing w:val="-2"/>
                <w:sz w:val="24"/>
              </w:rPr>
              <w:t>0.395437</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82.12928</w:t>
            </w:r>
          </w:p>
        </w:tc>
        <w:tc>
          <w:tcPr>
            <w:tcW w:w="1116" w:type="dxa"/>
          </w:tcPr>
          <w:p>
            <w:pPr>
              <w:pStyle w:val="TableParagraph"/>
              <w:spacing w:before="7"/>
              <w:ind w:left="107"/>
              <w:rPr>
                <w:sz w:val="24"/>
              </w:rPr>
            </w:pPr>
            <w:r>
              <w:rPr>
                <w:spacing w:val="-2"/>
                <w:sz w:val="24"/>
              </w:rPr>
              <w:t>0.082129</w:t>
            </w:r>
          </w:p>
        </w:tc>
        <w:tc>
          <w:tcPr>
            <w:tcW w:w="768" w:type="dxa"/>
          </w:tcPr>
          <w:p>
            <w:pPr>
              <w:pStyle w:val="TableParagraph"/>
              <w:spacing w:before="7"/>
              <w:ind w:left="108"/>
              <w:rPr>
                <w:sz w:val="24"/>
              </w:rPr>
            </w:pPr>
            <w:r>
              <w:rPr>
                <w:spacing w:val="-5"/>
                <w:sz w:val="24"/>
              </w:rPr>
              <w:t>20</w:t>
            </w:r>
          </w:p>
        </w:tc>
        <w:tc>
          <w:tcPr>
            <w:tcW w:w="1308" w:type="dxa"/>
          </w:tcPr>
          <w:p>
            <w:pPr>
              <w:pStyle w:val="TableParagraph"/>
              <w:spacing w:before="7"/>
              <w:ind w:left="300"/>
              <w:rPr>
                <w:sz w:val="24"/>
              </w:rPr>
            </w:pPr>
            <w:r>
              <w:rPr>
                <w:spacing w:val="-2"/>
                <w:sz w:val="24"/>
              </w:rPr>
              <w:t>0.142205</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0.711026616</w:t>
            </w:r>
          </w:p>
        </w:tc>
        <w:tc>
          <w:tcPr>
            <w:tcW w:w="1229" w:type="dxa"/>
          </w:tcPr>
          <w:p>
            <w:pPr>
              <w:pStyle w:val="TableParagraph"/>
              <w:spacing w:before="7"/>
              <w:ind w:left="167"/>
              <w:rPr>
                <w:sz w:val="24"/>
              </w:rPr>
            </w:pPr>
            <w:r>
              <w:rPr>
                <w:spacing w:val="-2"/>
                <w:sz w:val="24"/>
              </w:rPr>
              <w:t>1.106464</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113.308</w:t>
            </w:r>
          </w:p>
        </w:tc>
        <w:tc>
          <w:tcPr>
            <w:tcW w:w="1116" w:type="dxa"/>
          </w:tcPr>
          <w:p>
            <w:pPr>
              <w:pStyle w:val="TableParagraph"/>
              <w:spacing w:before="7"/>
              <w:ind w:left="107"/>
              <w:rPr>
                <w:sz w:val="24"/>
              </w:rPr>
            </w:pPr>
            <w:r>
              <w:rPr>
                <w:spacing w:val="-2"/>
                <w:sz w:val="24"/>
              </w:rPr>
              <w:t>0.113308</w:t>
            </w:r>
          </w:p>
        </w:tc>
        <w:tc>
          <w:tcPr>
            <w:tcW w:w="768" w:type="dxa"/>
          </w:tcPr>
          <w:p>
            <w:pPr>
              <w:pStyle w:val="TableParagraph"/>
              <w:spacing w:before="7"/>
              <w:ind w:left="108"/>
              <w:rPr>
                <w:sz w:val="24"/>
              </w:rPr>
            </w:pPr>
            <w:r>
              <w:rPr>
                <w:spacing w:val="-5"/>
                <w:sz w:val="24"/>
              </w:rPr>
              <w:t>30</w:t>
            </w:r>
          </w:p>
        </w:tc>
        <w:tc>
          <w:tcPr>
            <w:tcW w:w="1308" w:type="dxa"/>
          </w:tcPr>
          <w:p>
            <w:pPr>
              <w:pStyle w:val="TableParagraph"/>
              <w:spacing w:before="7"/>
              <w:ind w:left="300"/>
              <w:rPr>
                <w:sz w:val="24"/>
              </w:rPr>
            </w:pPr>
            <w:r>
              <w:rPr>
                <w:spacing w:val="-2"/>
                <w:sz w:val="24"/>
              </w:rPr>
              <w:t>0.195437</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0.977186312</w:t>
            </w:r>
          </w:p>
        </w:tc>
        <w:tc>
          <w:tcPr>
            <w:tcW w:w="1229" w:type="dxa"/>
          </w:tcPr>
          <w:p>
            <w:pPr>
              <w:pStyle w:val="TableParagraph"/>
              <w:spacing w:before="7"/>
              <w:ind w:left="167"/>
              <w:rPr>
                <w:sz w:val="24"/>
              </w:rPr>
            </w:pPr>
            <w:r>
              <w:rPr>
                <w:spacing w:val="-2"/>
                <w:sz w:val="24"/>
              </w:rPr>
              <w:t>2.08365</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143.7262</w:t>
            </w:r>
          </w:p>
        </w:tc>
        <w:tc>
          <w:tcPr>
            <w:tcW w:w="1116" w:type="dxa"/>
          </w:tcPr>
          <w:p>
            <w:pPr>
              <w:pStyle w:val="TableParagraph"/>
              <w:spacing w:before="7"/>
              <w:ind w:left="107"/>
              <w:rPr>
                <w:sz w:val="24"/>
              </w:rPr>
            </w:pPr>
            <w:r>
              <w:rPr>
                <w:spacing w:val="-2"/>
                <w:sz w:val="24"/>
              </w:rPr>
              <w:t>0.143726</w:t>
            </w:r>
          </w:p>
        </w:tc>
        <w:tc>
          <w:tcPr>
            <w:tcW w:w="768" w:type="dxa"/>
          </w:tcPr>
          <w:p>
            <w:pPr>
              <w:pStyle w:val="TableParagraph"/>
              <w:spacing w:before="7"/>
              <w:ind w:left="108"/>
              <w:rPr>
                <w:sz w:val="24"/>
              </w:rPr>
            </w:pPr>
            <w:r>
              <w:rPr>
                <w:spacing w:val="-5"/>
                <w:sz w:val="24"/>
              </w:rPr>
              <w:t>40</w:t>
            </w:r>
          </w:p>
        </w:tc>
        <w:tc>
          <w:tcPr>
            <w:tcW w:w="1308" w:type="dxa"/>
          </w:tcPr>
          <w:p>
            <w:pPr>
              <w:pStyle w:val="TableParagraph"/>
              <w:spacing w:before="7"/>
              <w:ind w:left="300"/>
              <w:rPr>
                <w:sz w:val="24"/>
              </w:rPr>
            </w:pPr>
            <w:r>
              <w:rPr>
                <w:spacing w:val="-2"/>
                <w:sz w:val="24"/>
              </w:rPr>
              <w:t>0.257034</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1.285171103</w:t>
            </w:r>
          </w:p>
        </w:tc>
        <w:tc>
          <w:tcPr>
            <w:tcW w:w="1229" w:type="dxa"/>
          </w:tcPr>
          <w:p>
            <w:pPr>
              <w:pStyle w:val="TableParagraph"/>
              <w:spacing w:before="7"/>
              <w:ind w:left="167"/>
              <w:rPr>
                <w:sz w:val="24"/>
              </w:rPr>
            </w:pPr>
            <w:r>
              <w:rPr>
                <w:spacing w:val="-2"/>
                <w:sz w:val="24"/>
              </w:rPr>
              <w:t>3.368821</w:t>
            </w:r>
          </w:p>
        </w:tc>
        <w:tc>
          <w:tcPr>
            <w:tcW w:w="600" w:type="dxa"/>
          </w:tcPr>
          <w:p>
            <w:pPr>
              <w:pStyle w:val="TableParagraph"/>
              <w:spacing w:before="7"/>
              <w:ind w:left="55"/>
              <w:rPr>
                <w:sz w:val="24"/>
              </w:rPr>
            </w:pPr>
            <w:r>
              <w:rPr>
                <w:spacing w:val="-10"/>
                <w:sz w:val="24"/>
              </w:rPr>
              <w:t>F</w:t>
            </w:r>
          </w:p>
        </w:tc>
        <w:tc>
          <w:tcPr>
            <w:tcW w:w="1363" w:type="dxa"/>
          </w:tcPr>
          <w:p>
            <w:pPr>
              <w:pStyle w:val="TableParagraph"/>
              <w:spacing w:before="7"/>
              <w:ind w:right="-72"/>
              <w:jc w:val="right"/>
              <w:rPr>
                <w:sz w:val="24"/>
              </w:rPr>
            </w:pPr>
            <w:r>
              <w:rPr>
                <w:color w:val="000000"/>
                <w:spacing w:val="48"/>
                <w:sz w:val="24"/>
                <w:highlight w:val="red"/>
              </w:rPr>
              <w:t> </w:t>
            </w:r>
            <w:r>
              <w:rPr>
                <w:color w:val="000000"/>
                <w:spacing w:val="-2"/>
                <w:sz w:val="24"/>
                <w:highlight w:val="red"/>
              </w:rPr>
              <w:t>92.69813</w:t>
            </w:r>
            <w:r>
              <w:rPr>
                <w:color w:val="000000"/>
                <w:spacing w:val="80"/>
                <w:sz w:val="24"/>
                <w:highlight w:val="red"/>
              </w:rPr>
              <w:t> </w:t>
            </w:r>
          </w:p>
        </w:tc>
      </w:tr>
      <w:tr>
        <w:trPr>
          <w:trHeight w:val="300" w:hRule="atLeast"/>
        </w:trPr>
        <w:tc>
          <w:tcPr>
            <w:tcW w:w="1058" w:type="dxa"/>
          </w:tcPr>
          <w:p>
            <w:pPr>
              <w:pStyle w:val="TableParagraph"/>
              <w:spacing w:before="7"/>
              <w:ind w:left="50"/>
              <w:rPr>
                <w:sz w:val="24"/>
              </w:rPr>
            </w:pPr>
            <w:r>
              <w:rPr>
                <w:spacing w:val="-2"/>
                <w:sz w:val="24"/>
              </w:rPr>
              <w:t>229.2776</w:t>
            </w:r>
          </w:p>
        </w:tc>
        <w:tc>
          <w:tcPr>
            <w:tcW w:w="1116" w:type="dxa"/>
          </w:tcPr>
          <w:p>
            <w:pPr>
              <w:pStyle w:val="TableParagraph"/>
              <w:spacing w:before="7"/>
              <w:ind w:left="107"/>
              <w:rPr>
                <w:sz w:val="24"/>
              </w:rPr>
            </w:pPr>
            <w:r>
              <w:rPr>
                <w:spacing w:val="-2"/>
                <w:sz w:val="24"/>
              </w:rPr>
              <w:t>0.229278</w:t>
            </w:r>
          </w:p>
        </w:tc>
        <w:tc>
          <w:tcPr>
            <w:tcW w:w="768" w:type="dxa"/>
          </w:tcPr>
          <w:p>
            <w:pPr>
              <w:pStyle w:val="TableParagraph"/>
              <w:spacing w:before="7"/>
              <w:ind w:left="108"/>
              <w:rPr>
                <w:sz w:val="24"/>
              </w:rPr>
            </w:pPr>
            <w:r>
              <w:rPr>
                <w:spacing w:val="-5"/>
                <w:sz w:val="24"/>
              </w:rPr>
              <w:t>50</w:t>
            </w:r>
          </w:p>
        </w:tc>
        <w:tc>
          <w:tcPr>
            <w:tcW w:w="1308" w:type="dxa"/>
          </w:tcPr>
          <w:p>
            <w:pPr>
              <w:pStyle w:val="TableParagraph"/>
              <w:spacing w:before="7"/>
              <w:ind w:left="300"/>
              <w:rPr>
                <w:sz w:val="24"/>
              </w:rPr>
            </w:pPr>
            <w:r>
              <w:rPr>
                <w:spacing w:val="-2"/>
                <w:sz w:val="24"/>
              </w:rPr>
              <w:t>0.373004</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1.865019011</w:t>
            </w:r>
          </w:p>
        </w:tc>
        <w:tc>
          <w:tcPr>
            <w:tcW w:w="1229" w:type="dxa"/>
          </w:tcPr>
          <w:p>
            <w:pPr>
              <w:pStyle w:val="TableParagraph"/>
              <w:spacing w:before="7"/>
              <w:ind w:left="167"/>
              <w:rPr>
                <w:sz w:val="24"/>
              </w:rPr>
            </w:pPr>
            <w:r>
              <w:rPr>
                <w:spacing w:val="-2"/>
                <w:sz w:val="24"/>
              </w:rPr>
              <w:t>5.23384</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317.1483</w:t>
            </w:r>
          </w:p>
        </w:tc>
        <w:tc>
          <w:tcPr>
            <w:tcW w:w="1116" w:type="dxa"/>
          </w:tcPr>
          <w:p>
            <w:pPr>
              <w:pStyle w:val="TableParagraph"/>
              <w:spacing w:before="7"/>
              <w:ind w:left="107"/>
              <w:rPr>
                <w:sz w:val="24"/>
              </w:rPr>
            </w:pPr>
            <w:r>
              <w:rPr>
                <w:spacing w:val="-2"/>
                <w:sz w:val="24"/>
              </w:rPr>
              <w:t>0.317148</w:t>
            </w:r>
          </w:p>
        </w:tc>
        <w:tc>
          <w:tcPr>
            <w:tcW w:w="768" w:type="dxa"/>
          </w:tcPr>
          <w:p>
            <w:pPr>
              <w:pStyle w:val="TableParagraph"/>
              <w:spacing w:before="7"/>
              <w:ind w:left="108"/>
              <w:rPr>
                <w:sz w:val="24"/>
              </w:rPr>
            </w:pPr>
            <w:r>
              <w:rPr>
                <w:spacing w:val="-5"/>
                <w:sz w:val="24"/>
              </w:rPr>
              <w:t>60</w:t>
            </w:r>
          </w:p>
        </w:tc>
        <w:tc>
          <w:tcPr>
            <w:tcW w:w="1308" w:type="dxa"/>
          </w:tcPr>
          <w:p>
            <w:pPr>
              <w:pStyle w:val="TableParagraph"/>
              <w:spacing w:before="7"/>
              <w:ind w:left="300"/>
              <w:rPr>
                <w:sz w:val="24"/>
              </w:rPr>
            </w:pPr>
            <w:r>
              <w:rPr>
                <w:spacing w:val="-2"/>
                <w:sz w:val="24"/>
              </w:rPr>
              <w:t>0.546426</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2.732129278</w:t>
            </w:r>
          </w:p>
        </w:tc>
        <w:tc>
          <w:tcPr>
            <w:tcW w:w="1229" w:type="dxa"/>
          </w:tcPr>
          <w:p>
            <w:pPr>
              <w:pStyle w:val="TableParagraph"/>
              <w:spacing w:before="7"/>
              <w:ind w:left="167"/>
              <w:rPr>
                <w:sz w:val="24"/>
              </w:rPr>
            </w:pPr>
            <w:r>
              <w:rPr>
                <w:spacing w:val="-2"/>
                <w:sz w:val="24"/>
              </w:rPr>
              <w:t>7.96597</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332.3954</w:t>
            </w:r>
          </w:p>
        </w:tc>
        <w:tc>
          <w:tcPr>
            <w:tcW w:w="1116" w:type="dxa"/>
          </w:tcPr>
          <w:p>
            <w:pPr>
              <w:pStyle w:val="TableParagraph"/>
              <w:spacing w:before="7"/>
              <w:ind w:left="107"/>
              <w:rPr>
                <w:sz w:val="24"/>
              </w:rPr>
            </w:pPr>
            <w:r>
              <w:rPr>
                <w:spacing w:val="-2"/>
                <w:sz w:val="24"/>
              </w:rPr>
              <w:t>0.332395</w:t>
            </w:r>
          </w:p>
        </w:tc>
        <w:tc>
          <w:tcPr>
            <w:tcW w:w="768" w:type="dxa"/>
          </w:tcPr>
          <w:p>
            <w:pPr>
              <w:pStyle w:val="TableParagraph"/>
              <w:spacing w:before="7"/>
              <w:ind w:left="108"/>
              <w:rPr>
                <w:sz w:val="24"/>
              </w:rPr>
            </w:pPr>
            <w:r>
              <w:rPr>
                <w:spacing w:val="-5"/>
                <w:sz w:val="24"/>
              </w:rPr>
              <w:t>70</w:t>
            </w:r>
          </w:p>
        </w:tc>
        <w:tc>
          <w:tcPr>
            <w:tcW w:w="1308" w:type="dxa"/>
          </w:tcPr>
          <w:p>
            <w:pPr>
              <w:pStyle w:val="TableParagraph"/>
              <w:spacing w:before="7"/>
              <w:ind w:left="300"/>
              <w:rPr>
                <w:sz w:val="24"/>
              </w:rPr>
            </w:pPr>
            <w:r>
              <w:rPr>
                <w:spacing w:val="-2"/>
                <w:sz w:val="24"/>
              </w:rPr>
              <w:t>0.649544</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3.247718631</w:t>
            </w:r>
          </w:p>
        </w:tc>
        <w:tc>
          <w:tcPr>
            <w:tcW w:w="1229" w:type="dxa"/>
          </w:tcPr>
          <w:p>
            <w:pPr>
              <w:pStyle w:val="TableParagraph"/>
              <w:spacing w:before="7"/>
              <w:ind w:left="167"/>
              <w:rPr>
                <w:sz w:val="24"/>
              </w:rPr>
            </w:pPr>
            <w:r>
              <w:rPr>
                <w:spacing w:val="-2"/>
                <w:sz w:val="24"/>
              </w:rPr>
              <w:t>11.21369</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379.2395</w:t>
            </w:r>
          </w:p>
        </w:tc>
        <w:tc>
          <w:tcPr>
            <w:tcW w:w="1116" w:type="dxa"/>
          </w:tcPr>
          <w:p>
            <w:pPr>
              <w:pStyle w:val="TableParagraph"/>
              <w:spacing w:before="7"/>
              <w:ind w:left="107"/>
              <w:rPr>
                <w:sz w:val="24"/>
              </w:rPr>
            </w:pPr>
            <w:r>
              <w:rPr>
                <w:spacing w:val="-2"/>
                <w:sz w:val="24"/>
              </w:rPr>
              <w:t>0.37924</w:t>
            </w:r>
          </w:p>
        </w:tc>
        <w:tc>
          <w:tcPr>
            <w:tcW w:w="768" w:type="dxa"/>
          </w:tcPr>
          <w:p>
            <w:pPr>
              <w:pStyle w:val="TableParagraph"/>
              <w:spacing w:before="7"/>
              <w:ind w:left="108"/>
              <w:rPr>
                <w:sz w:val="24"/>
              </w:rPr>
            </w:pPr>
            <w:r>
              <w:rPr>
                <w:spacing w:val="-5"/>
                <w:sz w:val="24"/>
              </w:rPr>
              <w:t>80</w:t>
            </w:r>
          </w:p>
        </w:tc>
        <w:tc>
          <w:tcPr>
            <w:tcW w:w="1308" w:type="dxa"/>
          </w:tcPr>
          <w:p>
            <w:pPr>
              <w:pStyle w:val="TableParagraph"/>
              <w:spacing w:before="7"/>
              <w:ind w:left="300"/>
              <w:rPr>
                <w:sz w:val="24"/>
              </w:rPr>
            </w:pPr>
            <w:r>
              <w:rPr>
                <w:spacing w:val="-2"/>
                <w:sz w:val="24"/>
              </w:rPr>
              <w:t>0.711635</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3.558174905</w:t>
            </w:r>
          </w:p>
        </w:tc>
        <w:tc>
          <w:tcPr>
            <w:tcW w:w="1229" w:type="dxa"/>
          </w:tcPr>
          <w:p>
            <w:pPr>
              <w:pStyle w:val="TableParagraph"/>
              <w:spacing w:before="7"/>
              <w:ind w:left="167"/>
              <w:rPr>
                <w:sz w:val="24"/>
              </w:rPr>
            </w:pPr>
            <w:r>
              <w:rPr>
                <w:spacing w:val="-2"/>
                <w:sz w:val="24"/>
              </w:rPr>
              <w:t>14.77186</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408.7452</w:t>
            </w:r>
          </w:p>
        </w:tc>
        <w:tc>
          <w:tcPr>
            <w:tcW w:w="1116" w:type="dxa"/>
          </w:tcPr>
          <w:p>
            <w:pPr>
              <w:pStyle w:val="TableParagraph"/>
              <w:spacing w:before="7"/>
              <w:ind w:left="107"/>
              <w:rPr>
                <w:sz w:val="24"/>
              </w:rPr>
            </w:pPr>
            <w:r>
              <w:rPr>
                <w:spacing w:val="-2"/>
                <w:sz w:val="24"/>
              </w:rPr>
              <w:t>0.408745</w:t>
            </w:r>
          </w:p>
        </w:tc>
        <w:tc>
          <w:tcPr>
            <w:tcW w:w="768" w:type="dxa"/>
          </w:tcPr>
          <w:p>
            <w:pPr>
              <w:pStyle w:val="TableParagraph"/>
              <w:spacing w:before="7"/>
              <w:ind w:left="108"/>
              <w:rPr>
                <w:sz w:val="24"/>
              </w:rPr>
            </w:pPr>
            <w:r>
              <w:rPr>
                <w:spacing w:val="-5"/>
                <w:sz w:val="24"/>
              </w:rPr>
              <w:t>90</w:t>
            </w:r>
          </w:p>
        </w:tc>
        <w:tc>
          <w:tcPr>
            <w:tcW w:w="1308" w:type="dxa"/>
          </w:tcPr>
          <w:p>
            <w:pPr>
              <w:pStyle w:val="TableParagraph"/>
              <w:spacing w:before="7"/>
              <w:ind w:left="300"/>
              <w:rPr>
                <w:sz w:val="24"/>
              </w:rPr>
            </w:pPr>
            <w:r>
              <w:rPr>
                <w:spacing w:val="-2"/>
                <w:sz w:val="24"/>
              </w:rPr>
              <w:t>0.787985</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3.939923954</w:t>
            </w:r>
          </w:p>
        </w:tc>
        <w:tc>
          <w:tcPr>
            <w:tcW w:w="1229" w:type="dxa"/>
          </w:tcPr>
          <w:p>
            <w:pPr>
              <w:pStyle w:val="TableParagraph"/>
              <w:spacing w:before="7"/>
              <w:ind w:left="167"/>
              <w:rPr>
                <w:sz w:val="24"/>
              </w:rPr>
            </w:pPr>
            <w:r>
              <w:rPr>
                <w:spacing w:val="-2"/>
                <w:sz w:val="24"/>
              </w:rPr>
              <w:t>18.71179</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409.8859</w:t>
            </w:r>
          </w:p>
        </w:tc>
        <w:tc>
          <w:tcPr>
            <w:tcW w:w="1116" w:type="dxa"/>
          </w:tcPr>
          <w:p>
            <w:pPr>
              <w:pStyle w:val="TableParagraph"/>
              <w:spacing w:before="7"/>
              <w:ind w:left="107"/>
              <w:rPr>
                <w:sz w:val="24"/>
              </w:rPr>
            </w:pPr>
            <w:r>
              <w:rPr>
                <w:spacing w:val="-2"/>
                <w:sz w:val="24"/>
              </w:rPr>
              <w:t>0.409886</w:t>
            </w:r>
          </w:p>
        </w:tc>
        <w:tc>
          <w:tcPr>
            <w:tcW w:w="768" w:type="dxa"/>
          </w:tcPr>
          <w:p>
            <w:pPr>
              <w:pStyle w:val="TableParagraph"/>
              <w:spacing w:before="7"/>
              <w:ind w:left="108"/>
              <w:rPr>
                <w:sz w:val="24"/>
              </w:rPr>
            </w:pPr>
            <w:r>
              <w:rPr>
                <w:spacing w:val="-5"/>
                <w:sz w:val="24"/>
              </w:rPr>
              <w:t>100</w:t>
            </w:r>
          </w:p>
        </w:tc>
        <w:tc>
          <w:tcPr>
            <w:tcW w:w="1308" w:type="dxa"/>
          </w:tcPr>
          <w:p>
            <w:pPr>
              <w:pStyle w:val="TableParagraph"/>
              <w:spacing w:before="7"/>
              <w:ind w:left="300"/>
              <w:rPr>
                <w:sz w:val="24"/>
              </w:rPr>
            </w:pPr>
            <w:r>
              <w:rPr>
                <w:spacing w:val="-2"/>
                <w:sz w:val="24"/>
              </w:rPr>
              <w:t>0.818631</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4.093155894</w:t>
            </w:r>
          </w:p>
        </w:tc>
        <w:tc>
          <w:tcPr>
            <w:tcW w:w="1229" w:type="dxa"/>
          </w:tcPr>
          <w:p>
            <w:pPr>
              <w:pStyle w:val="TableParagraph"/>
              <w:spacing w:before="7"/>
              <w:ind w:left="167"/>
              <w:rPr>
                <w:sz w:val="24"/>
              </w:rPr>
            </w:pPr>
            <w:r>
              <w:rPr>
                <w:spacing w:val="-2"/>
                <w:sz w:val="24"/>
              </w:rPr>
              <w:t>22.80494</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299" w:hRule="atLeast"/>
        </w:trPr>
        <w:tc>
          <w:tcPr>
            <w:tcW w:w="1058" w:type="dxa"/>
          </w:tcPr>
          <w:p>
            <w:pPr>
              <w:pStyle w:val="TableParagraph"/>
              <w:spacing w:before="7"/>
              <w:ind w:left="50"/>
              <w:rPr>
                <w:sz w:val="24"/>
              </w:rPr>
            </w:pPr>
            <w:r>
              <w:rPr>
                <w:spacing w:val="-2"/>
                <w:sz w:val="24"/>
              </w:rPr>
              <w:t>413.4601</w:t>
            </w:r>
          </w:p>
        </w:tc>
        <w:tc>
          <w:tcPr>
            <w:tcW w:w="1116" w:type="dxa"/>
          </w:tcPr>
          <w:p>
            <w:pPr>
              <w:pStyle w:val="TableParagraph"/>
              <w:spacing w:before="7"/>
              <w:ind w:left="107"/>
              <w:rPr>
                <w:sz w:val="24"/>
              </w:rPr>
            </w:pPr>
            <w:r>
              <w:rPr>
                <w:spacing w:val="-2"/>
                <w:sz w:val="24"/>
              </w:rPr>
              <w:t>0.41346</w:t>
            </w:r>
          </w:p>
        </w:tc>
        <w:tc>
          <w:tcPr>
            <w:tcW w:w="768" w:type="dxa"/>
          </w:tcPr>
          <w:p>
            <w:pPr>
              <w:pStyle w:val="TableParagraph"/>
              <w:spacing w:before="7"/>
              <w:ind w:left="108"/>
              <w:rPr>
                <w:sz w:val="24"/>
              </w:rPr>
            </w:pPr>
            <w:r>
              <w:rPr>
                <w:spacing w:val="-5"/>
                <w:sz w:val="24"/>
              </w:rPr>
              <w:t>110</w:t>
            </w:r>
          </w:p>
        </w:tc>
        <w:tc>
          <w:tcPr>
            <w:tcW w:w="1308" w:type="dxa"/>
          </w:tcPr>
          <w:p>
            <w:pPr>
              <w:pStyle w:val="TableParagraph"/>
              <w:spacing w:before="7"/>
              <w:ind w:left="300"/>
              <w:rPr>
                <w:sz w:val="24"/>
              </w:rPr>
            </w:pPr>
            <w:r>
              <w:rPr>
                <w:spacing w:val="-2"/>
                <w:sz w:val="24"/>
              </w:rPr>
              <w:t>0.823346</w:t>
            </w:r>
          </w:p>
        </w:tc>
        <w:tc>
          <w:tcPr>
            <w:tcW w:w="708" w:type="dxa"/>
          </w:tcPr>
          <w:p>
            <w:pPr>
              <w:pStyle w:val="TableParagraph"/>
              <w:spacing w:before="7"/>
              <w:ind w:left="108"/>
              <w:rPr>
                <w:sz w:val="24"/>
              </w:rPr>
            </w:pPr>
            <w:r>
              <w:rPr>
                <w:spacing w:val="-5"/>
                <w:sz w:val="24"/>
              </w:rPr>
              <w:t>10</w:t>
            </w:r>
          </w:p>
        </w:tc>
        <w:tc>
          <w:tcPr>
            <w:tcW w:w="1679" w:type="dxa"/>
          </w:tcPr>
          <w:p>
            <w:pPr>
              <w:pStyle w:val="TableParagraph"/>
              <w:spacing w:before="7"/>
              <w:ind w:left="360"/>
              <w:rPr>
                <w:sz w:val="24"/>
              </w:rPr>
            </w:pPr>
            <w:r>
              <w:rPr>
                <w:spacing w:val="-2"/>
                <w:sz w:val="24"/>
              </w:rPr>
              <w:t>4.116730038</w:t>
            </w:r>
          </w:p>
        </w:tc>
        <w:tc>
          <w:tcPr>
            <w:tcW w:w="1229" w:type="dxa"/>
          </w:tcPr>
          <w:p>
            <w:pPr>
              <w:pStyle w:val="TableParagraph"/>
              <w:spacing w:before="7"/>
              <w:ind w:left="167"/>
              <w:rPr>
                <w:sz w:val="24"/>
              </w:rPr>
            </w:pPr>
            <w:r>
              <w:rPr>
                <w:spacing w:val="-2"/>
                <w:sz w:val="24"/>
              </w:rPr>
              <w:t>26.92167</w:t>
            </w:r>
          </w:p>
        </w:tc>
        <w:tc>
          <w:tcPr>
            <w:tcW w:w="600"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282" w:hRule="atLeast"/>
        </w:trPr>
        <w:tc>
          <w:tcPr>
            <w:tcW w:w="1058" w:type="dxa"/>
          </w:tcPr>
          <w:p>
            <w:pPr>
              <w:pStyle w:val="TableParagraph"/>
              <w:spacing w:line="256" w:lineRule="exact" w:before="7"/>
              <w:ind w:left="50"/>
              <w:rPr>
                <w:sz w:val="24"/>
              </w:rPr>
            </w:pPr>
            <w:r>
              <w:rPr>
                <w:spacing w:val="-2"/>
                <w:sz w:val="24"/>
              </w:rPr>
              <w:t>413.4601</w:t>
            </w:r>
          </w:p>
        </w:tc>
        <w:tc>
          <w:tcPr>
            <w:tcW w:w="1116" w:type="dxa"/>
          </w:tcPr>
          <w:p>
            <w:pPr>
              <w:pStyle w:val="TableParagraph"/>
              <w:spacing w:line="256" w:lineRule="exact" w:before="7"/>
              <w:ind w:left="107"/>
              <w:rPr>
                <w:sz w:val="24"/>
              </w:rPr>
            </w:pPr>
            <w:r>
              <w:rPr>
                <w:spacing w:val="-2"/>
                <w:sz w:val="24"/>
              </w:rPr>
              <w:t>0.41346</w:t>
            </w:r>
          </w:p>
        </w:tc>
        <w:tc>
          <w:tcPr>
            <w:tcW w:w="768" w:type="dxa"/>
          </w:tcPr>
          <w:p>
            <w:pPr>
              <w:pStyle w:val="TableParagraph"/>
              <w:spacing w:line="256" w:lineRule="exact" w:before="7"/>
              <w:ind w:left="108"/>
              <w:rPr>
                <w:sz w:val="24"/>
              </w:rPr>
            </w:pPr>
            <w:r>
              <w:rPr>
                <w:spacing w:val="-5"/>
                <w:sz w:val="24"/>
              </w:rPr>
              <w:t>120</w:t>
            </w:r>
          </w:p>
        </w:tc>
        <w:tc>
          <w:tcPr>
            <w:tcW w:w="1308" w:type="dxa"/>
          </w:tcPr>
          <w:p>
            <w:pPr>
              <w:pStyle w:val="TableParagraph"/>
              <w:spacing w:line="256" w:lineRule="exact" w:before="7"/>
              <w:ind w:left="300"/>
              <w:rPr>
                <w:sz w:val="24"/>
              </w:rPr>
            </w:pPr>
            <w:r>
              <w:rPr>
                <w:spacing w:val="-2"/>
                <w:sz w:val="24"/>
              </w:rPr>
              <w:t>0.82692</w:t>
            </w:r>
          </w:p>
        </w:tc>
        <w:tc>
          <w:tcPr>
            <w:tcW w:w="708" w:type="dxa"/>
          </w:tcPr>
          <w:p>
            <w:pPr>
              <w:pStyle w:val="TableParagraph"/>
              <w:spacing w:line="256" w:lineRule="exact" w:before="7"/>
              <w:ind w:left="108"/>
              <w:rPr>
                <w:sz w:val="24"/>
              </w:rPr>
            </w:pPr>
            <w:r>
              <w:rPr>
                <w:spacing w:val="-5"/>
                <w:sz w:val="24"/>
              </w:rPr>
              <w:t>10</w:t>
            </w:r>
          </w:p>
        </w:tc>
        <w:tc>
          <w:tcPr>
            <w:tcW w:w="1679" w:type="dxa"/>
          </w:tcPr>
          <w:p>
            <w:pPr>
              <w:pStyle w:val="TableParagraph"/>
              <w:spacing w:line="256" w:lineRule="exact" w:before="7"/>
              <w:ind w:left="360"/>
              <w:rPr>
                <w:sz w:val="24"/>
              </w:rPr>
            </w:pPr>
            <w:r>
              <w:rPr>
                <w:spacing w:val="-2"/>
                <w:sz w:val="24"/>
              </w:rPr>
              <w:t>4.13460076</w:t>
            </w:r>
          </w:p>
        </w:tc>
        <w:tc>
          <w:tcPr>
            <w:tcW w:w="1229" w:type="dxa"/>
          </w:tcPr>
          <w:p>
            <w:pPr>
              <w:pStyle w:val="TableParagraph"/>
              <w:spacing w:line="256" w:lineRule="exact" w:before="7"/>
              <w:ind w:right="50"/>
              <w:jc w:val="right"/>
              <w:rPr>
                <w:sz w:val="24"/>
              </w:rPr>
            </w:pPr>
            <w:r>
              <w:rPr>
                <w:color w:val="000000"/>
                <w:spacing w:val="48"/>
                <w:sz w:val="24"/>
                <w:highlight w:val="yellow"/>
              </w:rPr>
              <w:t> </w:t>
            </w:r>
            <w:r>
              <w:rPr>
                <w:color w:val="000000"/>
                <w:spacing w:val="-2"/>
                <w:sz w:val="24"/>
                <w:highlight w:val="yellow"/>
              </w:rPr>
              <w:t>31.05627</w:t>
            </w:r>
            <w:r>
              <w:rPr>
                <w:color w:val="000000"/>
                <w:spacing w:val="80"/>
                <w:sz w:val="24"/>
                <w:highlight w:val="yellow"/>
              </w:rPr>
              <w:t> </w:t>
            </w:r>
          </w:p>
        </w:tc>
        <w:tc>
          <w:tcPr>
            <w:tcW w:w="600" w:type="dxa"/>
          </w:tcPr>
          <w:p>
            <w:pPr>
              <w:pStyle w:val="TableParagraph"/>
              <w:spacing w:line="240" w:lineRule="auto"/>
              <w:rPr>
                <w:sz w:val="20"/>
              </w:rPr>
            </w:pPr>
          </w:p>
        </w:tc>
        <w:tc>
          <w:tcPr>
            <w:tcW w:w="1363" w:type="dxa"/>
          </w:tcPr>
          <w:p>
            <w:pPr>
              <w:pStyle w:val="TableParagraph"/>
              <w:spacing w:line="240" w:lineRule="auto"/>
              <w:rPr>
                <w:sz w:val="20"/>
              </w:rPr>
            </w:pPr>
          </w:p>
        </w:tc>
      </w:tr>
    </w:tbl>
    <w:p>
      <w:pPr>
        <w:spacing w:after="0" w:line="240" w:lineRule="auto"/>
        <w:rPr>
          <w:sz w:val="20"/>
        </w:rPr>
        <w:sectPr>
          <w:pgSz w:w="12240" w:h="15840"/>
          <w:pgMar w:header="0" w:footer="1068" w:top="1620" w:bottom="1260" w:left="1420" w:right="440"/>
        </w:sectPr>
      </w:pPr>
    </w:p>
    <w:p>
      <w:pPr>
        <w:pStyle w:val="BodyText"/>
        <w:spacing w:before="172"/>
        <w:rPr>
          <w:sz w:val="20"/>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8"/>
        <w:gridCol w:w="1116"/>
        <w:gridCol w:w="768"/>
        <w:gridCol w:w="1308"/>
        <w:gridCol w:w="708"/>
        <w:gridCol w:w="1733"/>
        <w:gridCol w:w="1121"/>
        <w:gridCol w:w="655"/>
        <w:gridCol w:w="1363"/>
      </w:tblGrid>
      <w:tr>
        <w:trPr>
          <w:trHeight w:val="558" w:hRule="atLeast"/>
        </w:trPr>
        <w:tc>
          <w:tcPr>
            <w:tcW w:w="1058" w:type="dxa"/>
          </w:tcPr>
          <w:p>
            <w:pPr>
              <w:pStyle w:val="TableParagraph"/>
              <w:spacing w:line="266" w:lineRule="exact"/>
              <w:ind w:left="50"/>
              <w:rPr>
                <w:sz w:val="24"/>
              </w:rPr>
            </w:pPr>
            <w:r>
              <w:rPr>
                <w:spacing w:val="-2"/>
                <w:sz w:val="24"/>
              </w:rPr>
              <w:t>Sample</w:t>
            </w:r>
          </w:p>
          <w:p>
            <w:pPr>
              <w:pStyle w:val="TableParagraph"/>
              <w:ind w:left="50"/>
              <w:rPr>
                <w:sz w:val="24"/>
              </w:rPr>
            </w:pPr>
            <w:r>
              <w:rPr>
                <w:spacing w:val="-10"/>
                <w:sz w:val="24"/>
              </w:rPr>
              <w:t>D</w:t>
            </w:r>
          </w:p>
        </w:tc>
        <w:tc>
          <w:tcPr>
            <w:tcW w:w="1116" w:type="dxa"/>
          </w:tcPr>
          <w:p>
            <w:pPr>
              <w:pStyle w:val="TableParagraph"/>
              <w:spacing w:line="240" w:lineRule="auto"/>
              <w:rPr>
                <w:sz w:val="24"/>
              </w:rPr>
            </w:pPr>
          </w:p>
        </w:tc>
        <w:tc>
          <w:tcPr>
            <w:tcW w:w="768" w:type="dxa"/>
          </w:tcPr>
          <w:p>
            <w:pPr>
              <w:pStyle w:val="TableParagraph"/>
              <w:spacing w:line="240" w:lineRule="auto"/>
              <w:rPr>
                <w:sz w:val="24"/>
              </w:rPr>
            </w:pPr>
          </w:p>
        </w:tc>
        <w:tc>
          <w:tcPr>
            <w:tcW w:w="1308" w:type="dxa"/>
          </w:tcPr>
          <w:p>
            <w:pPr>
              <w:pStyle w:val="TableParagraph"/>
              <w:spacing w:line="240" w:lineRule="auto"/>
              <w:rPr>
                <w:sz w:val="24"/>
              </w:rPr>
            </w:pPr>
          </w:p>
        </w:tc>
        <w:tc>
          <w:tcPr>
            <w:tcW w:w="708" w:type="dxa"/>
          </w:tcPr>
          <w:p>
            <w:pPr>
              <w:pStyle w:val="TableParagraph"/>
              <w:spacing w:line="240" w:lineRule="auto"/>
              <w:rPr>
                <w:sz w:val="24"/>
              </w:rPr>
            </w:pPr>
          </w:p>
        </w:tc>
        <w:tc>
          <w:tcPr>
            <w:tcW w:w="1733" w:type="dxa"/>
          </w:tcPr>
          <w:p>
            <w:pPr>
              <w:pStyle w:val="TableParagraph"/>
              <w:spacing w:line="240" w:lineRule="auto"/>
              <w:rPr>
                <w:sz w:val="24"/>
              </w:rPr>
            </w:pPr>
          </w:p>
        </w:tc>
        <w:tc>
          <w:tcPr>
            <w:tcW w:w="1121" w:type="dxa"/>
          </w:tcPr>
          <w:p>
            <w:pPr>
              <w:pStyle w:val="TableParagraph"/>
              <w:spacing w:line="240" w:lineRule="auto"/>
              <w:rPr>
                <w:sz w:val="24"/>
              </w:rPr>
            </w:pPr>
          </w:p>
        </w:tc>
        <w:tc>
          <w:tcPr>
            <w:tcW w:w="655" w:type="dxa"/>
          </w:tcPr>
          <w:p>
            <w:pPr>
              <w:pStyle w:val="TableParagraph"/>
              <w:spacing w:line="240" w:lineRule="auto"/>
              <w:rPr>
                <w:sz w:val="24"/>
              </w:rPr>
            </w:pPr>
          </w:p>
        </w:tc>
        <w:tc>
          <w:tcPr>
            <w:tcW w:w="1363" w:type="dxa"/>
          </w:tcPr>
          <w:p>
            <w:pPr>
              <w:pStyle w:val="TableParagraph"/>
              <w:spacing w:line="240" w:lineRule="auto"/>
              <w:rPr>
                <w:sz w:val="24"/>
              </w:rPr>
            </w:pPr>
          </w:p>
        </w:tc>
      </w:tr>
      <w:tr>
        <w:trPr>
          <w:trHeight w:val="300" w:hRule="atLeast"/>
        </w:trPr>
        <w:tc>
          <w:tcPr>
            <w:tcW w:w="1058" w:type="dxa"/>
          </w:tcPr>
          <w:p>
            <w:pPr>
              <w:pStyle w:val="TableParagraph"/>
              <w:spacing w:before="7"/>
              <w:ind w:left="50"/>
              <w:rPr>
                <w:sz w:val="24"/>
              </w:rPr>
            </w:pPr>
            <w:r>
              <w:rPr>
                <w:spacing w:val="-10"/>
                <w:sz w:val="24"/>
              </w:rPr>
              <w:t>0</w:t>
            </w:r>
          </w:p>
        </w:tc>
        <w:tc>
          <w:tcPr>
            <w:tcW w:w="1116" w:type="dxa"/>
          </w:tcPr>
          <w:p>
            <w:pPr>
              <w:pStyle w:val="TableParagraph"/>
              <w:spacing w:before="7"/>
              <w:ind w:left="107"/>
              <w:rPr>
                <w:sz w:val="24"/>
              </w:rPr>
            </w:pPr>
            <w:r>
              <w:rPr>
                <w:spacing w:val="-10"/>
                <w:sz w:val="24"/>
              </w:rPr>
              <w:t>0</w:t>
            </w:r>
          </w:p>
        </w:tc>
        <w:tc>
          <w:tcPr>
            <w:tcW w:w="768" w:type="dxa"/>
          </w:tcPr>
          <w:p>
            <w:pPr>
              <w:pStyle w:val="TableParagraph"/>
              <w:spacing w:before="7"/>
              <w:ind w:left="108"/>
              <w:rPr>
                <w:sz w:val="24"/>
              </w:rPr>
            </w:pPr>
            <w:r>
              <w:rPr>
                <w:spacing w:val="-10"/>
                <w:sz w:val="24"/>
              </w:rPr>
              <w:t>0</w:t>
            </w:r>
          </w:p>
        </w:tc>
        <w:tc>
          <w:tcPr>
            <w:tcW w:w="1308" w:type="dxa"/>
          </w:tcPr>
          <w:p>
            <w:pPr>
              <w:pStyle w:val="TableParagraph"/>
              <w:spacing w:before="7"/>
              <w:ind w:left="300"/>
              <w:rPr>
                <w:sz w:val="24"/>
              </w:rPr>
            </w:pPr>
            <w:r>
              <w:rPr>
                <w:spacing w:val="-10"/>
                <w:sz w:val="24"/>
              </w:rPr>
              <w:t>0</w:t>
            </w:r>
          </w:p>
        </w:tc>
        <w:tc>
          <w:tcPr>
            <w:tcW w:w="708" w:type="dxa"/>
          </w:tcPr>
          <w:p>
            <w:pPr>
              <w:pStyle w:val="TableParagraph"/>
              <w:spacing w:before="7"/>
              <w:ind w:left="108"/>
              <w:rPr>
                <w:sz w:val="24"/>
              </w:rPr>
            </w:pPr>
            <w:r>
              <w:rPr>
                <w:spacing w:val="-10"/>
                <w:sz w:val="24"/>
              </w:rPr>
              <w:t>0</w:t>
            </w:r>
          </w:p>
        </w:tc>
        <w:tc>
          <w:tcPr>
            <w:tcW w:w="1733" w:type="dxa"/>
          </w:tcPr>
          <w:p>
            <w:pPr>
              <w:pStyle w:val="TableParagraph"/>
              <w:spacing w:before="7"/>
              <w:ind w:left="360"/>
              <w:rPr>
                <w:sz w:val="24"/>
              </w:rPr>
            </w:pPr>
            <w:r>
              <w:rPr>
                <w:spacing w:val="-10"/>
                <w:sz w:val="24"/>
              </w:rPr>
              <w:t>0</w:t>
            </w:r>
          </w:p>
        </w:tc>
        <w:tc>
          <w:tcPr>
            <w:tcW w:w="1121" w:type="dxa"/>
          </w:tcPr>
          <w:p>
            <w:pPr>
              <w:pStyle w:val="TableParagraph"/>
              <w:spacing w:before="7"/>
              <w:ind w:left="113"/>
              <w:rPr>
                <w:sz w:val="24"/>
              </w:rPr>
            </w:pPr>
            <w:r>
              <w:rPr>
                <w:spacing w:val="-10"/>
                <w:sz w:val="24"/>
              </w:rPr>
              <w:t>0</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14.06844</w:t>
            </w:r>
          </w:p>
        </w:tc>
        <w:tc>
          <w:tcPr>
            <w:tcW w:w="1116" w:type="dxa"/>
          </w:tcPr>
          <w:p>
            <w:pPr>
              <w:pStyle w:val="TableParagraph"/>
              <w:spacing w:before="7"/>
              <w:ind w:left="107"/>
              <w:rPr>
                <w:sz w:val="24"/>
              </w:rPr>
            </w:pPr>
            <w:r>
              <w:rPr>
                <w:spacing w:val="-2"/>
                <w:sz w:val="24"/>
              </w:rPr>
              <w:t>0.014068</w:t>
            </w:r>
          </w:p>
        </w:tc>
        <w:tc>
          <w:tcPr>
            <w:tcW w:w="768" w:type="dxa"/>
          </w:tcPr>
          <w:p>
            <w:pPr>
              <w:pStyle w:val="TableParagraph"/>
              <w:spacing w:before="7"/>
              <w:ind w:left="108"/>
              <w:rPr>
                <w:sz w:val="24"/>
              </w:rPr>
            </w:pPr>
            <w:r>
              <w:rPr>
                <w:spacing w:val="-10"/>
                <w:sz w:val="24"/>
              </w:rPr>
              <w:t>5</w:t>
            </w:r>
          </w:p>
        </w:tc>
        <w:tc>
          <w:tcPr>
            <w:tcW w:w="1308" w:type="dxa"/>
          </w:tcPr>
          <w:p>
            <w:pPr>
              <w:pStyle w:val="TableParagraph"/>
              <w:spacing w:before="7"/>
              <w:ind w:left="300"/>
              <w:rPr>
                <w:sz w:val="24"/>
              </w:rPr>
            </w:pPr>
            <w:r>
              <w:rPr>
                <w:spacing w:val="-2"/>
                <w:sz w:val="24"/>
              </w:rPr>
              <w:t>0.014068</w:t>
            </w:r>
          </w:p>
        </w:tc>
        <w:tc>
          <w:tcPr>
            <w:tcW w:w="708" w:type="dxa"/>
          </w:tcPr>
          <w:p>
            <w:pPr>
              <w:pStyle w:val="TableParagraph"/>
              <w:spacing w:before="7"/>
              <w:ind w:left="108"/>
              <w:rPr>
                <w:sz w:val="24"/>
              </w:rPr>
            </w:pPr>
            <w:r>
              <w:rPr>
                <w:spacing w:val="-10"/>
                <w:sz w:val="24"/>
              </w:rPr>
              <w:t>5</w:t>
            </w:r>
          </w:p>
        </w:tc>
        <w:tc>
          <w:tcPr>
            <w:tcW w:w="1733" w:type="dxa"/>
          </w:tcPr>
          <w:p>
            <w:pPr>
              <w:pStyle w:val="TableParagraph"/>
              <w:spacing w:before="7"/>
              <w:ind w:left="360"/>
              <w:rPr>
                <w:sz w:val="24"/>
              </w:rPr>
            </w:pPr>
            <w:r>
              <w:rPr>
                <w:spacing w:val="-2"/>
                <w:sz w:val="24"/>
              </w:rPr>
              <w:t>0.035171103</w:t>
            </w:r>
          </w:p>
        </w:tc>
        <w:tc>
          <w:tcPr>
            <w:tcW w:w="1121" w:type="dxa"/>
          </w:tcPr>
          <w:p>
            <w:pPr>
              <w:pStyle w:val="TableParagraph"/>
              <w:spacing w:before="7"/>
              <w:ind w:left="113"/>
              <w:rPr>
                <w:sz w:val="24"/>
              </w:rPr>
            </w:pPr>
            <w:r>
              <w:rPr>
                <w:spacing w:val="-2"/>
                <w:sz w:val="24"/>
              </w:rPr>
              <w:t>0.035171</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23.19392</w:t>
            </w:r>
          </w:p>
        </w:tc>
        <w:tc>
          <w:tcPr>
            <w:tcW w:w="1116" w:type="dxa"/>
          </w:tcPr>
          <w:p>
            <w:pPr>
              <w:pStyle w:val="TableParagraph"/>
              <w:spacing w:before="7"/>
              <w:ind w:left="107"/>
              <w:rPr>
                <w:sz w:val="24"/>
              </w:rPr>
            </w:pPr>
            <w:r>
              <w:rPr>
                <w:spacing w:val="-2"/>
                <w:sz w:val="24"/>
              </w:rPr>
              <w:t>0.023194</w:t>
            </w:r>
          </w:p>
        </w:tc>
        <w:tc>
          <w:tcPr>
            <w:tcW w:w="768" w:type="dxa"/>
          </w:tcPr>
          <w:p>
            <w:pPr>
              <w:pStyle w:val="TableParagraph"/>
              <w:spacing w:before="7"/>
              <w:ind w:left="108"/>
              <w:rPr>
                <w:sz w:val="24"/>
              </w:rPr>
            </w:pPr>
            <w:r>
              <w:rPr>
                <w:spacing w:val="-5"/>
                <w:sz w:val="24"/>
              </w:rPr>
              <w:t>10</w:t>
            </w:r>
          </w:p>
        </w:tc>
        <w:tc>
          <w:tcPr>
            <w:tcW w:w="1308" w:type="dxa"/>
          </w:tcPr>
          <w:p>
            <w:pPr>
              <w:pStyle w:val="TableParagraph"/>
              <w:spacing w:before="7"/>
              <w:ind w:left="300"/>
              <w:rPr>
                <w:sz w:val="24"/>
              </w:rPr>
            </w:pPr>
            <w:r>
              <w:rPr>
                <w:spacing w:val="-2"/>
                <w:sz w:val="24"/>
              </w:rPr>
              <w:t>0.037262</w:t>
            </w:r>
          </w:p>
        </w:tc>
        <w:tc>
          <w:tcPr>
            <w:tcW w:w="708" w:type="dxa"/>
          </w:tcPr>
          <w:p>
            <w:pPr>
              <w:pStyle w:val="TableParagraph"/>
              <w:spacing w:before="7"/>
              <w:ind w:left="108"/>
              <w:rPr>
                <w:sz w:val="24"/>
              </w:rPr>
            </w:pPr>
            <w:r>
              <w:rPr>
                <w:spacing w:val="-10"/>
                <w:sz w:val="24"/>
              </w:rPr>
              <w:t>5</w:t>
            </w:r>
          </w:p>
        </w:tc>
        <w:tc>
          <w:tcPr>
            <w:tcW w:w="1733" w:type="dxa"/>
          </w:tcPr>
          <w:p>
            <w:pPr>
              <w:pStyle w:val="TableParagraph"/>
              <w:spacing w:before="7"/>
              <w:ind w:left="360"/>
              <w:rPr>
                <w:sz w:val="24"/>
              </w:rPr>
            </w:pPr>
            <w:r>
              <w:rPr>
                <w:spacing w:val="-2"/>
                <w:sz w:val="24"/>
              </w:rPr>
              <w:t>0.093155894</w:t>
            </w:r>
          </w:p>
        </w:tc>
        <w:tc>
          <w:tcPr>
            <w:tcW w:w="1121" w:type="dxa"/>
          </w:tcPr>
          <w:p>
            <w:pPr>
              <w:pStyle w:val="TableParagraph"/>
              <w:spacing w:before="7"/>
              <w:ind w:left="113"/>
              <w:rPr>
                <w:sz w:val="24"/>
              </w:rPr>
            </w:pPr>
            <w:r>
              <w:rPr>
                <w:spacing w:val="-2"/>
                <w:sz w:val="24"/>
              </w:rPr>
              <w:t>0.128327</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27.75665</w:t>
            </w:r>
          </w:p>
        </w:tc>
        <w:tc>
          <w:tcPr>
            <w:tcW w:w="1116" w:type="dxa"/>
          </w:tcPr>
          <w:p>
            <w:pPr>
              <w:pStyle w:val="TableParagraph"/>
              <w:spacing w:before="7"/>
              <w:ind w:left="107"/>
              <w:rPr>
                <w:sz w:val="24"/>
              </w:rPr>
            </w:pPr>
            <w:r>
              <w:rPr>
                <w:spacing w:val="-2"/>
                <w:sz w:val="24"/>
              </w:rPr>
              <w:t>0.027757</w:t>
            </w:r>
          </w:p>
        </w:tc>
        <w:tc>
          <w:tcPr>
            <w:tcW w:w="768" w:type="dxa"/>
          </w:tcPr>
          <w:p>
            <w:pPr>
              <w:pStyle w:val="TableParagraph"/>
              <w:spacing w:before="7"/>
              <w:ind w:left="108"/>
              <w:rPr>
                <w:sz w:val="24"/>
              </w:rPr>
            </w:pPr>
            <w:r>
              <w:rPr>
                <w:spacing w:val="-5"/>
                <w:sz w:val="24"/>
              </w:rPr>
              <w:t>20</w:t>
            </w:r>
          </w:p>
        </w:tc>
        <w:tc>
          <w:tcPr>
            <w:tcW w:w="1308" w:type="dxa"/>
          </w:tcPr>
          <w:p>
            <w:pPr>
              <w:pStyle w:val="TableParagraph"/>
              <w:spacing w:before="7"/>
              <w:ind w:left="300"/>
              <w:rPr>
                <w:sz w:val="24"/>
              </w:rPr>
            </w:pPr>
            <w:r>
              <w:rPr>
                <w:spacing w:val="-2"/>
                <w:sz w:val="24"/>
              </w:rPr>
              <w:t>0.050951</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0.254752852</w:t>
            </w:r>
          </w:p>
        </w:tc>
        <w:tc>
          <w:tcPr>
            <w:tcW w:w="1121" w:type="dxa"/>
          </w:tcPr>
          <w:p>
            <w:pPr>
              <w:pStyle w:val="TableParagraph"/>
              <w:spacing w:before="7"/>
              <w:ind w:left="113"/>
              <w:rPr>
                <w:sz w:val="24"/>
              </w:rPr>
            </w:pPr>
            <w:r>
              <w:rPr>
                <w:spacing w:val="-2"/>
                <w:sz w:val="24"/>
              </w:rPr>
              <w:t>0.38308</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30.03802</w:t>
            </w:r>
          </w:p>
        </w:tc>
        <w:tc>
          <w:tcPr>
            <w:tcW w:w="1116" w:type="dxa"/>
          </w:tcPr>
          <w:p>
            <w:pPr>
              <w:pStyle w:val="TableParagraph"/>
              <w:spacing w:before="7"/>
              <w:ind w:left="107"/>
              <w:rPr>
                <w:sz w:val="24"/>
              </w:rPr>
            </w:pPr>
            <w:r>
              <w:rPr>
                <w:spacing w:val="-2"/>
                <w:sz w:val="24"/>
              </w:rPr>
              <w:t>0.030038</w:t>
            </w:r>
          </w:p>
        </w:tc>
        <w:tc>
          <w:tcPr>
            <w:tcW w:w="768" w:type="dxa"/>
          </w:tcPr>
          <w:p>
            <w:pPr>
              <w:pStyle w:val="TableParagraph"/>
              <w:spacing w:before="7"/>
              <w:ind w:left="108"/>
              <w:rPr>
                <w:sz w:val="24"/>
              </w:rPr>
            </w:pPr>
            <w:r>
              <w:rPr>
                <w:spacing w:val="-5"/>
                <w:sz w:val="24"/>
              </w:rPr>
              <w:t>30</w:t>
            </w:r>
          </w:p>
        </w:tc>
        <w:tc>
          <w:tcPr>
            <w:tcW w:w="1308" w:type="dxa"/>
          </w:tcPr>
          <w:p>
            <w:pPr>
              <w:pStyle w:val="TableParagraph"/>
              <w:spacing w:before="7"/>
              <w:ind w:left="300"/>
              <w:rPr>
                <w:sz w:val="24"/>
              </w:rPr>
            </w:pPr>
            <w:r>
              <w:rPr>
                <w:spacing w:val="-2"/>
                <w:sz w:val="24"/>
              </w:rPr>
              <w:t>0.057795</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0.288973384</w:t>
            </w:r>
          </w:p>
        </w:tc>
        <w:tc>
          <w:tcPr>
            <w:tcW w:w="1121" w:type="dxa"/>
          </w:tcPr>
          <w:p>
            <w:pPr>
              <w:pStyle w:val="TableParagraph"/>
              <w:spacing w:before="7"/>
              <w:ind w:left="113"/>
              <w:rPr>
                <w:sz w:val="24"/>
              </w:rPr>
            </w:pPr>
            <w:r>
              <w:rPr>
                <w:spacing w:val="-2"/>
                <w:sz w:val="24"/>
              </w:rPr>
              <w:t>0.672053</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43.72624</w:t>
            </w:r>
          </w:p>
        </w:tc>
        <w:tc>
          <w:tcPr>
            <w:tcW w:w="1116" w:type="dxa"/>
          </w:tcPr>
          <w:p>
            <w:pPr>
              <w:pStyle w:val="TableParagraph"/>
              <w:spacing w:before="7"/>
              <w:ind w:left="107"/>
              <w:rPr>
                <w:sz w:val="24"/>
              </w:rPr>
            </w:pPr>
            <w:r>
              <w:rPr>
                <w:spacing w:val="-2"/>
                <w:sz w:val="24"/>
              </w:rPr>
              <w:t>0.043726</w:t>
            </w:r>
          </w:p>
        </w:tc>
        <w:tc>
          <w:tcPr>
            <w:tcW w:w="768" w:type="dxa"/>
          </w:tcPr>
          <w:p>
            <w:pPr>
              <w:pStyle w:val="TableParagraph"/>
              <w:spacing w:before="7"/>
              <w:ind w:left="108"/>
              <w:rPr>
                <w:sz w:val="24"/>
              </w:rPr>
            </w:pPr>
            <w:r>
              <w:rPr>
                <w:spacing w:val="-5"/>
                <w:sz w:val="24"/>
              </w:rPr>
              <w:t>40</w:t>
            </w:r>
          </w:p>
        </w:tc>
        <w:tc>
          <w:tcPr>
            <w:tcW w:w="1308" w:type="dxa"/>
          </w:tcPr>
          <w:p>
            <w:pPr>
              <w:pStyle w:val="TableParagraph"/>
              <w:spacing w:before="7"/>
              <w:ind w:left="300"/>
              <w:rPr>
                <w:sz w:val="24"/>
              </w:rPr>
            </w:pPr>
            <w:r>
              <w:rPr>
                <w:spacing w:val="-2"/>
                <w:sz w:val="24"/>
              </w:rPr>
              <w:t>0.073764</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0.368821293</w:t>
            </w:r>
          </w:p>
        </w:tc>
        <w:tc>
          <w:tcPr>
            <w:tcW w:w="1121" w:type="dxa"/>
          </w:tcPr>
          <w:p>
            <w:pPr>
              <w:pStyle w:val="TableParagraph"/>
              <w:spacing w:before="7"/>
              <w:ind w:left="113"/>
              <w:rPr>
                <w:sz w:val="24"/>
              </w:rPr>
            </w:pPr>
            <w:r>
              <w:rPr>
                <w:spacing w:val="-2"/>
                <w:sz w:val="24"/>
              </w:rPr>
              <w:t>1.040875</w:t>
            </w:r>
          </w:p>
        </w:tc>
        <w:tc>
          <w:tcPr>
            <w:tcW w:w="655" w:type="dxa"/>
          </w:tcPr>
          <w:p>
            <w:pPr>
              <w:pStyle w:val="TableParagraph"/>
              <w:spacing w:before="7"/>
              <w:ind w:left="109"/>
              <w:rPr>
                <w:sz w:val="24"/>
              </w:rPr>
            </w:pPr>
            <w:r>
              <w:rPr>
                <w:spacing w:val="-10"/>
                <w:sz w:val="24"/>
              </w:rPr>
              <w:t>F</w:t>
            </w:r>
          </w:p>
        </w:tc>
        <w:tc>
          <w:tcPr>
            <w:tcW w:w="1363" w:type="dxa"/>
          </w:tcPr>
          <w:p>
            <w:pPr>
              <w:pStyle w:val="TableParagraph"/>
              <w:spacing w:before="7"/>
              <w:ind w:left="306" w:right="-72"/>
              <w:rPr>
                <w:sz w:val="24"/>
              </w:rPr>
            </w:pPr>
            <w:r>
              <w:rPr>
                <w:color w:val="000000"/>
                <w:spacing w:val="48"/>
                <w:sz w:val="24"/>
                <w:highlight w:val="red"/>
              </w:rPr>
              <w:t> </w:t>
            </w:r>
            <w:r>
              <w:rPr>
                <w:color w:val="000000"/>
                <w:spacing w:val="-2"/>
                <w:sz w:val="24"/>
                <w:highlight w:val="red"/>
              </w:rPr>
              <w:t>72.24223</w:t>
            </w:r>
            <w:r>
              <w:rPr>
                <w:color w:val="000000"/>
                <w:spacing w:val="80"/>
                <w:sz w:val="24"/>
                <w:highlight w:val="red"/>
              </w:rPr>
              <w:t> </w:t>
            </w:r>
          </w:p>
        </w:tc>
      </w:tr>
      <w:tr>
        <w:trPr>
          <w:trHeight w:val="300" w:hRule="atLeast"/>
        </w:trPr>
        <w:tc>
          <w:tcPr>
            <w:tcW w:w="1058" w:type="dxa"/>
          </w:tcPr>
          <w:p>
            <w:pPr>
              <w:pStyle w:val="TableParagraph"/>
              <w:spacing w:before="7"/>
              <w:ind w:left="50"/>
              <w:rPr>
                <w:sz w:val="24"/>
              </w:rPr>
            </w:pPr>
            <w:r>
              <w:rPr>
                <w:spacing w:val="-2"/>
                <w:sz w:val="24"/>
              </w:rPr>
              <w:t>102.2814</w:t>
            </w:r>
          </w:p>
        </w:tc>
        <w:tc>
          <w:tcPr>
            <w:tcW w:w="1116" w:type="dxa"/>
          </w:tcPr>
          <w:p>
            <w:pPr>
              <w:pStyle w:val="TableParagraph"/>
              <w:spacing w:before="7"/>
              <w:ind w:left="107"/>
              <w:rPr>
                <w:sz w:val="24"/>
              </w:rPr>
            </w:pPr>
            <w:r>
              <w:rPr>
                <w:spacing w:val="-2"/>
                <w:sz w:val="24"/>
              </w:rPr>
              <w:t>0.102281</w:t>
            </w:r>
          </w:p>
        </w:tc>
        <w:tc>
          <w:tcPr>
            <w:tcW w:w="768" w:type="dxa"/>
          </w:tcPr>
          <w:p>
            <w:pPr>
              <w:pStyle w:val="TableParagraph"/>
              <w:spacing w:before="7"/>
              <w:ind w:left="108"/>
              <w:rPr>
                <w:sz w:val="24"/>
              </w:rPr>
            </w:pPr>
            <w:r>
              <w:rPr>
                <w:spacing w:val="-5"/>
                <w:sz w:val="24"/>
              </w:rPr>
              <w:t>50</w:t>
            </w:r>
          </w:p>
        </w:tc>
        <w:tc>
          <w:tcPr>
            <w:tcW w:w="1308" w:type="dxa"/>
          </w:tcPr>
          <w:p>
            <w:pPr>
              <w:pStyle w:val="TableParagraph"/>
              <w:spacing w:before="7"/>
              <w:ind w:left="300"/>
              <w:rPr>
                <w:sz w:val="24"/>
              </w:rPr>
            </w:pPr>
            <w:r>
              <w:rPr>
                <w:spacing w:val="-2"/>
                <w:sz w:val="24"/>
              </w:rPr>
              <w:t>0.146008</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0.730038023</w:t>
            </w:r>
          </w:p>
        </w:tc>
        <w:tc>
          <w:tcPr>
            <w:tcW w:w="1121" w:type="dxa"/>
          </w:tcPr>
          <w:p>
            <w:pPr>
              <w:pStyle w:val="TableParagraph"/>
              <w:spacing w:before="7"/>
              <w:ind w:left="113"/>
              <w:rPr>
                <w:sz w:val="24"/>
              </w:rPr>
            </w:pPr>
            <w:r>
              <w:rPr>
                <w:spacing w:val="-2"/>
                <w:sz w:val="24"/>
              </w:rPr>
              <w:t>1.770913</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304.1825</w:t>
            </w:r>
          </w:p>
        </w:tc>
        <w:tc>
          <w:tcPr>
            <w:tcW w:w="1116" w:type="dxa"/>
          </w:tcPr>
          <w:p>
            <w:pPr>
              <w:pStyle w:val="TableParagraph"/>
              <w:spacing w:before="7"/>
              <w:ind w:left="107"/>
              <w:rPr>
                <w:sz w:val="24"/>
              </w:rPr>
            </w:pPr>
            <w:r>
              <w:rPr>
                <w:spacing w:val="-2"/>
                <w:sz w:val="24"/>
              </w:rPr>
              <w:t>0.304183</w:t>
            </w:r>
          </w:p>
        </w:tc>
        <w:tc>
          <w:tcPr>
            <w:tcW w:w="768" w:type="dxa"/>
          </w:tcPr>
          <w:p>
            <w:pPr>
              <w:pStyle w:val="TableParagraph"/>
              <w:spacing w:before="7"/>
              <w:ind w:left="108"/>
              <w:rPr>
                <w:sz w:val="24"/>
              </w:rPr>
            </w:pPr>
            <w:r>
              <w:rPr>
                <w:spacing w:val="-5"/>
                <w:sz w:val="24"/>
              </w:rPr>
              <w:t>60</w:t>
            </w:r>
          </w:p>
        </w:tc>
        <w:tc>
          <w:tcPr>
            <w:tcW w:w="1308" w:type="dxa"/>
          </w:tcPr>
          <w:p>
            <w:pPr>
              <w:pStyle w:val="TableParagraph"/>
              <w:spacing w:before="7"/>
              <w:ind w:left="300"/>
              <w:rPr>
                <w:sz w:val="24"/>
              </w:rPr>
            </w:pPr>
            <w:r>
              <w:rPr>
                <w:spacing w:val="-2"/>
                <w:sz w:val="24"/>
              </w:rPr>
              <w:t>0.406464</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2.032319392</w:t>
            </w:r>
          </w:p>
        </w:tc>
        <w:tc>
          <w:tcPr>
            <w:tcW w:w="1121" w:type="dxa"/>
          </w:tcPr>
          <w:p>
            <w:pPr>
              <w:pStyle w:val="TableParagraph"/>
              <w:spacing w:before="7"/>
              <w:ind w:left="113"/>
              <w:rPr>
                <w:sz w:val="24"/>
              </w:rPr>
            </w:pPr>
            <w:r>
              <w:rPr>
                <w:spacing w:val="-2"/>
                <w:sz w:val="24"/>
              </w:rPr>
              <w:t>3.803232</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393.1559</w:t>
            </w:r>
          </w:p>
        </w:tc>
        <w:tc>
          <w:tcPr>
            <w:tcW w:w="1116" w:type="dxa"/>
          </w:tcPr>
          <w:p>
            <w:pPr>
              <w:pStyle w:val="TableParagraph"/>
              <w:spacing w:before="7"/>
              <w:ind w:left="107"/>
              <w:rPr>
                <w:sz w:val="24"/>
              </w:rPr>
            </w:pPr>
            <w:r>
              <w:rPr>
                <w:spacing w:val="-2"/>
                <w:sz w:val="24"/>
              </w:rPr>
              <w:t>0.393156</w:t>
            </w:r>
          </w:p>
        </w:tc>
        <w:tc>
          <w:tcPr>
            <w:tcW w:w="768" w:type="dxa"/>
          </w:tcPr>
          <w:p>
            <w:pPr>
              <w:pStyle w:val="TableParagraph"/>
              <w:spacing w:before="7"/>
              <w:ind w:left="108"/>
              <w:rPr>
                <w:sz w:val="24"/>
              </w:rPr>
            </w:pPr>
            <w:r>
              <w:rPr>
                <w:spacing w:val="-5"/>
                <w:sz w:val="24"/>
              </w:rPr>
              <w:t>70</w:t>
            </w:r>
          </w:p>
        </w:tc>
        <w:tc>
          <w:tcPr>
            <w:tcW w:w="1308" w:type="dxa"/>
          </w:tcPr>
          <w:p>
            <w:pPr>
              <w:pStyle w:val="TableParagraph"/>
              <w:spacing w:before="7"/>
              <w:ind w:left="300"/>
              <w:rPr>
                <w:sz w:val="24"/>
              </w:rPr>
            </w:pPr>
            <w:r>
              <w:rPr>
                <w:spacing w:val="-2"/>
                <w:sz w:val="24"/>
              </w:rPr>
              <w:t>0.697338</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3.486692015</w:t>
            </w:r>
          </w:p>
        </w:tc>
        <w:tc>
          <w:tcPr>
            <w:tcW w:w="1121" w:type="dxa"/>
          </w:tcPr>
          <w:p>
            <w:pPr>
              <w:pStyle w:val="TableParagraph"/>
              <w:spacing w:before="7"/>
              <w:ind w:left="113"/>
              <w:rPr>
                <w:sz w:val="24"/>
              </w:rPr>
            </w:pPr>
            <w:r>
              <w:rPr>
                <w:spacing w:val="-2"/>
                <w:sz w:val="24"/>
              </w:rPr>
              <w:t>7.289924</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399.6198</w:t>
            </w:r>
          </w:p>
        </w:tc>
        <w:tc>
          <w:tcPr>
            <w:tcW w:w="1116" w:type="dxa"/>
          </w:tcPr>
          <w:p>
            <w:pPr>
              <w:pStyle w:val="TableParagraph"/>
              <w:spacing w:before="7"/>
              <w:ind w:left="107"/>
              <w:rPr>
                <w:sz w:val="24"/>
              </w:rPr>
            </w:pPr>
            <w:r>
              <w:rPr>
                <w:spacing w:val="-2"/>
                <w:sz w:val="24"/>
              </w:rPr>
              <w:t>0.39962</w:t>
            </w:r>
          </w:p>
        </w:tc>
        <w:tc>
          <w:tcPr>
            <w:tcW w:w="768" w:type="dxa"/>
          </w:tcPr>
          <w:p>
            <w:pPr>
              <w:pStyle w:val="TableParagraph"/>
              <w:spacing w:before="7"/>
              <w:ind w:left="108"/>
              <w:rPr>
                <w:sz w:val="24"/>
              </w:rPr>
            </w:pPr>
            <w:r>
              <w:rPr>
                <w:spacing w:val="-5"/>
                <w:sz w:val="24"/>
              </w:rPr>
              <w:t>80</w:t>
            </w:r>
          </w:p>
        </w:tc>
        <w:tc>
          <w:tcPr>
            <w:tcW w:w="1308" w:type="dxa"/>
          </w:tcPr>
          <w:p>
            <w:pPr>
              <w:pStyle w:val="TableParagraph"/>
              <w:spacing w:before="7"/>
              <w:ind w:left="300"/>
              <w:rPr>
                <w:sz w:val="24"/>
              </w:rPr>
            </w:pPr>
            <w:r>
              <w:rPr>
                <w:spacing w:val="-2"/>
                <w:sz w:val="24"/>
              </w:rPr>
              <w:t>0.792776</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3.963878327</w:t>
            </w:r>
          </w:p>
        </w:tc>
        <w:tc>
          <w:tcPr>
            <w:tcW w:w="1121" w:type="dxa"/>
          </w:tcPr>
          <w:p>
            <w:pPr>
              <w:pStyle w:val="TableParagraph"/>
              <w:spacing w:before="7"/>
              <w:ind w:left="113"/>
              <w:rPr>
                <w:sz w:val="24"/>
              </w:rPr>
            </w:pPr>
            <w:r>
              <w:rPr>
                <w:spacing w:val="-2"/>
                <w:sz w:val="24"/>
              </w:rPr>
              <w:t>11.2538</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400.7605</w:t>
            </w:r>
          </w:p>
        </w:tc>
        <w:tc>
          <w:tcPr>
            <w:tcW w:w="1116" w:type="dxa"/>
          </w:tcPr>
          <w:p>
            <w:pPr>
              <w:pStyle w:val="TableParagraph"/>
              <w:spacing w:before="7"/>
              <w:ind w:left="107"/>
              <w:rPr>
                <w:sz w:val="24"/>
              </w:rPr>
            </w:pPr>
            <w:r>
              <w:rPr>
                <w:spacing w:val="-2"/>
                <w:sz w:val="24"/>
              </w:rPr>
              <w:t>0.40076</w:t>
            </w:r>
          </w:p>
        </w:tc>
        <w:tc>
          <w:tcPr>
            <w:tcW w:w="768" w:type="dxa"/>
          </w:tcPr>
          <w:p>
            <w:pPr>
              <w:pStyle w:val="TableParagraph"/>
              <w:spacing w:before="7"/>
              <w:ind w:left="108"/>
              <w:rPr>
                <w:sz w:val="24"/>
              </w:rPr>
            </w:pPr>
            <w:r>
              <w:rPr>
                <w:spacing w:val="-5"/>
                <w:sz w:val="24"/>
              </w:rPr>
              <w:t>90</w:t>
            </w:r>
          </w:p>
        </w:tc>
        <w:tc>
          <w:tcPr>
            <w:tcW w:w="1308" w:type="dxa"/>
          </w:tcPr>
          <w:p>
            <w:pPr>
              <w:pStyle w:val="TableParagraph"/>
              <w:spacing w:before="7"/>
              <w:ind w:left="300"/>
              <w:rPr>
                <w:sz w:val="24"/>
              </w:rPr>
            </w:pPr>
            <w:r>
              <w:rPr>
                <w:spacing w:val="-2"/>
                <w:sz w:val="24"/>
              </w:rPr>
              <w:t>0.80038</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4.001901141</w:t>
            </w:r>
          </w:p>
        </w:tc>
        <w:tc>
          <w:tcPr>
            <w:tcW w:w="1121" w:type="dxa"/>
          </w:tcPr>
          <w:p>
            <w:pPr>
              <w:pStyle w:val="TableParagraph"/>
              <w:spacing w:before="7"/>
              <w:ind w:left="113"/>
              <w:rPr>
                <w:sz w:val="24"/>
              </w:rPr>
            </w:pPr>
            <w:r>
              <w:rPr>
                <w:spacing w:val="-2"/>
                <w:sz w:val="24"/>
              </w:rPr>
              <w:t>15.2557</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406.0837</w:t>
            </w:r>
          </w:p>
        </w:tc>
        <w:tc>
          <w:tcPr>
            <w:tcW w:w="1116" w:type="dxa"/>
          </w:tcPr>
          <w:p>
            <w:pPr>
              <w:pStyle w:val="TableParagraph"/>
              <w:spacing w:before="7"/>
              <w:ind w:left="107"/>
              <w:rPr>
                <w:sz w:val="24"/>
              </w:rPr>
            </w:pPr>
            <w:r>
              <w:rPr>
                <w:spacing w:val="-2"/>
                <w:sz w:val="24"/>
              </w:rPr>
              <w:t>0.406084</w:t>
            </w:r>
          </w:p>
        </w:tc>
        <w:tc>
          <w:tcPr>
            <w:tcW w:w="768" w:type="dxa"/>
          </w:tcPr>
          <w:p>
            <w:pPr>
              <w:pStyle w:val="TableParagraph"/>
              <w:spacing w:before="7"/>
              <w:ind w:left="108"/>
              <w:rPr>
                <w:sz w:val="24"/>
              </w:rPr>
            </w:pPr>
            <w:r>
              <w:rPr>
                <w:spacing w:val="-5"/>
                <w:sz w:val="24"/>
              </w:rPr>
              <w:t>100</w:t>
            </w:r>
          </w:p>
        </w:tc>
        <w:tc>
          <w:tcPr>
            <w:tcW w:w="1308" w:type="dxa"/>
          </w:tcPr>
          <w:p>
            <w:pPr>
              <w:pStyle w:val="TableParagraph"/>
              <w:spacing w:before="7"/>
              <w:ind w:left="300"/>
              <w:rPr>
                <w:sz w:val="24"/>
              </w:rPr>
            </w:pPr>
            <w:r>
              <w:rPr>
                <w:spacing w:val="-2"/>
                <w:sz w:val="24"/>
              </w:rPr>
              <w:t>0.806844</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4.034220532</w:t>
            </w:r>
          </w:p>
        </w:tc>
        <w:tc>
          <w:tcPr>
            <w:tcW w:w="1121" w:type="dxa"/>
          </w:tcPr>
          <w:p>
            <w:pPr>
              <w:pStyle w:val="TableParagraph"/>
              <w:spacing w:before="7"/>
              <w:ind w:left="113"/>
              <w:rPr>
                <w:sz w:val="24"/>
              </w:rPr>
            </w:pPr>
            <w:r>
              <w:rPr>
                <w:spacing w:val="-2"/>
                <w:sz w:val="24"/>
              </w:rPr>
              <w:t>19.28992</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300" w:hRule="atLeast"/>
        </w:trPr>
        <w:tc>
          <w:tcPr>
            <w:tcW w:w="1058" w:type="dxa"/>
          </w:tcPr>
          <w:p>
            <w:pPr>
              <w:pStyle w:val="TableParagraph"/>
              <w:spacing w:before="7"/>
              <w:ind w:left="50"/>
              <w:rPr>
                <w:sz w:val="24"/>
              </w:rPr>
            </w:pPr>
            <w:r>
              <w:rPr>
                <w:spacing w:val="-2"/>
                <w:sz w:val="24"/>
              </w:rPr>
              <w:t>412.5475</w:t>
            </w:r>
          </w:p>
        </w:tc>
        <w:tc>
          <w:tcPr>
            <w:tcW w:w="1116" w:type="dxa"/>
          </w:tcPr>
          <w:p>
            <w:pPr>
              <w:pStyle w:val="TableParagraph"/>
              <w:spacing w:before="7"/>
              <w:ind w:left="107"/>
              <w:rPr>
                <w:sz w:val="24"/>
              </w:rPr>
            </w:pPr>
            <w:r>
              <w:rPr>
                <w:spacing w:val="-2"/>
                <w:sz w:val="24"/>
              </w:rPr>
              <w:t>0.412548</w:t>
            </w:r>
          </w:p>
        </w:tc>
        <w:tc>
          <w:tcPr>
            <w:tcW w:w="768" w:type="dxa"/>
          </w:tcPr>
          <w:p>
            <w:pPr>
              <w:pStyle w:val="TableParagraph"/>
              <w:spacing w:before="7"/>
              <w:ind w:left="108"/>
              <w:rPr>
                <w:sz w:val="24"/>
              </w:rPr>
            </w:pPr>
            <w:r>
              <w:rPr>
                <w:spacing w:val="-5"/>
                <w:sz w:val="24"/>
              </w:rPr>
              <w:t>110</w:t>
            </w:r>
          </w:p>
        </w:tc>
        <w:tc>
          <w:tcPr>
            <w:tcW w:w="1308" w:type="dxa"/>
          </w:tcPr>
          <w:p>
            <w:pPr>
              <w:pStyle w:val="TableParagraph"/>
              <w:spacing w:before="7"/>
              <w:ind w:left="300"/>
              <w:rPr>
                <w:sz w:val="24"/>
              </w:rPr>
            </w:pPr>
            <w:r>
              <w:rPr>
                <w:spacing w:val="-2"/>
                <w:sz w:val="24"/>
              </w:rPr>
              <w:t>0.818631</w:t>
            </w:r>
          </w:p>
        </w:tc>
        <w:tc>
          <w:tcPr>
            <w:tcW w:w="708" w:type="dxa"/>
          </w:tcPr>
          <w:p>
            <w:pPr>
              <w:pStyle w:val="TableParagraph"/>
              <w:spacing w:before="7"/>
              <w:ind w:left="108"/>
              <w:rPr>
                <w:sz w:val="24"/>
              </w:rPr>
            </w:pPr>
            <w:r>
              <w:rPr>
                <w:spacing w:val="-5"/>
                <w:sz w:val="24"/>
              </w:rPr>
              <w:t>10</w:t>
            </w:r>
          </w:p>
        </w:tc>
        <w:tc>
          <w:tcPr>
            <w:tcW w:w="1733" w:type="dxa"/>
          </w:tcPr>
          <w:p>
            <w:pPr>
              <w:pStyle w:val="TableParagraph"/>
              <w:spacing w:before="7"/>
              <w:ind w:left="360"/>
              <w:rPr>
                <w:sz w:val="24"/>
              </w:rPr>
            </w:pPr>
            <w:r>
              <w:rPr>
                <w:spacing w:val="-2"/>
                <w:sz w:val="24"/>
              </w:rPr>
              <w:t>4.093155894</w:t>
            </w:r>
          </w:p>
        </w:tc>
        <w:tc>
          <w:tcPr>
            <w:tcW w:w="1121" w:type="dxa"/>
          </w:tcPr>
          <w:p>
            <w:pPr>
              <w:pStyle w:val="TableParagraph"/>
              <w:spacing w:before="7"/>
              <w:ind w:left="113"/>
              <w:rPr>
                <w:sz w:val="24"/>
              </w:rPr>
            </w:pPr>
            <w:r>
              <w:rPr>
                <w:spacing w:val="-2"/>
                <w:sz w:val="24"/>
              </w:rPr>
              <w:t>23.38308</w:t>
            </w:r>
          </w:p>
        </w:tc>
        <w:tc>
          <w:tcPr>
            <w:tcW w:w="655" w:type="dxa"/>
          </w:tcPr>
          <w:p>
            <w:pPr>
              <w:pStyle w:val="TableParagraph"/>
              <w:spacing w:line="240" w:lineRule="auto"/>
              <w:rPr>
                <w:sz w:val="22"/>
              </w:rPr>
            </w:pPr>
          </w:p>
        </w:tc>
        <w:tc>
          <w:tcPr>
            <w:tcW w:w="1363" w:type="dxa"/>
          </w:tcPr>
          <w:p>
            <w:pPr>
              <w:pStyle w:val="TableParagraph"/>
              <w:spacing w:line="240" w:lineRule="auto"/>
              <w:rPr>
                <w:sz w:val="22"/>
              </w:rPr>
            </w:pPr>
          </w:p>
        </w:tc>
      </w:tr>
      <w:tr>
        <w:trPr>
          <w:trHeight w:val="282" w:hRule="atLeast"/>
        </w:trPr>
        <w:tc>
          <w:tcPr>
            <w:tcW w:w="1058" w:type="dxa"/>
          </w:tcPr>
          <w:p>
            <w:pPr>
              <w:pStyle w:val="TableParagraph"/>
              <w:spacing w:line="256" w:lineRule="exact" w:before="7"/>
              <w:ind w:left="50"/>
              <w:rPr>
                <w:sz w:val="24"/>
              </w:rPr>
            </w:pPr>
            <w:r>
              <w:rPr>
                <w:spacing w:val="-2"/>
                <w:sz w:val="24"/>
              </w:rPr>
              <w:t>450.5703</w:t>
            </w:r>
          </w:p>
        </w:tc>
        <w:tc>
          <w:tcPr>
            <w:tcW w:w="1116" w:type="dxa"/>
          </w:tcPr>
          <w:p>
            <w:pPr>
              <w:pStyle w:val="TableParagraph"/>
              <w:spacing w:line="256" w:lineRule="exact" w:before="7"/>
              <w:ind w:left="107"/>
              <w:rPr>
                <w:sz w:val="24"/>
              </w:rPr>
            </w:pPr>
            <w:r>
              <w:rPr>
                <w:spacing w:val="-2"/>
                <w:sz w:val="24"/>
              </w:rPr>
              <w:t>0.45057</w:t>
            </w:r>
          </w:p>
        </w:tc>
        <w:tc>
          <w:tcPr>
            <w:tcW w:w="768" w:type="dxa"/>
          </w:tcPr>
          <w:p>
            <w:pPr>
              <w:pStyle w:val="TableParagraph"/>
              <w:spacing w:line="256" w:lineRule="exact" w:before="7"/>
              <w:ind w:left="108"/>
              <w:rPr>
                <w:sz w:val="24"/>
              </w:rPr>
            </w:pPr>
            <w:r>
              <w:rPr>
                <w:spacing w:val="-5"/>
                <w:sz w:val="24"/>
              </w:rPr>
              <w:t>120</w:t>
            </w:r>
          </w:p>
        </w:tc>
        <w:tc>
          <w:tcPr>
            <w:tcW w:w="1308" w:type="dxa"/>
          </w:tcPr>
          <w:p>
            <w:pPr>
              <w:pStyle w:val="TableParagraph"/>
              <w:spacing w:line="256" w:lineRule="exact" w:before="7"/>
              <w:ind w:left="300"/>
              <w:rPr>
                <w:sz w:val="24"/>
              </w:rPr>
            </w:pPr>
            <w:r>
              <w:rPr>
                <w:spacing w:val="-2"/>
                <w:sz w:val="24"/>
              </w:rPr>
              <w:t>0.863118</w:t>
            </w:r>
          </w:p>
        </w:tc>
        <w:tc>
          <w:tcPr>
            <w:tcW w:w="708" w:type="dxa"/>
          </w:tcPr>
          <w:p>
            <w:pPr>
              <w:pStyle w:val="TableParagraph"/>
              <w:spacing w:line="256" w:lineRule="exact" w:before="7"/>
              <w:ind w:left="108"/>
              <w:rPr>
                <w:sz w:val="24"/>
              </w:rPr>
            </w:pPr>
            <w:r>
              <w:rPr>
                <w:spacing w:val="-5"/>
                <w:sz w:val="24"/>
              </w:rPr>
              <w:t>10</w:t>
            </w:r>
          </w:p>
        </w:tc>
        <w:tc>
          <w:tcPr>
            <w:tcW w:w="1733" w:type="dxa"/>
          </w:tcPr>
          <w:p>
            <w:pPr>
              <w:pStyle w:val="TableParagraph"/>
              <w:spacing w:line="256" w:lineRule="exact" w:before="7"/>
              <w:ind w:left="360"/>
              <w:rPr>
                <w:sz w:val="24"/>
              </w:rPr>
            </w:pPr>
            <w:r>
              <w:rPr>
                <w:spacing w:val="-2"/>
                <w:sz w:val="24"/>
              </w:rPr>
              <w:t>4.315589354</w:t>
            </w:r>
          </w:p>
        </w:tc>
        <w:tc>
          <w:tcPr>
            <w:tcW w:w="1121" w:type="dxa"/>
          </w:tcPr>
          <w:p>
            <w:pPr>
              <w:pStyle w:val="TableParagraph"/>
              <w:spacing w:line="256" w:lineRule="exact" w:before="7"/>
              <w:ind w:left="5" w:right="-15"/>
              <w:rPr>
                <w:sz w:val="24"/>
              </w:rPr>
            </w:pPr>
            <w:r>
              <w:rPr>
                <w:color w:val="000000"/>
                <w:spacing w:val="48"/>
                <w:sz w:val="24"/>
                <w:highlight w:val="yellow"/>
              </w:rPr>
              <w:t> </w:t>
            </w:r>
            <w:r>
              <w:rPr>
                <w:color w:val="000000"/>
                <w:spacing w:val="-2"/>
                <w:sz w:val="24"/>
                <w:highlight w:val="yellow"/>
              </w:rPr>
              <w:t>27.69867</w:t>
            </w:r>
            <w:r>
              <w:rPr>
                <w:color w:val="000000"/>
                <w:spacing w:val="80"/>
                <w:sz w:val="24"/>
                <w:highlight w:val="yellow"/>
              </w:rPr>
              <w:t> </w:t>
            </w:r>
          </w:p>
        </w:tc>
        <w:tc>
          <w:tcPr>
            <w:tcW w:w="655" w:type="dxa"/>
          </w:tcPr>
          <w:p>
            <w:pPr>
              <w:pStyle w:val="TableParagraph"/>
              <w:spacing w:line="240" w:lineRule="auto"/>
              <w:rPr>
                <w:sz w:val="20"/>
              </w:rPr>
            </w:pPr>
          </w:p>
        </w:tc>
        <w:tc>
          <w:tcPr>
            <w:tcW w:w="1363" w:type="dxa"/>
          </w:tcPr>
          <w:p>
            <w:pPr>
              <w:pStyle w:val="TableParagraph"/>
              <w:spacing w:line="240" w:lineRule="auto"/>
              <w:rPr>
                <w:sz w:val="20"/>
              </w:rPr>
            </w:pPr>
          </w:p>
        </w:tc>
      </w:tr>
    </w:tbl>
    <w:p>
      <w:pPr>
        <w:pStyle w:val="BodyText"/>
      </w:pPr>
    </w:p>
    <w:p>
      <w:pPr>
        <w:pStyle w:val="BodyText"/>
        <w:spacing w:before="7"/>
      </w:pPr>
    </w:p>
    <w:p>
      <w:pPr>
        <w:pStyle w:val="Heading2"/>
        <w:numPr>
          <w:ilvl w:val="1"/>
          <w:numId w:val="30"/>
        </w:numPr>
        <w:tabs>
          <w:tab w:pos="1275" w:val="left" w:leader="none"/>
        </w:tabs>
        <w:spacing w:line="240" w:lineRule="auto" w:before="0" w:after="0"/>
        <w:ind w:left="1275" w:right="0" w:hanging="360"/>
        <w:jc w:val="left"/>
      </w:pPr>
      <w:bookmarkStart w:name="_TOC_250001" w:id="83"/>
      <w:r>
        <w:rPr/>
        <w:t>In</w:t>
      </w:r>
      <w:r>
        <w:rPr>
          <w:spacing w:val="-1"/>
        </w:rPr>
        <w:t> </w:t>
      </w:r>
      <w:r>
        <w:rPr/>
        <w:t>vitro</w:t>
      </w:r>
      <w:r>
        <w:rPr>
          <w:spacing w:val="-1"/>
        </w:rPr>
        <w:t> </w:t>
      </w:r>
      <w:r>
        <w:rPr/>
        <w:t>dissolution</w:t>
      </w:r>
      <w:r>
        <w:rPr>
          <w:spacing w:val="-2"/>
        </w:rPr>
        <w:t> </w:t>
      </w:r>
      <w:r>
        <w:rPr/>
        <w:t>studies</w:t>
      </w:r>
      <w:r>
        <w:rPr>
          <w:spacing w:val="-1"/>
        </w:rPr>
        <w:t> </w:t>
      </w:r>
      <w:r>
        <w:rPr/>
        <w:t>at</w:t>
      </w:r>
      <w:r>
        <w:rPr>
          <w:spacing w:val="-1"/>
        </w:rPr>
        <w:t> </w:t>
      </w:r>
      <w:r>
        <w:rPr/>
        <w:t>intestinal</w:t>
      </w:r>
      <w:r>
        <w:rPr>
          <w:spacing w:val="-1"/>
        </w:rPr>
        <w:t> </w:t>
      </w:r>
      <w:r>
        <w:rPr/>
        <w:t>pH</w:t>
      </w:r>
      <w:r>
        <w:rPr>
          <w:spacing w:val="-3"/>
        </w:rPr>
        <w:t> </w:t>
      </w:r>
      <w:r>
        <w:rPr/>
        <w:t>(6.8) using</w:t>
      </w:r>
      <w:r>
        <w:rPr>
          <w:spacing w:val="-1"/>
        </w:rPr>
        <w:t> </w:t>
      </w:r>
      <w:r>
        <w:rPr/>
        <w:t>phosphate</w:t>
      </w:r>
      <w:r>
        <w:rPr>
          <w:spacing w:val="-1"/>
        </w:rPr>
        <w:t> </w:t>
      </w:r>
      <w:bookmarkEnd w:id="83"/>
      <w:r>
        <w:rPr>
          <w:spacing w:val="-2"/>
        </w:rPr>
        <w:t>buffer</w:t>
      </w:r>
    </w:p>
    <w:p>
      <w:pPr>
        <w:pStyle w:val="BodyText"/>
        <w:spacing w:before="51"/>
        <w:rPr>
          <w:b/>
          <w:sz w:val="20"/>
        </w:rPr>
      </w:pPr>
    </w:p>
    <w:tbl>
      <w:tblPr>
        <w:tblW w:w="0" w:type="auto"/>
        <w:jc w:val="left"/>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1225"/>
        <w:gridCol w:w="802"/>
        <w:gridCol w:w="1274"/>
        <w:gridCol w:w="708"/>
        <w:gridCol w:w="1606"/>
        <w:gridCol w:w="1114"/>
        <w:gridCol w:w="849"/>
        <w:gridCol w:w="1059"/>
      </w:tblGrid>
      <w:tr>
        <w:trPr>
          <w:trHeight w:val="559" w:hRule="atLeast"/>
        </w:trPr>
        <w:tc>
          <w:tcPr>
            <w:tcW w:w="1167" w:type="dxa"/>
          </w:tcPr>
          <w:p>
            <w:pPr>
              <w:pStyle w:val="TableParagraph"/>
              <w:spacing w:before="266"/>
              <w:ind w:left="50"/>
              <w:rPr>
                <w:sz w:val="24"/>
              </w:rPr>
            </w:pPr>
            <w:r>
              <w:rPr>
                <w:spacing w:val="-5"/>
                <w:sz w:val="24"/>
              </w:rPr>
              <w:t>mg</w:t>
            </w:r>
          </w:p>
        </w:tc>
        <w:tc>
          <w:tcPr>
            <w:tcW w:w="1225" w:type="dxa"/>
          </w:tcPr>
          <w:p>
            <w:pPr>
              <w:pStyle w:val="TableParagraph"/>
              <w:spacing w:before="266"/>
              <w:ind w:left="217"/>
              <w:rPr>
                <w:sz w:val="24"/>
              </w:rPr>
            </w:pPr>
            <w:r>
              <w:rPr>
                <w:spacing w:val="-2"/>
                <w:sz w:val="24"/>
              </w:rPr>
              <w:t>mg/ml</w:t>
            </w:r>
          </w:p>
        </w:tc>
        <w:tc>
          <w:tcPr>
            <w:tcW w:w="802" w:type="dxa"/>
          </w:tcPr>
          <w:p>
            <w:pPr>
              <w:pStyle w:val="TableParagraph"/>
              <w:spacing w:before="266"/>
              <w:ind w:left="108"/>
              <w:rPr>
                <w:sz w:val="24"/>
              </w:rPr>
            </w:pPr>
            <w:r>
              <w:rPr>
                <w:spacing w:val="-4"/>
                <w:sz w:val="24"/>
              </w:rPr>
              <w:t>time</w:t>
            </w:r>
          </w:p>
        </w:tc>
        <w:tc>
          <w:tcPr>
            <w:tcW w:w="1274" w:type="dxa"/>
          </w:tcPr>
          <w:p>
            <w:pPr>
              <w:pStyle w:val="TableParagraph"/>
              <w:spacing w:before="266"/>
              <w:ind w:left="266"/>
              <w:rPr>
                <w:sz w:val="24"/>
              </w:rPr>
            </w:pPr>
            <w:r>
              <w:rPr>
                <w:spacing w:val="-2"/>
                <w:sz w:val="24"/>
              </w:rPr>
              <w:t>C1+C2</w:t>
            </w:r>
          </w:p>
        </w:tc>
        <w:tc>
          <w:tcPr>
            <w:tcW w:w="708" w:type="dxa"/>
          </w:tcPr>
          <w:p>
            <w:pPr>
              <w:pStyle w:val="TableParagraph"/>
              <w:spacing w:before="266"/>
              <w:ind w:left="111"/>
              <w:rPr>
                <w:sz w:val="24"/>
              </w:rPr>
            </w:pPr>
            <w:r>
              <w:rPr>
                <w:spacing w:val="-5"/>
                <w:sz w:val="24"/>
              </w:rPr>
              <w:t>dt</w:t>
            </w:r>
          </w:p>
        </w:tc>
        <w:tc>
          <w:tcPr>
            <w:tcW w:w="1606" w:type="dxa"/>
          </w:tcPr>
          <w:p>
            <w:pPr>
              <w:pStyle w:val="TableParagraph"/>
              <w:spacing w:line="266" w:lineRule="exact"/>
              <w:ind w:left="363"/>
              <w:rPr>
                <w:sz w:val="24"/>
              </w:rPr>
            </w:pPr>
            <w:r>
              <w:rPr>
                <w:spacing w:val="-4"/>
                <w:sz w:val="24"/>
              </w:rPr>
              <w:t>AUC=</w:t>
            </w:r>
          </w:p>
          <w:p>
            <w:pPr>
              <w:pStyle w:val="TableParagraph"/>
              <w:ind w:left="363"/>
              <w:rPr>
                <w:sz w:val="24"/>
              </w:rPr>
            </w:pPr>
            <w:r>
              <w:rPr>
                <w:spacing w:val="-2"/>
                <w:sz w:val="24"/>
              </w:rPr>
              <w:t>linear</w:t>
            </w:r>
          </w:p>
        </w:tc>
        <w:tc>
          <w:tcPr>
            <w:tcW w:w="1114" w:type="dxa"/>
          </w:tcPr>
          <w:p>
            <w:pPr>
              <w:pStyle w:val="TableParagraph"/>
              <w:spacing w:line="266" w:lineRule="exact"/>
              <w:ind w:left="111"/>
              <w:rPr>
                <w:sz w:val="24"/>
              </w:rPr>
            </w:pPr>
            <w:r>
              <w:rPr>
                <w:spacing w:val="-5"/>
                <w:sz w:val="24"/>
              </w:rPr>
              <w:t>AUC</w:t>
            </w:r>
          </w:p>
          <w:p>
            <w:pPr>
              <w:pStyle w:val="TableParagraph"/>
              <w:ind w:left="111"/>
              <w:rPr>
                <w:sz w:val="24"/>
              </w:rPr>
            </w:pPr>
            <w:r>
              <w:rPr>
                <w:spacing w:val="-2"/>
                <w:sz w:val="24"/>
              </w:rPr>
              <w:t>total</w:t>
            </w:r>
          </w:p>
        </w:tc>
        <w:tc>
          <w:tcPr>
            <w:tcW w:w="849" w:type="dxa"/>
          </w:tcPr>
          <w:p>
            <w:pPr>
              <w:pStyle w:val="TableParagraph"/>
              <w:spacing w:before="266"/>
              <w:ind w:left="113"/>
              <w:rPr>
                <w:sz w:val="24"/>
              </w:rPr>
            </w:pPr>
            <w:r>
              <w:rPr>
                <w:spacing w:val="-2"/>
                <w:sz w:val="24"/>
              </w:rPr>
              <w:t>Bioav.</w:t>
            </w:r>
          </w:p>
        </w:tc>
        <w:tc>
          <w:tcPr>
            <w:tcW w:w="1059" w:type="dxa"/>
          </w:tcPr>
          <w:p>
            <w:pPr>
              <w:pStyle w:val="TableParagraph"/>
              <w:spacing w:line="240" w:lineRule="auto"/>
              <w:rPr>
                <w:sz w:val="24"/>
              </w:rPr>
            </w:pPr>
          </w:p>
        </w:tc>
      </w:tr>
      <w:tr>
        <w:trPr>
          <w:trHeight w:val="300" w:hRule="atLeast"/>
        </w:trPr>
        <w:tc>
          <w:tcPr>
            <w:tcW w:w="1167" w:type="dxa"/>
          </w:tcPr>
          <w:p>
            <w:pPr>
              <w:pStyle w:val="TableParagraph"/>
              <w:spacing w:before="7"/>
              <w:ind w:left="50"/>
              <w:rPr>
                <w:sz w:val="24"/>
              </w:rPr>
            </w:pPr>
            <w:r>
              <w:rPr>
                <w:spacing w:val="-10"/>
                <w:sz w:val="24"/>
              </w:rPr>
              <w:t>B</w:t>
            </w:r>
          </w:p>
        </w:tc>
        <w:tc>
          <w:tcPr>
            <w:tcW w:w="1225" w:type="dxa"/>
          </w:tcPr>
          <w:p>
            <w:pPr>
              <w:pStyle w:val="TableParagraph"/>
              <w:spacing w:line="240" w:lineRule="auto"/>
              <w:rPr>
                <w:sz w:val="22"/>
              </w:rPr>
            </w:pPr>
          </w:p>
        </w:tc>
        <w:tc>
          <w:tcPr>
            <w:tcW w:w="802" w:type="dxa"/>
          </w:tcPr>
          <w:p>
            <w:pPr>
              <w:pStyle w:val="TableParagraph"/>
              <w:spacing w:line="240" w:lineRule="auto"/>
              <w:rPr>
                <w:sz w:val="22"/>
              </w:rPr>
            </w:pPr>
          </w:p>
        </w:tc>
        <w:tc>
          <w:tcPr>
            <w:tcW w:w="1274" w:type="dxa"/>
          </w:tcPr>
          <w:p>
            <w:pPr>
              <w:pStyle w:val="TableParagraph"/>
              <w:spacing w:line="240" w:lineRule="auto"/>
              <w:rPr>
                <w:sz w:val="22"/>
              </w:rPr>
            </w:pPr>
          </w:p>
        </w:tc>
        <w:tc>
          <w:tcPr>
            <w:tcW w:w="708" w:type="dxa"/>
          </w:tcPr>
          <w:p>
            <w:pPr>
              <w:pStyle w:val="TableParagraph"/>
              <w:spacing w:line="240" w:lineRule="auto"/>
              <w:rPr>
                <w:sz w:val="22"/>
              </w:rPr>
            </w:pPr>
          </w:p>
        </w:tc>
        <w:tc>
          <w:tcPr>
            <w:tcW w:w="1606" w:type="dxa"/>
          </w:tcPr>
          <w:p>
            <w:pPr>
              <w:pStyle w:val="TableParagraph"/>
              <w:spacing w:line="240" w:lineRule="auto"/>
              <w:rPr>
                <w:sz w:val="22"/>
              </w:rPr>
            </w:pPr>
          </w:p>
        </w:tc>
        <w:tc>
          <w:tcPr>
            <w:tcW w:w="1114" w:type="dxa"/>
          </w:tcPr>
          <w:p>
            <w:pPr>
              <w:pStyle w:val="TableParagraph"/>
              <w:spacing w:line="240" w:lineRule="auto"/>
              <w:rPr>
                <w:sz w:val="22"/>
              </w:rPr>
            </w:pP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10"/>
                <w:sz w:val="24"/>
              </w:rPr>
              <w:t>0</w:t>
            </w:r>
          </w:p>
        </w:tc>
        <w:tc>
          <w:tcPr>
            <w:tcW w:w="1225" w:type="dxa"/>
          </w:tcPr>
          <w:p>
            <w:pPr>
              <w:pStyle w:val="TableParagraph"/>
              <w:spacing w:before="7"/>
              <w:ind w:left="217"/>
              <w:rPr>
                <w:sz w:val="24"/>
              </w:rPr>
            </w:pPr>
            <w:r>
              <w:rPr>
                <w:spacing w:val="-10"/>
                <w:sz w:val="24"/>
              </w:rPr>
              <w:t>0</w:t>
            </w:r>
          </w:p>
        </w:tc>
        <w:tc>
          <w:tcPr>
            <w:tcW w:w="802" w:type="dxa"/>
          </w:tcPr>
          <w:p>
            <w:pPr>
              <w:pStyle w:val="TableParagraph"/>
              <w:spacing w:before="7"/>
              <w:ind w:left="108"/>
              <w:rPr>
                <w:sz w:val="24"/>
              </w:rPr>
            </w:pPr>
            <w:r>
              <w:rPr>
                <w:spacing w:val="-10"/>
                <w:sz w:val="24"/>
              </w:rPr>
              <w:t>0</w:t>
            </w:r>
          </w:p>
        </w:tc>
        <w:tc>
          <w:tcPr>
            <w:tcW w:w="1274" w:type="dxa"/>
          </w:tcPr>
          <w:p>
            <w:pPr>
              <w:pStyle w:val="TableParagraph"/>
              <w:spacing w:before="7"/>
              <w:ind w:left="266"/>
              <w:rPr>
                <w:sz w:val="24"/>
              </w:rPr>
            </w:pPr>
            <w:r>
              <w:rPr>
                <w:spacing w:val="-10"/>
                <w:sz w:val="24"/>
              </w:rPr>
              <w:t>0</w:t>
            </w:r>
          </w:p>
        </w:tc>
        <w:tc>
          <w:tcPr>
            <w:tcW w:w="708" w:type="dxa"/>
          </w:tcPr>
          <w:p>
            <w:pPr>
              <w:pStyle w:val="TableParagraph"/>
              <w:spacing w:before="7"/>
              <w:ind w:left="111"/>
              <w:rPr>
                <w:sz w:val="24"/>
              </w:rPr>
            </w:pPr>
            <w:r>
              <w:rPr>
                <w:spacing w:val="-10"/>
                <w:sz w:val="24"/>
              </w:rPr>
              <w:t>0</w:t>
            </w:r>
          </w:p>
        </w:tc>
        <w:tc>
          <w:tcPr>
            <w:tcW w:w="1606" w:type="dxa"/>
          </w:tcPr>
          <w:p>
            <w:pPr>
              <w:pStyle w:val="TableParagraph"/>
              <w:spacing w:before="7"/>
              <w:ind w:left="363"/>
              <w:rPr>
                <w:sz w:val="24"/>
              </w:rPr>
            </w:pPr>
            <w:r>
              <w:rPr>
                <w:spacing w:val="-10"/>
                <w:sz w:val="24"/>
              </w:rPr>
              <w:t>0</w:t>
            </w:r>
          </w:p>
        </w:tc>
        <w:tc>
          <w:tcPr>
            <w:tcW w:w="1114" w:type="dxa"/>
          </w:tcPr>
          <w:p>
            <w:pPr>
              <w:pStyle w:val="TableParagraph"/>
              <w:spacing w:before="7"/>
              <w:ind w:left="111"/>
              <w:rPr>
                <w:sz w:val="24"/>
              </w:rPr>
            </w:pPr>
            <w:r>
              <w:rPr>
                <w:spacing w:val="-10"/>
                <w:sz w:val="24"/>
              </w:rPr>
              <w:t>0</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180.7407</w:t>
            </w:r>
          </w:p>
        </w:tc>
        <w:tc>
          <w:tcPr>
            <w:tcW w:w="1225" w:type="dxa"/>
          </w:tcPr>
          <w:p>
            <w:pPr>
              <w:pStyle w:val="TableParagraph"/>
              <w:spacing w:before="7"/>
              <w:ind w:left="217"/>
              <w:rPr>
                <w:sz w:val="24"/>
              </w:rPr>
            </w:pPr>
            <w:r>
              <w:rPr>
                <w:spacing w:val="-2"/>
                <w:sz w:val="24"/>
              </w:rPr>
              <w:t>0.180741</w:t>
            </w:r>
          </w:p>
        </w:tc>
        <w:tc>
          <w:tcPr>
            <w:tcW w:w="802" w:type="dxa"/>
          </w:tcPr>
          <w:p>
            <w:pPr>
              <w:pStyle w:val="TableParagraph"/>
              <w:spacing w:before="7"/>
              <w:ind w:left="108"/>
              <w:rPr>
                <w:sz w:val="24"/>
              </w:rPr>
            </w:pPr>
            <w:r>
              <w:rPr>
                <w:spacing w:val="-10"/>
                <w:sz w:val="24"/>
              </w:rPr>
              <w:t>5</w:t>
            </w:r>
          </w:p>
        </w:tc>
        <w:tc>
          <w:tcPr>
            <w:tcW w:w="1274" w:type="dxa"/>
          </w:tcPr>
          <w:p>
            <w:pPr>
              <w:pStyle w:val="TableParagraph"/>
              <w:spacing w:before="7"/>
              <w:ind w:left="266"/>
              <w:rPr>
                <w:sz w:val="24"/>
              </w:rPr>
            </w:pPr>
            <w:r>
              <w:rPr>
                <w:spacing w:val="-2"/>
                <w:sz w:val="24"/>
              </w:rPr>
              <w:t>0.180741</w:t>
            </w:r>
          </w:p>
        </w:tc>
        <w:tc>
          <w:tcPr>
            <w:tcW w:w="708" w:type="dxa"/>
          </w:tcPr>
          <w:p>
            <w:pPr>
              <w:pStyle w:val="TableParagraph"/>
              <w:spacing w:before="7"/>
              <w:ind w:left="111"/>
              <w:rPr>
                <w:sz w:val="24"/>
              </w:rPr>
            </w:pPr>
            <w:r>
              <w:rPr>
                <w:spacing w:val="-10"/>
                <w:sz w:val="24"/>
              </w:rPr>
              <w:t>5</w:t>
            </w:r>
          </w:p>
        </w:tc>
        <w:tc>
          <w:tcPr>
            <w:tcW w:w="1606" w:type="dxa"/>
          </w:tcPr>
          <w:p>
            <w:pPr>
              <w:pStyle w:val="TableParagraph"/>
              <w:spacing w:before="7"/>
              <w:ind w:left="363"/>
              <w:rPr>
                <w:sz w:val="24"/>
              </w:rPr>
            </w:pPr>
            <w:r>
              <w:rPr>
                <w:spacing w:val="-2"/>
                <w:sz w:val="24"/>
              </w:rPr>
              <w:t>0.45185185</w:t>
            </w:r>
          </w:p>
        </w:tc>
        <w:tc>
          <w:tcPr>
            <w:tcW w:w="1114" w:type="dxa"/>
          </w:tcPr>
          <w:p>
            <w:pPr>
              <w:pStyle w:val="TableParagraph"/>
              <w:spacing w:before="7"/>
              <w:ind w:left="111"/>
              <w:rPr>
                <w:sz w:val="24"/>
              </w:rPr>
            </w:pPr>
            <w:r>
              <w:rPr>
                <w:spacing w:val="-2"/>
                <w:sz w:val="24"/>
              </w:rPr>
              <w:t>0.451852</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251.4815</w:t>
            </w:r>
          </w:p>
        </w:tc>
        <w:tc>
          <w:tcPr>
            <w:tcW w:w="1225" w:type="dxa"/>
          </w:tcPr>
          <w:p>
            <w:pPr>
              <w:pStyle w:val="TableParagraph"/>
              <w:spacing w:before="7"/>
              <w:ind w:left="217"/>
              <w:rPr>
                <w:sz w:val="24"/>
              </w:rPr>
            </w:pPr>
            <w:r>
              <w:rPr>
                <w:spacing w:val="-2"/>
                <w:sz w:val="24"/>
              </w:rPr>
              <w:t>0.251481</w:t>
            </w:r>
          </w:p>
        </w:tc>
        <w:tc>
          <w:tcPr>
            <w:tcW w:w="802" w:type="dxa"/>
          </w:tcPr>
          <w:p>
            <w:pPr>
              <w:pStyle w:val="TableParagraph"/>
              <w:spacing w:before="7"/>
              <w:ind w:left="108"/>
              <w:rPr>
                <w:sz w:val="24"/>
              </w:rPr>
            </w:pPr>
            <w:r>
              <w:rPr>
                <w:spacing w:val="-5"/>
                <w:sz w:val="24"/>
              </w:rPr>
              <w:t>10</w:t>
            </w:r>
          </w:p>
        </w:tc>
        <w:tc>
          <w:tcPr>
            <w:tcW w:w="1274" w:type="dxa"/>
          </w:tcPr>
          <w:p>
            <w:pPr>
              <w:pStyle w:val="TableParagraph"/>
              <w:spacing w:before="7"/>
              <w:ind w:left="266"/>
              <w:rPr>
                <w:sz w:val="24"/>
              </w:rPr>
            </w:pPr>
            <w:r>
              <w:rPr>
                <w:spacing w:val="-2"/>
                <w:sz w:val="24"/>
              </w:rPr>
              <w:t>0.432222</w:t>
            </w:r>
          </w:p>
        </w:tc>
        <w:tc>
          <w:tcPr>
            <w:tcW w:w="708" w:type="dxa"/>
          </w:tcPr>
          <w:p>
            <w:pPr>
              <w:pStyle w:val="TableParagraph"/>
              <w:spacing w:before="7"/>
              <w:ind w:left="111"/>
              <w:rPr>
                <w:sz w:val="24"/>
              </w:rPr>
            </w:pPr>
            <w:r>
              <w:rPr>
                <w:spacing w:val="-10"/>
                <w:sz w:val="24"/>
              </w:rPr>
              <w:t>5</w:t>
            </w:r>
          </w:p>
        </w:tc>
        <w:tc>
          <w:tcPr>
            <w:tcW w:w="1606" w:type="dxa"/>
          </w:tcPr>
          <w:p>
            <w:pPr>
              <w:pStyle w:val="TableParagraph"/>
              <w:spacing w:before="7"/>
              <w:ind w:left="363"/>
              <w:rPr>
                <w:sz w:val="24"/>
              </w:rPr>
            </w:pPr>
            <w:r>
              <w:rPr>
                <w:spacing w:val="-2"/>
                <w:sz w:val="24"/>
              </w:rPr>
              <w:t>1.08055556</w:t>
            </w:r>
          </w:p>
        </w:tc>
        <w:tc>
          <w:tcPr>
            <w:tcW w:w="1114" w:type="dxa"/>
          </w:tcPr>
          <w:p>
            <w:pPr>
              <w:pStyle w:val="TableParagraph"/>
              <w:spacing w:before="7"/>
              <w:ind w:left="111"/>
              <w:rPr>
                <w:sz w:val="24"/>
              </w:rPr>
            </w:pPr>
            <w:r>
              <w:rPr>
                <w:spacing w:val="-2"/>
                <w:sz w:val="24"/>
              </w:rPr>
              <w:t>1.532407</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307.037</w:t>
            </w:r>
          </w:p>
        </w:tc>
        <w:tc>
          <w:tcPr>
            <w:tcW w:w="1225" w:type="dxa"/>
          </w:tcPr>
          <w:p>
            <w:pPr>
              <w:pStyle w:val="TableParagraph"/>
              <w:spacing w:before="7"/>
              <w:ind w:left="217"/>
              <w:rPr>
                <w:sz w:val="24"/>
              </w:rPr>
            </w:pPr>
            <w:r>
              <w:rPr>
                <w:spacing w:val="-2"/>
                <w:sz w:val="24"/>
              </w:rPr>
              <w:t>0.307037</w:t>
            </w:r>
          </w:p>
        </w:tc>
        <w:tc>
          <w:tcPr>
            <w:tcW w:w="802" w:type="dxa"/>
          </w:tcPr>
          <w:p>
            <w:pPr>
              <w:pStyle w:val="TableParagraph"/>
              <w:spacing w:before="7"/>
              <w:ind w:left="108"/>
              <w:rPr>
                <w:sz w:val="24"/>
              </w:rPr>
            </w:pPr>
            <w:r>
              <w:rPr>
                <w:spacing w:val="-5"/>
                <w:sz w:val="24"/>
              </w:rPr>
              <w:t>20</w:t>
            </w:r>
          </w:p>
        </w:tc>
        <w:tc>
          <w:tcPr>
            <w:tcW w:w="1274" w:type="dxa"/>
          </w:tcPr>
          <w:p>
            <w:pPr>
              <w:pStyle w:val="TableParagraph"/>
              <w:spacing w:before="7"/>
              <w:ind w:left="266"/>
              <w:rPr>
                <w:sz w:val="24"/>
              </w:rPr>
            </w:pPr>
            <w:r>
              <w:rPr>
                <w:spacing w:val="-2"/>
                <w:sz w:val="24"/>
              </w:rPr>
              <w:t>0.558519</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2.79259259</w:t>
            </w:r>
          </w:p>
        </w:tc>
        <w:tc>
          <w:tcPr>
            <w:tcW w:w="1114" w:type="dxa"/>
          </w:tcPr>
          <w:p>
            <w:pPr>
              <w:pStyle w:val="TableParagraph"/>
              <w:spacing w:before="7"/>
              <w:ind w:left="111"/>
              <w:rPr>
                <w:sz w:val="24"/>
              </w:rPr>
            </w:pPr>
            <w:r>
              <w:rPr>
                <w:spacing w:val="-2"/>
                <w:sz w:val="24"/>
              </w:rPr>
              <w:t>4.325</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307.4074</w:t>
            </w:r>
          </w:p>
        </w:tc>
        <w:tc>
          <w:tcPr>
            <w:tcW w:w="1225" w:type="dxa"/>
          </w:tcPr>
          <w:p>
            <w:pPr>
              <w:pStyle w:val="TableParagraph"/>
              <w:spacing w:before="7"/>
              <w:ind w:left="217"/>
              <w:rPr>
                <w:sz w:val="24"/>
              </w:rPr>
            </w:pPr>
            <w:r>
              <w:rPr>
                <w:spacing w:val="-2"/>
                <w:sz w:val="24"/>
              </w:rPr>
              <w:t>0.307407</w:t>
            </w:r>
          </w:p>
        </w:tc>
        <w:tc>
          <w:tcPr>
            <w:tcW w:w="802" w:type="dxa"/>
          </w:tcPr>
          <w:p>
            <w:pPr>
              <w:pStyle w:val="TableParagraph"/>
              <w:spacing w:before="7"/>
              <w:ind w:left="108"/>
              <w:rPr>
                <w:sz w:val="24"/>
              </w:rPr>
            </w:pPr>
            <w:r>
              <w:rPr>
                <w:spacing w:val="-5"/>
                <w:sz w:val="24"/>
              </w:rPr>
              <w:t>30</w:t>
            </w:r>
          </w:p>
        </w:tc>
        <w:tc>
          <w:tcPr>
            <w:tcW w:w="1274" w:type="dxa"/>
          </w:tcPr>
          <w:p>
            <w:pPr>
              <w:pStyle w:val="TableParagraph"/>
              <w:spacing w:before="7"/>
              <w:ind w:left="266"/>
              <w:rPr>
                <w:sz w:val="24"/>
              </w:rPr>
            </w:pPr>
            <w:r>
              <w:rPr>
                <w:spacing w:val="-2"/>
                <w:sz w:val="24"/>
              </w:rPr>
              <w:t>0.614444</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3.07222222</w:t>
            </w:r>
          </w:p>
        </w:tc>
        <w:tc>
          <w:tcPr>
            <w:tcW w:w="1114" w:type="dxa"/>
          </w:tcPr>
          <w:p>
            <w:pPr>
              <w:pStyle w:val="TableParagraph"/>
              <w:spacing w:before="7"/>
              <w:ind w:left="111"/>
              <w:rPr>
                <w:sz w:val="24"/>
              </w:rPr>
            </w:pPr>
            <w:r>
              <w:rPr>
                <w:spacing w:val="-2"/>
                <w:sz w:val="24"/>
              </w:rPr>
              <w:t>7.397222</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316.6667</w:t>
            </w:r>
          </w:p>
        </w:tc>
        <w:tc>
          <w:tcPr>
            <w:tcW w:w="1225" w:type="dxa"/>
          </w:tcPr>
          <w:p>
            <w:pPr>
              <w:pStyle w:val="TableParagraph"/>
              <w:spacing w:before="7"/>
              <w:ind w:left="217"/>
              <w:rPr>
                <w:sz w:val="24"/>
              </w:rPr>
            </w:pPr>
            <w:r>
              <w:rPr>
                <w:spacing w:val="-2"/>
                <w:sz w:val="24"/>
              </w:rPr>
              <w:t>0.316667</w:t>
            </w:r>
          </w:p>
        </w:tc>
        <w:tc>
          <w:tcPr>
            <w:tcW w:w="802" w:type="dxa"/>
          </w:tcPr>
          <w:p>
            <w:pPr>
              <w:pStyle w:val="TableParagraph"/>
              <w:spacing w:before="7"/>
              <w:ind w:left="108"/>
              <w:rPr>
                <w:sz w:val="24"/>
              </w:rPr>
            </w:pPr>
            <w:r>
              <w:rPr>
                <w:spacing w:val="-5"/>
                <w:sz w:val="24"/>
              </w:rPr>
              <w:t>40</w:t>
            </w:r>
          </w:p>
        </w:tc>
        <w:tc>
          <w:tcPr>
            <w:tcW w:w="1274" w:type="dxa"/>
          </w:tcPr>
          <w:p>
            <w:pPr>
              <w:pStyle w:val="TableParagraph"/>
              <w:spacing w:before="7"/>
              <w:ind w:left="266"/>
              <w:rPr>
                <w:sz w:val="24"/>
              </w:rPr>
            </w:pPr>
            <w:r>
              <w:rPr>
                <w:spacing w:val="-2"/>
                <w:sz w:val="24"/>
              </w:rPr>
              <w:t>0.624074</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3.12037037</w:t>
            </w:r>
          </w:p>
        </w:tc>
        <w:tc>
          <w:tcPr>
            <w:tcW w:w="1114" w:type="dxa"/>
          </w:tcPr>
          <w:p>
            <w:pPr>
              <w:pStyle w:val="TableParagraph"/>
              <w:spacing w:before="7"/>
              <w:ind w:left="111"/>
              <w:rPr>
                <w:sz w:val="24"/>
              </w:rPr>
            </w:pPr>
            <w:r>
              <w:rPr>
                <w:spacing w:val="-2"/>
                <w:sz w:val="24"/>
              </w:rPr>
              <w:t>10.51759</w:t>
            </w:r>
          </w:p>
        </w:tc>
        <w:tc>
          <w:tcPr>
            <w:tcW w:w="849" w:type="dxa"/>
          </w:tcPr>
          <w:p>
            <w:pPr>
              <w:pStyle w:val="TableParagraph"/>
              <w:spacing w:before="7"/>
              <w:ind w:left="113"/>
              <w:rPr>
                <w:sz w:val="24"/>
              </w:rPr>
            </w:pPr>
            <w:r>
              <w:rPr>
                <w:spacing w:val="-10"/>
                <w:sz w:val="24"/>
              </w:rPr>
              <w:t>F</w:t>
            </w:r>
          </w:p>
        </w:tc>
        <w:tc>
          <w:tcPr>
            <w:tcW w:w="1059" w:type="dxa"/>
          </w:tcPr>
          <w:p>
            <w:pPr>
              <w:pStyle w:val="TableParagraph"/>
              <w:spacing w:before="7"/>
              <w:ind w:left="8" w:right="-130"/>
              <w:rPr>
                <w:sz w:val="24"/>
              </w:rPr>
            </w:pPr>
            <w:r>
              <w:rPr>
                <w:color w:val="000000"/>
                <w:spacing w:val="48"/>
                <w:sz w:val="24"/>
                <w:highlight w:val="red"/>
              </w:rPr>
              <w:t> </w:t>
            </w:r>
            <w:r>
              <w:rPr>
                <w:color w:val="000000"/>
                <w:spacing w:val="-2"/>
                <w:sz w:val="24"/>
                <w:highlight w:val="red"/>
              </w:rPr>
              <w:t>90.56718</w:t>
            </w:r>
            <w:r>
              <w:rPr>
                <w:color w:val="000000"/>
                <w:spacing w:val="40"/>
                <w:sz w:val="24"/>
                <w:highlight w:val="red"/>
              </w:rPr>
              <w:t> </w:t>
            </w:r>
          </w:p>
        </w:tc>
      </w:tr>
      <w:tr>
        <w:trPr>
          <w:trHeight w:val="299" w:hRule="atLeast"/>
        </w:trPr>
        <w:tc>
          <w:tcPr>
            <w:tcW w:w="1167" w:type="dxa"/>
          </w:tcPr>
          <w:p>
            <w:pPr>
              <w:pStyle w:val="TableParagraph"/>
              <w:spacing w:before="7"/>
              <w:ind w:left="50"/>
              <w:rPr>
                <w:sz w:val="24"/>
              </w:rPr>
            </w:pPr>
            <w:r>
              <w:rPr>
                <w:spacing w:val="-2"/>
                <w:sz w:val="24"/>
              </w:rPr>
              <w:t>312.5926</w:t>
            </w:r>
          </w:p>
        </w:tc>
        <w:tc>
          <w:tcPr>
            <w:tcW w:w="1225" w:type="dxa"/>
          </w:tcPr>
          <w:p>
            <w:pPr>
              <w:pStyle w:val="TableParagraph"/>
              <w:spacing w:before="7"/>
              <w:ind w:left="217"/>
              <w:rPr>
                <w:sz w:val="24"/>
              </w:rPr>
            </w:pPr>
            <w:r>
              <w:rPr>
                <w:spacing w:val="-2"/>
                <w:sz w:val="24"/>
              </w:rPr>
              <w:t>0.312593</w:t>
            </w:r>
          </w:p>
        </w:tc>
        <w:tc>
          <w:tcPr>
            <w:tcW w:w="802" w:type="dxa"/>
          </w:tcPr>
          <w:p>
            <w:pPr>
              <w:pStyle w:val="TableParagraph"/>
              <w:spacing w:before="7"/>
              <w:ind w:left="108"/>
              <w:rPr>
                <w:sz w:val="24"/>
              </w:rPr>
            </w:pPr>
            <w:r>
              <w:rPr>
                <w:spacing w:val="-5"/>
                <w:sz w:val="24"/>
              </w:rPr>
              <w:t>50</w:t>
            </w:r>
          </w:p>
        </w:tc>
        <w:tc>
          <w:tcPr>
            <w:tcW w:w="1274" w:type="dxa"/>
          </w:tcPr>
          <w:p>
            <w:pPr>
              <w:pStyle w:val="TableParagraph"/>
              <w:spacing w:before="7"/>
              <w:ind w:left="266"/>
              <w:rPr>
                <w:sz w:val="24"/>
              </w:rPr>
            </w:pPr>
            <w:r>
              <w:rPr>
                <w:spacing w:val="-2"/>
                <w:sz w:val="24"/>
              </w:rPr>
              <w:t>0.629259</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3.1462963</w:t>
            </w:r>
          </w:p>
        </w:tc>
        <w:tc>
          <w:tcPr>
            <w:tcW w:w="1114" w:type="dxa"/>
          </w:tcPr>
          <w:p>
            <w:pPr>
              <w:pStyle w:val="TableParagraph"/>
              <w:spacing w:before="7"/>
              <w:ind w:left="111"/>
              <w:rPr>
                <w:sz w:val="24"/>
              </w:rPr>
            </w:pPr>
            <w:r>
              <w:rPr>
                <w:spacing w:val="-2"/>
                <w:sz w:val="24"/>
              </w:rPr>
              <w:t>13.66389</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340.3704</w:t>
            </w:r>
          </w:p>
        </w:tc>
        <w:tc>
          <w:tcPr>
            <w:tcW w:w="1225" w:type="dxa"/>
          </w:tcPr>
          <w:p>
            <w:pPr>
              <w:pStyle w:val="TableParagraph"/>
              <w:spacing w:before="7"/>
              <w:ind w:left="217"/>
              <w:rPr>
                <w:sz w:val="24"/>
              </w:rPr>
            </w:pPr>
            <w:r>
              <w:rPr>
                <w:spacing w:val="-2"/>
                <w:sz w:val="24"/>
              </w:rPr>
              <w:t>0.34037</w:t>
            </w:r>
          </w:p>
        </w:tc>
        <w:tc>
          <w:tcPr>
            <w:tcW w:w="802" w:type="dxa"/>
          </w:tcPr>
          <w:p>
            <w:pPr>
              <w:pStyle w:val="TableParagraph"/>
              <w:spacing w:before="7"/>
              <w:ind w:left="108"/>
              <w:rPr>
                <w:sz w:val="24"/>
              </w:rPr>
            </w:pPr>
            <w:r>
              <w:rPr>
                <w:spacing w:val="-5"/>
                <w:sz w:val="24"/>
              </w:rPr>
              <w:t>60</w:t>
            </w:r>
          </w:p>
        </w:tc>
        <w:tc>
          <w:tcPr>
            <w:tcW w:w="1274" w:type="dxa"/>
          </w:tcPr>
          <w:p>
            <w:pPr>
              <w:pStyle w:val="TableParagraph"/>
              <w:spacing w:before="7"/>
              <w:ind w:left="266"/>
              <w:rPr>
                <w:sz w:val="24"/>
              </w:rPr>
            </w:pPr>
            <w:r>
              <w:rPr>
                <w:spacing w:val="-2"/>
                <w:sz w:val="24"/>
              </w:rPr>
              <w:t>0.652963</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3.26481481</w:t>
            </w:r>
          </w:p>
        </w:tc>
        <w:tc>
          <w:tcPr>
            <w:tcW w:w="1114" w:type="dxa"/>
          </w:tcPr>
          <w:p>
            <w:pPr>
              <w:pStyle w:val="TableParagraph"/>
              <w:spacing w:before="7"/>
              <w:ind w:left="111"/>
              <w:rPr>
                <w:sz w:val="24"/>
              </w:rPr>
            </w:pPr>
            <w:r>
              <w:rPr>
                <w:spacing w:val="-2"/>
                <w:sz w:val="24"/>
              </w:rPr>
              <w:t>16.9287</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344.4444</w:t>
            </w:r>
          </w:p>
        </w:tc>
        <w:tc>
          <w:tcPr>
            <w:tcW w:w="1225" w:type="dxa"/>
          </w:tcPr>
          <w:p>
            <w:pPr>
              <w:pStyle w:val="TableParagraph"/>
              <w:spacing w:before="7"/>
              <w:ind w:left="217"/>
              <w:rPr>
                <w:sz w:val="24"/>
              </w:rPr>
            </w:pPr>
            <w:r>
              <w:rPr>
                <w:spacing w:val="-2"/>
                <w:sz w:val="24"/>
              </w:rPr>
              <w:t>0.344444</w:t>
            </w:r>
          </w:p>
        </w:tc>
        <w:tc>
          <w:tcPr>
            <w:tcW w:w="802" w:type="dxa"/>
          </w:tcPr>
          <w:p>
            <w:pPr>
              <w:pStyle w:val="TableParagraph"/>
              <w:spacing w:before="7"/>
              <w:ind w:left="108"/>
              <w:rPr>
                <w:sz w:val="24"/>
              </w:rPr>
            </w:pPr>
            <w:r>
              <w:rPr>
                <w:spacing w:val="-5"/>
                <w:sz w:val="24"/>
              </w:rPr>
              <w:t>70</w:t>
            </w:r>
          </w:p>
        </w:tc>
        <w:tc>
          <w:tcPr>
            <w:tcW w:w="1274" w:type="dxa"/>
          </w:tcPr>
          <w:p>
            <w:pPr>
              <w:pStyle w:val="TableParagraph"/>
              <w:spacing w:before="7"/>
              <w:ind w:left="266"/>
              <w:rPr>
                <w:sz w:val="24"/>
              </w:rPr>
            </w:pPr>
            <w:r>
              <w:rPr>
                <w:spacing w:val="-2"/>
                <w:sz w:val="24"/>
              </w:rPr>
              <w:t>0.684815</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3.42407407</w:t>
            </w:r>
          </w:p>
        </w:tc>
        <w:tc>
          <w:tcPr>
            <w:tcW w:w="1114" w:type="dxa"/>
          </w:tcPr>
          <w:p>
            <w:pPr>
              <w:pStyle w:val="TableParagraph"/>
              <w:spacing w:before="7"/>
              <w:ind w:left="111"/>
              <w:rPr>
                <w:sz w:val="24"/>
              </w:rPr>
            </w:pPr>
            <w:r>
              <w:rPr>
                <w:spacing w:val="-2"/>
                <w:sz w:val="24"/>
              </w:rPr>
              <w:t>20.35278</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367.4074</w:t>
            </w:r>
          </w:p>
        </w:tc>
        <w:tc>
          <w:tcPr>
            <w:tcW w:w="1225" w:type="dxa"/>
          </w:tcPr>
          <w:p>
            <w:pPr>
              <w:pStyle w:val="TableParagraph"/>
              <w:spacing w:before="7"/>
              <w:ind w:left="217"/>
              <w:rPr>
                <w:sz w:val="24"/>
              </w:rPr>
            </w:pPr>
            <w:r>
              <w:rPr>
                <w:spacing w:val="-2"/>
                <w:sz w:val="24"/>
              </w:rPr>
              <w:t>0.367407</w:t>
            </w:r>
          </w:p>
        </w:tc>
        <w:tc>
          <w:tcPr>
            <w:tcW w:w="802" w:type="dxa"/>
          </w:tcPr>
          <w:p>
            <w:pPr>
              <w:pStyle w:val="TableParagraph"/>
              <w:spacing w:before="7"/>
              <w:ind w:left="108"/>
              <w:rPr>
                <w:sz w:val="24"/>
              </w:rPr>
            </w:pPr>
            <w:r>
              <w:rPr>
                <w:spacing w:val="-5"/>
                <w:sz w:val="24"/>
              </w:rPr>
              <w:t>80</w:t>
            </w:r>
          </w:p>
        </w:tc>
        <w:tc>
          <w:tcPr>
            <w:tcW w:w="1274" w:type="dxa"/>
          </w:tcPr>
          <w:p>
            <w:pPr>
              <w:pStyle w:val="TableParagraph"/>
              <w:spacing w:before="7"/>
              <w:ind w:left="266"/>
              <w:rPr>
                <w:sz w:val="24"/>
              </w:rPr>
            </w:pPr>
            <w:r>
              <w:rPr>
                <w:spacing w:val="-2"/>
                <w:sz w:val="24"/>
              </w:rPr>
              <w:t>0.711852</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3.55925926</w:t>
            </w:r>
          </w:p>
        </w:tc>
        <w:tc>
          <w:tcPr>
            <w:tcW w:w="1114" w:type="dxa"/>
          </w:tcPr>
          <w:p>
            <w:pPr>
              <w:pStyle w:val="TableParagraph"/>
              <w:spacing w:before="7"/>
              <w:ind w:left="111"/>
              <w:rPr>
                <w:sz w:val="24"/>
              </w:rPr>
            </w:pPr>
            <w:r>
              <w:rPr>
                <w:spacing w:val="-2"/>
                <w:sz w:val="24"/>
              </w:rPr>
              <w:t>23.91204</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409.6296</w:t>
            </w:r>
          </w:p>
        </w:tc>
        <w:tc>
          <w:tcPr>
            <w:tcW w:w="1225" w:type="dxa"/>
          </w:tcPr>
          <w:p>
            <w:pPr>
              <w:pStyle w:val="TableParagraph"/>
              <w:spacing w:before="7"/>
              <w:ind w:left="217"/>
              <w:rPr>
                <w:sz w:val="24"/>
              </w:rPr>
            </w:pPr>
            <w:r>
              <w:rPr>
                <w:spacing w:val="-2"/>
                <w:sz w:val="24"/>
              </w:rPr>
              <w:t>0.40963</w:t>
            </w:r>
          </w:p>
        </w:tc>
        <w:tc>
          <w:tcPr>
            <w:tcW w:w="802" w:type="dxa"/>
          </w:tcPr>
          <w:p>
            <w:pPr>
              <w:pStyle w:val="TableParagraph"/>
              <w:spacing w:before="7"/>
              <w:ind w:left="108"/>
              <w:rPr>
                <w:sz w:val="24"/>
              </w:rPr>
            </w:pPr>
            <w:r>
              <w:rPr>
                <w:spacing w:val="-5"/>
                <w:sz w:val="24"/>
              </w:rPr>
              <w:t>90</w:t>
            </w:r>
          </w:p>
        </w:tc>
        <w:tc>
          <w:tcPr>
            <w:tcW w:w="1274" w:type="dxa"/>
          </w:tcPr>
          <w:p>
            <w:pPr>
              <w:pStyle w:val="TableParagraph"/>
              <w:spacing w:before="7"/>
              <w:ind w:left="266"/>
              <w:rPr>
                <w:sz w:val="24"/>
              </w:rPr>
            </w:pPr>
            <w:r>
              <w:rPr>
                <w:spacing w:val="-2"/>
                <w:sz w:val="24"/>
              </w:rPr>
              <w:t>0.777037</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3.88518519</w:t>
            </w:r>
          </w:p>
        </w:tc>
        <w:tc>
          <w:tcPr>
            <w:tcW w:w="1114" w:type="dxa"/>
          </w:tcPr>
          <w:p>
            <w:pPr>
              <w:pStyle w:val="TableParagraph"/>
              <w:spacing w:before="7"/>
              <w:ind w:left="111"/>
              <w:rPr>
                <w:sz w:val="24"/>
              </w:rPr>
            </w:pPr>
            <w:r>
              <w:rPr>
                <w:spacing w:val="-2"/>
                <w:sz w:val="24"/>
              </w:rPr>
              <w:t>27.79722</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412.2222</w:t>
            </w:r>
          </w:p>
        </w:tc>
        <w:tc>
          <w:tcPr>
            <w:tcW w:w="1225" w:type="dxa"/>
          </w:tcPr>
          <w:p>
            <w:pPr>
              <w:pStyle w:val="TableParagraph"/>
              <w:spacing w:before="7"/>
              <w:ind w:left="217"/>
              <w:rPr>
                <w:sz w:val="24"/>
              </w:rPr>
            </w:pPr>
            <w:r>
              <w:rPr>
                <w:spacing w:val="-2"/>
                <w:sz w:val="24"/>
              </w:rPr>
              <w:t>0.412222</w:t>
            </w:r>
          </w:p>
        </w:tc>
        <w:tc>
          <w:tcPr>
            <w:tcW w:w="802" w:type="dxa"/>
          </w:tcPr>
          <w:p>
            <w:pPr>
              <w:pStyle w:val="TableParagraph"/>
              <w:spacing w:before="7"/>
              <w:ind w:left="108"/>
              <w:rPr>
                <w:sz w:val="24"/>
              </w:rPr>
            </w:pPr>
            <w:r>
              <w:rPr>
                <w:spacing w:val="-5"/>
                <w:sz w:val="24"/>
              </w:rPr>
              <w:t>100</w:t>
            </w:r>
          </w:p>
        </w:tc>
        <w:tc>
          <w:tcPr>
            <w:tcW w:w="1274" w:type="dxa"/>
          </w:tcPr>
          <w:p>
            <w:pPr>
              <w:pStyle w:val="TableParagraph"/>
              <w:spacing w:before="7"/>
              <w:ind w:left="266"/>
              <w:rPr>
                <w:sz w:val="24"/>
              </w:rPr>
            </w:pPr>
            <w:r>
              <w:rPr>
                <w:spacing w:val="-2"/>
                <w:sz w:val="24"/>
              </w:rPr>
              <w:t>0.821852</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4.10925926</w:t>
            </w:r>
          </w:p>
        </w:tc>
        <w:tc>
          <w:tcPr>
            <w:tcW w:w="1114" w:type="dxa"/>
          </w:tcPr>
          <w:p>
            <w:pPr>
              <w:pStyle w:val="TableParagraph"/>
              <w:spacing w:before="7"/>
              <w:ind w:left="111"/>
              <w:rPr>
                <w:sz w:val="24"/>
              </w:rPr>
            </w:pPr>
            <w:r>
              <w:rPr>
                <w:spacing w:val="-2"/>
                <w:sz w:val="24"/>
              </w:rPr>
              <w:t>31.90648</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462.2222</w:t>
            </w:r>
          </w:p>
        </w:tc>
        <w:tc>
          <w:tcPr>
            <w:tcW w:w="1225" w:type="dxa"/>
          </w:tcPr>
          <w:p>
            <w:pPr>
              <w:pStyle w:val="TableParagraph"/>
              <w:spacing w:before="7"/>
              <w:ind w:left="217"/>
              <w:rPr>
                <w:sz w:val="24"/>
              </w:rPr>
            </w:pPr>
            <w:r>
              <w:rPr>
                <w:spacing w:val="-2"/>
                <w:sz w:val="24"/>
              </w:rPr>
              <w:t>0.462222</w:t>
            </w:r>
          </w:p>
        </w:tc>
        <w:tc>
          <w:tcPr>
            <w:tcW w:w="802" w:type="dxa"/>
          </w:tcPr>
          <w:p>
            <w:pPr>
              <w:pStyle w:val="TableParagraph"/>
              <w:spacing w:before="7"/>
              <w:ind w:left="108"/>
              <w:rPr>
                <w:sz w:val="24"/>
              </w:rPr>
            </w:pPr>
            <w:r>
              <w:rPr>
                <w:spacing w:val="-5"/>
                <w:sz w:val="24"/>
              </w:rPr>
              <w:t>110</w:t>
            </w:r>
          </w:p>
        </w:tc>
        <w:tc>
          <w:tcPr>
            <w:tcW w:w="1274" w:type="dxa"/>
          </w:tcPr>
          <w:p>
            <w:pPr>
              <w:pStyle w:val="TableParagraph"/>
              <w:spacing w:before="7"/>
              <w:ind w:left="266"/>
              <w:rPr>
                <w:sz w:val="24"/>
              </w:rPr>
            </w:pPr>
            <w:r>
              <w:rPr>
                <w:spacing w:val="-2"/>
                <w:sz w:val="24"/>
              </w:rPr>
              <w:t>0.874444</w:t>
            </w:r>
          </w:p>
        </w:tc>
        <w:tc>
          <w:tcPr>
            <w:tcW w:w="708" w:type="dxa"/>
          </w:tcPr>
          <w:p>
            <w:pPr>
              <w:pStyle w:val="TableParagraph"/>
              <w:spacing w:before="7"/>
              <w:ind w:left="111"/>
              <w:rPr>
                <w:sz w:val="24"/>
              </w:rPr>
            </w:pPr>
            <w:r>
              <w:rPr>
                <w:spacing w:val="-5"/>
                <w:sz w:val="24"/>
              </w:rPr>
              <w:t>10</w:t>
            </w:r>
          </w:p>
        </w:tc>
        <w:tc>
          <w:tcPr>
            <w:tcW w:w="1606" w:type="dxa"/>
          </w:tcPr>
          <w:p>
            <w:pPr>
              <w:pStyle w:val="TableParagraph"/>
              <w:spacing w:before="7"/>
              <w:ind w:left="363"/>
              <w:rPr>
                <w:sz w:val="24"/>
              </w:rPr>
            </w:pPr>
            <w:r>
              <w:rPr>
                <w:spacing w:val="-2"/>
                <w:sz w:val="24"/>
              </w:rPr>
              <w:t>4.37222222</w:t>
            </w:r>
          </w:p>
        </w:tc>
        <w:tc>
          <w:tcPr>
            <w:tcW w:w="1114" w:type="dxa"/>
          </w:tcPr>
          <w:p>
            <w:pPr>
              <w:pStyle w:val="TableParagraph"/>
              <w:spacing w:before="7"/>
              <w:ind w:left="111"/>
              <w:rPr>
                <w:sz w:val="24"/>
              </w:rPr>
            </w:pPr>
            <w:r>
              <w:rPr>
                <w:spacing w:val="-2"/>
                <w:sz w:val="24"/>
              </w:rPr>
              <w:t>36.2787</w:t>
            </w:r>
          </w:p>
        </w:tc>
        <w:tc>
          <w:tcPr>
            <w:tcW w:w="849" w:type="dxa"/>
          </w:tcPr>
          <w:p>
            <w:pPr>
              <w:pStyle w:val="TableParagraph"/>
              <w:spacing w:line="240" w:lineRule="auto"/>
              <w:rPr>
                <w:sz w:val="22"/>
              </w:rPr>
            </w:pPr>
          </w:p>
        </w:tc>
        <w:tc>
          <w:tcPr>
            <w:tcW w:w="1059" w:type="dxa"/>
          </w:tcPr>
          <w:p>
            <w:pPr>
              <w:pStyle w:val="TableParagraph"/>
              <w:spacing w:line="240" w:lineRule="auto"/>
              <w:rPr>
                <w:sz w:val="22"/>
              </w:rPr>
            </w:pPr>
          </w:p>
        </w:tc>
      </w:tr>
      <w:tr>
        <w:trPr>
          <w:trHeight w:val="282" w:hRule="atLeast"/>
        </w:trPr>
        <w:tc>
          <w:tcPr>
            <w:tcW w:w="1167" w:type="dxa"/>
          </w:tcPr>
          <w:p>
            <w:pPr>
              <w:pStyle w:val="TableParagraph"/>
              <w:spacing w:line="256" w:lineRule="exact" w:before="7"/>
              <w:ind w:left="50"/>
              <w:rPr>
                <w:sz w:val="24"/>
              </w:rPr>
            </w:pPr>
            <w:r>
              <w:rPr>
                <w:spacing w:val="-2"/>
                <w:sz w:val="24"/>
              </w:rPr>
              <w:t>475.5556</w:t>
            </w:r>
          </w:p>
        </w:tc>
        <w:tc>
          <w:tcPr>
            <w:tcW w:w="1225" w:type="dxa"/>
          </w:tcPr>
          <w:p>
            <w:pPr>
              <w:pStyle w:val="TableParagraph"/>
              <w:spacing w:line="256" w:lineRule="exact" w:before="7"/>
              <w:ind w:left="217"/>
              <w:rPr>
                <w:sz w:val="24"/>
              </w:rPr>
            </w:pPr>
            <w:r>
              <w:rPr>
                <w:spacing w:val="-2"/>
                <w:sz w:val="24"/>
              </w:rPr>
              <w:t>0.475556</w:t>
            </w:r>
          </w:p>
        </w:tc>
        <w:tc>
          <w:tcPr>
            <w:tcW w:w="802" w:type="dxa"/>
          </w:tcPr>
          <w:p>
            <w:pPr>
              <w:pStyle w:val="TableParagraph"/>
              <w:spacing w:line="256" w:lineRule="exact" w:before="7"/>
              <w:ind w:left="108"/>
              <w:rPr>
                <w:sz w:val="24"/>
              </w:rPr>
            </w:pPr>
            <w:r>
              <w:rPr>
                <w:spacing w:val="-5"/>
                <w:sz w:val="24"/>
              </w:rPr>
              <w:t>120</w:t>
            </w:r>
          </w:p>
        </w:tc>
        <w:tc>
          <w:tcPr>
            <w:tcW w:w="1274" w:type="dxa"/>
          </w:tcPr>
          <w:p>
            <w:pPr>
              <w:pStyle w:val="TableParagraph"/>
              <w:spacing w:line="256" w:lineRule="exact" w:before="7"/>
              <w:ind w:left="266"/>
              <w:rPr>
                <w:sz w:val="24"/>
              </w:rPr>
            </w:pPr>
            <w:r>
              <w:rPr>
                <w:spacing w:val="-2"/>
                <w:sz w:val="24"/>
              </w:rPr>
              <w:t>0.937778</w:t>
            </w:r>
          </w:p>
        </w:tc>
        <w:tc>
          <w:tcPr>
            <w:tcW w:w="708" w:type="dxa"/>
          </w:tcPr>
          <w:p>
            <w:pPr>
              <w:pStyle w:val="TableParagraph"/>
              <w:spacing w:line="256" w:lineRule="exact" w:before="7"/>
              <w:ind w:left="111"/>
              <w:rPr>
                <w:sz w:val="24"/>
              </w:rPr>
            </w:pPr>
            <w:r>
              <w:rPr>
                <w:spacing w:val="-5"/>
                <w:sz w:val="24"/>
              </w:rPr>
              <w:t>10</w:t>
            </w:r>
          </w:p>
        </w:tc>
        <w:tc>
          <w:tcPr>
            <w:tcW w:w="1606" w:type="dxa"/>
          </w:tcPr>
          <w:p>
            <w:pPr>
              <w:pStyle w:val="TableParagraph"/>
              <w:spacing w:line="256" w:lineRule="exact" w:before="7"/>
              <w:ind w:left="363"/>
              <w:rPr>
                <w:sz w:val="24"/>
              </w:rPr>
            </w:pPr>
            <w:r>
              <w:rPr>
                <w:spacing w:val="-2"/>
                <w:sz w:val="24"/>
              </w:rPr>
              <w:t>4.68888889</w:t>
            </w:r>
          </w:p>
        </w:tc>
        <w:tc>
          <w:tcPr>
            <w:tcW w:w="1114" w:type="dxa"/>
          </w:tcPr>
          <w:p>
            <w:pPr>
              <w:pStyle w:val="TableParagraph"/>
              <w:spacing w:line="256" w:lineRule="exact" w:before="7"/>
              <w:ind w:left="3" w:right="-15"/>
              <w:rPr>
                <w:sz w:val="24"/>
              </w:rPr>
            </w:pPr>
            <w:r>
              <w:rPr>
                <w:color w:val="000000"/>
                <w:spacing w:val="48"/>
                <w:sz w:val="24"/>
                <w:highlight w:val="yellow"/>
              </w:rPr>
              <w:t> </w:t>
            </w:r>
            <w:r>
              <w:rPr>
                <w:color w:val="000000"/>
                <w:spacing w:val="-2"/>
                <w:sz w:val="24"/>
                <w:highlight w:val="yellow"/>
              </w:rPr>
              <w:t>40.96759</w:t>
            </w:r>
            <w:r>
              <w:rPr>
                <w:color w:val="000000"/>
                <w:spacing w:val="80"/>
                <w:sz w:val="24"/>
                <w:highlight w:val="yellow"/>
              </w:rPr>
              <w:t> </w:t>
            </w:r>
          </w:p>
        </w:tc>
        <w:tc>
          <w:tcPr>
            <w:tcW w:w="849" w:type="dxa"/>
          </w:tcPr>
          <w:p>
            <w:pPr>
              <w:pStyle w:val="TableParagraph"/>
              <w:spacing w:line="240" w:lineRule="auto"/>
              <w:rPr>
                <w:sz w:val="20"/>
              </w:rPr>
            </w:pPr>
          </w:p>
        </w:tc>
        <w:tc>
          <w:tcPr>
            <w:tcW w:w="1059" w:type="dxa"/>
          </w:tcPr>
          <w:p>
            <w:pPr>
              <w:pStyle w:val="TableParagraph"/>
              <w:spacing w:line="240" w:lineRule="auto"/>
              <w:rPr>
                <w:sz w:val="20"/>
              </w:rPr>
            </w:pPr>
          </w:p>
        </w:tc>
      </w:tr>
    </w:tbl>
    <w:p>
      <w:pPr>
        <w:spacing w:after="0" w:line="240" w:lineRule="auto"/>
        <w:rPr>
          <w:sz w:val="20"/>
        </w:rPr>
        <w:sectPr>
          <w:pgSz w:w="12240" w:h="15840"/>
          <w:pgMar w:header="0" w:footer="1068" w:top="1820" w:bottom="1260" w:left="1420" w:right="440"/>
        </w:sectPr>
      </w:pPr>
    </w:p>
    <w:p>
      <w:pPr>
        <w:pStyle w:val="BodyText"/>
        <w:rPr>
          <w:b/>
          <w:sz w:val="11"/>
        </w:rPr>
      </w:pPr>
    </w:p>
    <w:tbl>
      <w:tblPr>
        <w:tblW w:w="0" w:type="auto"/>
        <w:jc w:val="left"/>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1225"/>
        <w:gridCol w:w="768"/>
        <w:gridCol w:w="1309"/>
        <w:gridCol w:w="709"/>
        <w:gridCol w:w="1553"/>
        <w:gridCol w:w="1223"/>
        <w:gridCol w:w="546"/>
        <w:gridCol w:w="1309"/>
      </w:tblGrid>
      <w:tr>
        <w:trPr>
          <w:trHeight w:val="282" w:hRule="atLeast"/>
        </w:trPr>
        <w:tc>
          <w:tcPr>
            <w:tcW w:w="1167" w:type="dxa"/>
          </w:tcPr>
          <w:p>
            <w:pPr>
              <w:pStyle w:val="TableParagraph"/>
              <w:spacing w:line="263" w:lineRule="exact"/>
              <w:ind w:left="50"/>
              <w:rPr>
                <w:sz w:val="24"/>
              </w:rPr>
            </w:pPr>
            <w:r>
              <w:rPr>
                <w:spacing w:val="-10"/>
                <w:sz w:val="24"/>
              </w:rPr>
              <w:t>A</w:t>
            </w:r>
          </w:p>
        </w:tc>
        <w:tc>
          <w:tcPr>
            <w:tcW w:w="1225" w:type="dxa"/>
          </w:tcPr>
          <w:p>
            <w:pPr>
              <w:pStyle w:val="TableParagraph"/>
              <w:spacing w:line="240" w:lineRule="auto"/>
              <w:rPr>
                <w:sz w:val="20"/>
              </w:rPr>
            </w:pPr>
          </w:p>
        </w:tc>
        <w:tc>
          <w:tcPr>
            <w:tcW w:w="768" w:type="dxa"/>
          </w:tcPr>
          <w:p>
            <w:pPr>
              <w:pStyle w:val="TableParagraph"/>
              <w:spacing w:line="240" w:lineRule="auto"/>
              <w:rPr>
                <w:sz w:val="20"/>
              </w:rPr>
            </w:pPr>
          </w:p>
        </w:tc>
        <w:tc>
          <w:tcPr>
            <w:tcW w:w="1309" w:type="dxa"/>
          </w:tcPr>
          <w:p>
            <w:pPr>
              <w:pStyle w:val="TableParagraph"/>
              <w:spacing w:line="240" w:lineRule="auto"/>
              <w:rPr>
                <w:sz w:val="20"/>
              </w:rPr>
            </w:pPr>
          </w:p>
        </w:tc>
        <w:tc>
          <w:tcPr>
            <w:tcW w:w="709" w:type="dxa"/>
          </w:tcPr>
          <w:p>
            <w:pPr>
              <w:pStyle w:val="TableParagraph"/>
              <w:spacing w:line="240" w:lineRule="auto"/>
              <w:rPr>
                <w:sz w:val="20"/>
              </w:rPr>
            </w:pPr>
          </w:p>
        </w:tc>
        <w:tc>
          <w:tcPr>
            <w:tcW w:w="1553" w:type="dxa"/>
          </w:tcPr>
          <w:p>
            <w:pPr>
              <w:pStyle w:val="TableParagraph"/>
              <w:spacing w:line="240" w:lineRule="auto"/>
              <w:rPr>
                <w:sz w:val="20"/>
              </w:rPr>
            </w:pPr>
          </w:p>
        </w:tc>
        <w:tc>
          <w:tcPr>
            <w:tcW w:w="1223" w:type="dxa"/>
          </w:tcPr>
          <w:p>
            <w:pPr>
              <w:pStyle w:val="TableParagraph"/>
              <w:spacing w:line="240" w:lineRule="auto"/>
              <w:rPr>
                <w:sz w:val="20"/>
              </w:rPr>
            </w:pPr>
          </w:p>
        </w:tc>
        <w:tc>
          <w:tcPr>
            <w:tcW w:w="546" w:type="dxa"/>
          </w:tcPr>
          <w:p>
            <w:pPr>
              <w:pStyle w:val="TableParagraph"/>
              <w:spacing w:line="240" w:lineRule="auto"/>
              <w:rPr>
                <w:sz w:val="20"/>
              </w:rPr>
            </w:pPr>
          </w:p>
        </w:tc>
        <w:tc>
          <w:tcPr>
            <w:tcW w:w="1309" w:type="dxa"/>
          </w:tcPr>
          <w:p>
            <w:pPr>
              <w:pStyle w:val="TableParagraph"/>
              <w:spacing w:line="240" w:lineRule="auto"/>
              <w:rPr>
                <w:sz w:val="20"/>
              </w:rPr>
            </w:pPr>
          </w:p>
        </w:tc>
      </w:tr>
      <w:tr>
        <w:trPr>
          <w:trHeight w:val="300" w:hRule="atLeast"/>
        </w:trPr>
        <w:tc>
          <w:tcPr>
            <w:tcW w:w="1167" w:type="dxa"/>
          </w:tcPr>
          <w:p>
            <w:pPr>
              <w:pStyle w:val="TableParagraph"/>
              <w:spacing w:before="7"/>
              <w:ind w:left="50"/>
              <w:rPr>
                <w:sz w:val="24"/>
              </w:rPr>
            </w:pPr>
            <w:r>
              <w:rPr>
                <w:spacing w:val="-10"/>
                <w:sz w:val="24"/>
              </w:rPr>
              <w:t>0</w:t>
            </w:r>
          </w:p>
        </w:tc>
        <w:tc>
          <w:tcPr>
            <w:tcW w:w="1225" w:type="dxa"/>
          </w:tcPr>
          <w:p>
            <w:pPr>
              <w:pStyle w:val="TableParagraph"/>
              <w:spacing w:before="7"/>
              <w:ind w:left="217"/>
              <w:rPr>
                <w:sz w:val="24"/>
              </w:rPr>
            </w:pPr>
            <w:r>
              <w:rPr>
                <w:spacing w:val="-10"/>
                <w:sz w:val="24"/>
              </w:rPr>
              <w:t>0</w:t>
            </w:r>
          </w:p>
        </w:tc>
        <w:tc>
          <w:tcPr>
            <w:tcW w:w="768" w:type="dxa"/>
          </w:tcPr>
          <w:p>
            <w:pPr>
              <w:pStyle w:val="TableParagraph"/>
              <w:spacing w:before="7"/>
              <w:ind w:left="108"/>
              <w:rPr>
                <w:sz w:val="24"/>
              </w:rPr>
            </w:pPr>
            <w:r>
              <w:rPr>
                <w:spacing w:val="-10"/>
                <w:sz w:val="24"/>
              </w:rPr>
              <w:t>0</w:t>
            </w:r>
          </w:p>
        </w:tc>
        <w:tc>
          <w:tcPr>
            <w:tcW w:w="1309" w:type="dxa"/>
          </w:tcPr>
          <w:p>
            <w:pPr>
              <w:pStyle w:val="TableParagraph"/>
              <w:spacing w:line="240" w:lineRule="auto"/>
              <w:rPr>
                <w:sz w:val="22"/>
              </w:rPr>
            </w:pPr>
          </w:p>
        </w:tc>
        <w:tc>
          <w:tcPr>
            <w:tcW w:w="709" w:type="dxa"/>
          </w:tcPr>
          <w:p>
            <w:pPr>
              <w:pStyle w:val="TableParagraph"/>
              <w:spacing w:line="240" w:lineRule="auto"/>
              <w:rPr>
                <w:sz w:val="22"/>
              </w:rPr>
            </w:pPr>
          </w:p>
        </w:tc>
        <w:tc>
          <w:tcPr>
            <w:tcW w:w="1553" w:type="dxa"/>
          </w:tcPr>
          <w:p>
            <w:pPr>
              <w:pStyle w:val="TableParagraph"/>
              <w:spacing w:before="7"/>
              <w:ind w:left="361"/>
              <w:rPr>
                <w:sz w:val="24"/>
              </w:rPr>
            </w:pPr>
            <w:r>
              <w:rPr>
                <w:spacing w:val="-10"/>
                <w:sz w:val="24"/>
              </w:rPr>
              <w:t>0</w:t>
            </w:r>
          </w:p>
        </w:tc>
        <w:tc>
          <w:tcPr>
            <w:tcW w:w="1223" w:type="dxa"/>
          </w:tcPr>
          <w:p>
            <w:pPr>
              <w:pStyle w:val="TableParagraph"/>
              <w:spacing w:line="240" w:lineRule="auto"/>
              <w:rPr>
                <w:sz w:val="22"/>
              </w:rPr>
            </w:pP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0.740741</w:t>
            </w:r>
          </w:p>
        </w:tc>
        <w:tc>
          <w:tcPr>
            <w:tcW w:w="1225" w:type="dxa"/>
          </w:tcPr>
          <w:p>
            <w:pPr>
              <w:pStyle w:val="TableParagraph"/>
              <w:spacing w:before="7"/>
              <w:ind w:left="217"/>
              <w:rPr>
                <w:sz w:val="24"/>
              </w:rPr>
            </w:pPr>
            <w:r>
              <w:rPr>
                <w:spacing w:val="-2"/>
                <w:sz w:val="24"/>
              </w:rPr>
              <w:t>0.000741</w:t>
            </w:r>
          </w:p>
        </w:tc>
        <w:tc>
          <w:tcPr>
            <w:tcW w:w="768" w:type="dxa"/>
          </w:tcPr>
          <w:p>
            <w:pPr>
              <w:pStyle w:val="TableParagraph"/>
              <w:spacing w:before="7"/>
              <w:ind w:left="108"/>
              <w:rPr>
                <w:sz w:val="24"/>
              </w:rPr>
            </w:pPr>
            <w:r>
              <w:rPr>
                <w:spacing w:val="-10"/>
                <w:sz w:val="24"/>
              </w:rPr>
              <w:t>5</w:t>
            </w:r>
          </w:p>
        </w:tc>
        <w:tc>
          <w:tcPr>
            <w:tcW w:w="1309" w:type="dxa"/>
          </w:tcPr>
          <w:p>
            <w:pPr>
              <w:pStyle w:val="TableParagraph"/>
              <w:spacing w:before="7"/>
              <w:ind w:left="300"/>
              <w:rPr>
                <w:sz w:val="24"/>
              </w:rPr>
            </w:pPr>
            <w:r>
              <w:rPr>
                <w:spacing w:val="-2"/>
                <w:sz w:val="24"/>
              </w:rPr>
              <w:t>0.000741</w:t>
            </w:r>
          </w:p>
        </w:tc>
        <w:tc>
          <w:tcPr>
            <w:tcW w:w="709" w:type="dxa"/>
          </w:tcPr>
          <w:p>
            <w:pPr>
              <w:pStyle w:val="TableParagraph"/>
              <w:spacing w:before="7"/>
              <w:ind w:left="110"/>
              <w:rPr>
                <w:sz w:val="24"/>
              </w:rPr>
            </w:pPr>
            <w:r>
              <w:rPr>
                <w:spacing w:val="-10"/>
                <w:sz w:val="24"/>
              </w:rPr>
              <w:t>5</w:t>
            </w:r>
          </w:p>
        </w:tc>
        <w:tc>
          <w:tcPr>
            <w:tcW w:w="1553" w:type="dxa"/>
          </w:tcPr>
          <w:p>
            <w:pPr>
              <w:pStyle w:val="TableParagraph"/>
              <w:spacing w:before="7"/>
              <w:ind w:left="361"/>
              <w:rPr>
                <w:sz w:val="24"/>
              </w:rPr>
            </w:pPr>
            <w:r>
              <w:rPr>
                <w:spacing w:val="-2"/>
                <w:sz w:val="24"/>
              </w:rPr>
              <w:t>0.00185185</w:t>
            </w:r>
          </w:p>
        </w:tc>
        <w:tc>
          <w:tcPr>
            <w:tcW w:w="1223" w:type="dxa"/>
          </w:tcPr>
          <w:p>
            <w:pPr>
              <w:pStyle w:val="TableParagraph"/>
              <w:spacing w:before="7"/>
              <w:ind w:left="162"/>
              <w:rPr>
                <w:sz w:val="24"/>
              </w:rPr>
            </w:pPr>
            <w:r>
              <w:rPr>
                <w:spacing w:val="-2"/>
                <w:sz w:val="24"/>
              </w:rPr>
              <w:t>0.001852</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3.333333</w:t>
            </w:r>
          </w:p>
        </w:tc>
        <w:tc>
          <w:tcPr>
            <w:tcW w:w="1225" w:type="dxa"/>
          </w:tcPr>
          <w:p>
            <w:pPr>
              <w:pStyle w:val="TableParagraph"/>
              <w:spacing w:before="7"/>
              <w:ind w:left="217"/>
              <w:rPr>
                <w:sz w:val="24"/>
              </w:rPr>
            </w:pPr>
            <w:r>
              <w:rPr>
                <w:spacing w:val="-2"/>
                <w:sz w:val="24"/>
              </w:rPr>
              <w:t>0.003333</w:t>
            </w:r>
          </w:p>
        </w:tc>
        <w:tc>
          <w:tcPr>
            <w:tcW w:w="768" w:type="dxa"/>
          </w:tcPr>
          <w:p>
            <w:pPr>
              <w:pStyle w:val="TableParagraph"/>
              <w:spacing w:before="7"/>
              <w:ind w:left="108"/>
              <w:rPr>
                <w:sz w:val="24"/>
              </w:rPr>
            </w:pPr>
            <w:r>
              <w:rPr>
                <w:spacing w:val="-5"/>
                <w:sz w:val="24"/>
              </w:rPr>
              <w:t>10</w:t>
            </w:r>
          </w:p>
        </w:tc>
        <w:tc>
          <w:tcPr>
            <w:tcW w:w="1309" w:type="dxa"/>
          </w:tcPr>
          <w:p>
            <w:pPr>
              <w:pStyle w:val="TableParagraph"/>
              <w:spacing w:before="7"/>
              <w:ind w:left="300"/>
              <w:rPr>
                <w:sz w:val="24"/>
              </w:rPr>
            </w:pPr>
            <w:r>
              <w:rPr>
                <w:spacing w:val="-2"/>
                <w:sz w:val="24"/>
              </w:rPr>
              <w:t>0.004074</w:t>
            </w:r>
          </w:p>
        </w:tc>
        <w:tc>
          <w:tcPr>
            <w:tcW w:w="709" w:type="dxa"/>
          </w:tcPr>
          <w:p>
            <w:pPr>
              <w:pStyle w:val="TableParagraph"/>
              <w:spacing w:before="7"/>
              <w:ind w:left="110"/>
              <w:rPr>
                <w:sz w:val="24"/>
              </w:rPr>
            </w:pPr>
            <w:r>
              <w:rPr>
                <w:spacing w:val="-10"/>
                <w:sz w:val="24"/>
              </w:rPr>
              <w:t>5</w:t>
            </w:r>
          </w:p>
        </w:tc>
        <w:tc>
          <w:tcPr>
            <w:tcW w:w="1553" w:type="dxa"/>
          </w:tcPr>
          <w:p>
            <w:pPr>
              <w:pStyle w:val="TableParagraph"/>
              <w:spacing w:before="7"/>
              <w:ind w:left="361"/>
              <w:rPr>
                <w:sz w:val="24"/>
              </w:rPr>
            </w:pPr>
            <w:r>
              <w:rPr>
                <w:spacing w:val="-2"/>
                <w:sz w:val="24"/>
              </w:rPr>
              <w:t>0.02037037</w:t>
            </w:r>
          </w:p>
        </w:tc>
        <w:tc>
          <w:tcPr>
            <w:tcW w:w="1223" w:type="dxa"/>
          </w:tcPr>
          <w:p>
            <w:pPr>
              <w:pStyle w:val="TableParagraph"/>
              <w:spacing w:before="7"/>
              <w:ind w:left="162"/>
              <w:rPr>
                <w:sz w:val="24"/>
              </w:rPr>
            </w:pPr>
            <w:r>
              <w:rPr>
                <w:spacing w:val="-2"/>
                <w:sz w:val="24"/>
              </w:rPr>
              <w:t>0.022222</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29.62963</w:t>
            </w:r>
          </w:p>
        </w:tc>
        <w:tc>
          <w:tcPr>
            <w:tcW w:w="1225" w:type="dxa"/>
          </w:tcPr>
          <w:p>
            <w:pPr>
              <w:pStyle w:val="TableParagraph"/>
              <w:spacing w:before="7"/>
              <w:ind w:left="217"/>
              <w:rPr>
                <w:sz w:val="24"/>
              </w:rPr>
            </w:pPr>
            <w:r>
              <w:rPr>
                <w:spacing w:val="-2"/>
                <w:sz w:val="24"/>
              </w:rPr>
              <w:t>0.02963</w:t>
            </w:r>
          </w:p>
        </w:tc>
        <w:tc>
          <w:tcPr>
            <w:tcW w:w="768" w:type="dxa"/>
          </w:tcPr>
          <w:p>
            <w:pPr>
              <w:pStyle w:val="TableParagraph"/>
              <w:spacing w:before="7"/>
              <w:ind w:left="108"/>
              <w:rPr>
                <w:sz w:val="24"/>
              </w:rPr>
            </w:pPr>
            <w:r>
              <w:rPr>
                <w:spacing w:val="-5"/>
                <w:sz w:val="24"/>
              </w:rPr>
              <w:t>20</w:t>
            </w:r>
          </w:p>
        </w:tc>
        <w:tc>
          <w:tcPr>
            <w:tcW w:w="1309" w:type="dxa"/>
          </w:tcPr>
          <w:p>
            <w:pPr>
              <w:pStyle w:val="TableParagraph"/>
              <w:spacing w:before="7"/>
              <w:ind w:left="300"/>
              <w:rPr>
                <w:sz w:val="24"/>
              </w:rPr>
            </w:pPr>
            <w:r>
              <w:rPr>
                <w:spacing w:val="-2"/>
                <w:sz w:val="24"/>
              </w:rPr>
              <w:t>0.032963</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0.32962963</w:t>
            </w:r>
          </w:p>
        </w:tc>
        <w:tc>
          <w:tcPr>
            <w:tcW w:w="1223" w:type="dxa"/>
          </w:tcPr>
          <w:p>
            <w:pPr>
              <w:pStyle w:val="TableParagraph"/>
              <w:spacing w:before="7"/>
              <w:ind w:left="162"/>
              <w:rPr>
                <w:sz w:val="24"/>
              </w:rPr>
            </w:pPr>
            <w:r>
              <w:rPr>
                <w:spacing w:val="-2"/>
                <w:sz w:val="24"/>
              </w:rPr>
              <w:t>0.351852</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61.11111</w:t>
            </w:r>
          </w:p>
        </w:tc>
        <w:tc>
          <w:tcPr>
            <w:tcW w:w="1225" w:type="dxa"/>
          </w:tcPr>
          <w:p>
            <w:pPr>
              <w:pStyle w:val="TableParagraph"/>
              <w:spacing w:before="7"/>
              <w:ind w:left="217"/>
              <w:rPr>
                <w:sz w:val="24"/>
              </w:rPr>
            </w:pPr>
            <w:r>
              <w:rPr>
                <w:spacing w:val="-2"/>
                <w:sz w:val="24"/>
              </w:rPr>
              <w:t>0.061111</w:t>
            </w:r>
          </w:p>
        </w:tc>
        <w:tc>
          <w:tcPr>
            <w:tcW w:w="768" w:type="dxa"/>
          </w:tcPr>
          <w:p>
            <w:pPr>
              <w:pStyle w:val="TableParagraph"/>
              <w:spacing w:before="7"/>
              <w:ind w:left="108"/>
              <w:rPr>
                <w:sz w:val="24"/>
              </w:rPr>
            </w:pPr>
            <w:r>
              <w:rPr>
                <w:spacing w:val="-5"/>
                <w:sz w:val="24"/>
              </w:rPr>
              <w:t>30</w:t>
            </w:r>
          </w:p>
        </w:tc>
        <w:tc>
          <w:tcPr>
            <w:tcW w:w="1309" w:type="dxa"/>
          </w:tcPr>
          <w:p>
            <w:pPr>
              <w:pStyle w:val="TableParagraph"/>
              <w:spacing w:before="7"/>
              <w:ind w:left="300"/>
              <w:rPr>
                <w:sz w:val="24"/>
              </w:rPr>
            </w:pPr>
            <w:r>
              <w:rPr>
                <w:spacing w:val="-2"/>
                <w:sz w:val="24"/>
              </w:rPr>
              <w:t>0.090741</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1.36111111</w:t>
            </w:r>
          </w:p>
        </w:tc>
        <w:tc>
          <w:tcPr>
            <w:tcW w:w="1223" w:type="dxa"/>
          </w:tcPr>
          <w:p>
            <w:pPr>
              <w:pStyle w:val="TableParagraph"/>
              <w:spacing w:before="7"/>
              <w:ind w:left="162"/>
              <w:rPr>
                <w:sz w:val="24"/>
              </w:rPr>
            </w:pPr>
            <w:r>
              <w:rPr>
                <w:spacing w:val="-2"/>
                <w:sz w:val="24"/>
              </w:rPr>
              <w:t>1.712963</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83.33333</w:t>
            </w:r>
          </w:p>
        </w:tc>
        <w:tc>
          <w:tcPr>
            <w:tcW w:w="1225" w:type="dxa"/>
          </w:tcPr>
          <w:p>
            <w:pPr>
              <w:pStyle w:val="TableParagraph"/>
              <w:spacing w:before="7"/>
              <w:ind w:left="217"/>
              <w:rPr>
                <w:sz w:val="24"/>
              </w:rPr>
            </w:pPr>
            <w:r>
              <w:rPr>
                <w:spacing w:val="-2"/>
                <w:sz w:val="24"/>
              </w:rPr>
              <w:t>0.083333</w:t>
            </w:r>
          </w:p>
        </w:tc>
        <w:tc>
          <w:tcPr>
            <w:tcW w:w="768" w:type="dxa"/>
          </w:tcPr>
          <w:p>
            <w:pPr>
              <w:pStyle w:val="TableParagraph"/>
              <w:spacing w:before="7"/>
              <w:ind w:left="108"/>
              <w:rPr>
                <w:sz w:val="24"/>
              </w:rPr>
            </w:pPr>
            <w:r>
              <w:rPr>
                <w:spacing w:val="-5"/>
                <w:sz w:val="24"/>
              </w:rPr>
              <w:t>40</w:t>
            </w:r>
          </w:p>
        </w:tc>
        <w:tc>
          <w:tcPr>
            <w:tcW w:w="1309" w:type="dxa"/>
          </w:tcPr>
          <w:p>
            <w:pPr>
              <w:pStyle w:val="TableParagraph"/>
              <w:spacing w:before="7"/>
              <w:ind w:left="300"/>
              <w:rPr>
                <w:sz w:val="24"/>
              </w:rPr>
            </w:pPr>
            <w:r>
              <w:rPr>
                <w:spacing w:val="-2"/>
                <w:sz w:val="24"/>
              </w:rPr>
              <w:t>0.144444</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2.88888889</w:t>
            </w:r>
          </w:p>
        </w:tc>
        <w:tc>
          <w:tcPr>
            <w:tcW w:w="1223" w:type="dxa"/>
          </w:tcPr>
          <w:p>
            <w:pPr>
              <w:pStyle w:val="TableParagraph"/>
              <w:spacing w:before="7"/>
              <w:ind w:left="162"/>
              <w:rPr>
                <w:sz w:val="24"/>
              </w:rPr>
            </w:pPr>
            <w:r>
              <w:rPr>
                <w:spacing w:val="-2"/>
                <w:sz w:val="24"/>
              </w:rPr>
              <w:t>4.601852</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125.5556</w:t>
            </w:r>
          </w:p>
        </w:tc>
        <w:tc>
          <w:tcPr>
            <w:tcW w:w="1225" w:type="dxa"/>
          </w:tcPr>
          <w:p>
            <w:pPr>
              <w:pStyle w:val="TableParagraph"/>
              <w:spacing w:before="7"/>
              <w:ind w:left="217"/>
              <w:rPr>
                <w:sz w:val="24"/>
              </w:rPr>
            </w:pPr>
            <w:r>
              <w:rPr>
                <w:spacing w:val="-2"/>
                <w:sz w:val="24"/>
              </w:rPr>
              <w:t>0.125556</w:t>
            </w:r>
          </w:p>
        </w:tc>
        <w:tc>
          <w:tcPr>
            <w:tcW w:w="768" w:type="dxa"/>
          </w:tcPr>
          <w:p>
            <w:pPr>
              <w:pStyle w:val="TableParagraph"/>
              <w:spacing w:before="7"/>
              <w:ind w:left="108"/>
              <w:rPr>
                <w:sz w:val="24"/>
              </w:rPr>
            </w:pPr>
            <w:r>
              <w:rPr>
                <w:spacing w:val="-5"/>
                <w:sz w:val="24"/>
              </w:rPr>
              <w:t>50</w:t>
            </w:r>
          </w:p>
        </w:tc>
        <w:tc>
          <w:tcPr>
            <w:tcW w:w="1309" w:type="dxa"/>
          </w:tcPr>
          <w:p>
            <w:pPr>
              <w:pStyle w:val="TableParagraph"/>
              <w:spacing w:before="7"/>
              <w:ind w:left="300"/>
              <w:rPr>
                <w:sz w:val="24"/>
              </w:rPr>
            </w:pPr>
            <w:r>
              <w:rPr>
                <w:spacing w:val="-2"/>
                <w:sz w:val="24"/>
              </w:rPr>
              <w:t>0.208889</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5.22222222</w:t>
            </w:r>
          </w:p>
        </w:tc>
        <w:tc>
          <w:tcPr>
            <w:tcW w:w="1223" w:type="dxa"/>
          </w:tcPr>
          <w:p>
            <w:pPr>
              <w:pStyle w:val="TableParagraph"/>
              <w:spacing w:before="7"/>
              <w:ind w:left="162"/>
              <w:rPr>
                <w:sz w:val="24"/>
              </w:rPr>
            </w:pPr>
            <w:r>
              <w:rPr>
                <w:spacing w:val="-2"/>
                <w:sz w:val="24"/>
              </w:rPr>
              <w:t>9.824074</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5"/>
                <w:sz w:val="24"/>
              </w:rPr>
              <w:t>140</w:t>
            </w:r>
          </w:p>
        </w:tc>
        <w:tc>
          <w:tcPr>
            <w:tcW w:w="1225" w:type="dxa"/>
          </w:tcPr>
          <w:p>
            <w:pPr>
              <w:pStyle w:val="TableParagraph"/>
              <w:spacing w:before="7"/>
              <w:ind w:left="217"/>
              <w:rPr>
                <w:sz w:val="24"/>
              </w:rPr>
            </w:pPr>
            <w:r>
              <w:rPr>
                <w:spacing w:val="-4"/>
                <w:sz w:val="24"/>
              </w:rPr>
              <w:t>0.14</w:t>
            </w:r>
          </w:p>
        </w:tc>
        <w:tc>
          <w:tcPr>
            <w:tcW w:w="768" w:type="dxa"/>
          </w:tcPr>
          <w:p>
            <w:pPr>
              <w:pStyle w:val="TableParagraph"/>
              <w:spacing w:before="7"/>
              <w:ind w:left="108"/>
              <w:rPr>
                <w:sz w:val="24"/>
              </w:rPr>
            </w:pPr>
            <w:r>
              <w:rPr>
                <w:spacing w:val="-5"/>
                <w:sz w:val="24"/>
              </w:rPr>
              <w:t>60</w:t>
            </w:r>
          </w:p>
        </w:tc>
        <w:tc>
          <w:tcPr>
            <w:tcW w:w="1309" w:type="dxa"/>
          </w:tcPr>
          <w:p>
            <w:pPr>
              <w:pStyle w:val="TableParagraph"/>
              <w:spacing w:before="7"/>
              <w:ind w:left="300"/>
              <w:rPr>
                <w:sz w:val="24"/>
              </w:rPr>
            </w:pPr>
            <w:r>
              <w:rPr>
                <w:spacing w:val="-2"/>
                <w:sz w:val="24"/>
              </w:rPr>
              <w:t>0.265556</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7.96666667</w:t>
            </w:r>
          </w:p>
        </w:tc>
        <w:tc>
          <w:tcPr>
            <w:tcW w:w="1223" w:type="dxa"/>
          </w:tcPr>
          <w:p>
            <w:pPr>
              <w:pStyle w:val="TableParagraph"/>
              <w:spacing w:before="7"/>
              <w:ind w:left="162"/>
              <w:rPr>
                <w:sz w:val="24"/>
              </w:rPr>
            </w:pPr>
            <w:r>
              <w:rPr>
                <w:spacing w:val="-2"/>
                <w:sz w:val="24"/>
              </w:rPr>
              <w:t>17.79074</w:t>
            </w:r>
          </w:p>
        </w:tc>
        <w:tc>
          <w:tcPr>
            <w:tcW w:w="546" w:type="dxa"/>
          </w:tcPr>
          <w:p>
            <w:pPr>
              <w:pStyle w:val="TableParagraph"/>
              <w:spacing w:before="7"/>
              <w:ind w:left="55"/>
              <w:rPr>
                <w:sz w:val="24"/>
              </w:rPr>
            </w:pPr>
            <w:r>
              <w:rPr>
                <w:spacing w:val="-10"/>
                <w:sz w:val="24"/>
              </w:rPr>
              <w:t>F</w:t>
            </w:r>
          </w:p>
        </w:tc>
        <w:tc>
          <w:tcPr>
            <w:tcW w:w="1309" w:type="dxa"/>
          </w:tcPr>
          <w:p>
            <w:pPr>
              <w:pStyle w:val="TableParagraph"/>
              <w:spacing w:before="7"/>
              <w:ind w:right="-116"/>
              <w:jc w:val="right"/>
              <w:rPr>
                <w:sz w:val="24"/>
              </w:rPr>
            </w:pPr>
            <w:r>
              <w:rPr>
                <w:color w:val="000000"/>
                <w:spacing w:val="48"/>
                <w:sz w:val="24"/>
                <w:highlight w:val="red"/>
              </w:rPr>
              <w:t> </w:t>
            </w:r>
            <w:r>
              <w:rPr>
                <w:color w:val="000000"/>
                <w:spacing w:val="-2"/>
                <w:sz w:val="24"/>
                <w:highlight w:val="red"/>
              </w:rPr>
              <w:t>79.96984</w:t>
            </w:r>
            <w:r>
              <w:rPr>
                <w:color w:val="000000"/>
                <w:spacing w:val="40"/>
                <w:sz w:val="24"/>
                <w:highlight w:val="red"/>
              </w:rPr>
              <w:t> </w:t>
            </w:r>
          </w:p>
        </w:tc>
      </w:tr>
      <w:tr>
        <w:trPr>
          <w:trHeight w:val="300" w:hRule="atLeast"/>
        </w:trPr>
        <w:tc>
          <w:tcPr>
            <w:tcW w:w="1167" w:type="dxa"/>
          </w:tcPr>
          <w:p>
            <w:pPr>
              <w:pStyle w:val="TableParagraph"/>
              <w:spacing w:before="7"/>
              <w:ind w:left="50"/>
              <w:rPr>
                <w:sz w:val="24"/>
              </w:rPr>
            </w:pPr>
            <w:r>
              <w:rPr>
                <w:spacing w:val="-2"/>
                <w:sz w:val="24"/>
              </w:rPr>
              <w:t>198.8889</w:t>
            </w:r>
          </w:p>
        </w:tc>
        <w:tc>
          <w:tcPr>
            <w:tcW w:w="1225" w:type="dxa"/>
          </w:tcPr>
          <w:p>
            <w:pPr>
              <w:pStyle w:val="TableParagraph"/>
              <w:spacing w:before="7"/>
              <w:ind w:left="217"/>
              <w:rPr>
                <w:sz w:val="24"/>
              </w:rPr>
            </w:pPr>
            <w:r>
              <w:rPr>
                <w:spacing w:val="-2"/>
                <w:sz w:val="24"/>
              </w:rPr>
              <w:t>0.198889</w:t>
            </w:r>
          </w:p>
        </w:tc>
        <w:tc>
          <w:tcPr>
            <w:tcW w:w="768" w:type="dxa"/>
          </w:tcPr>
          <w:p>
            <w:pPr>
              <w:pStyle w:val="TableParagraph"/>
              <w:spacing w:before="7"/>
              <w:ind w:left="108"/>
              <w:rPr>
                <w:sz w:val="24"/>
              </w:rPr>
            </w:pPr>
            <w:r>
              <w:rPr>
                <w:spacing w:val="-5"/>
                <w:sz w:val="24"/>
              </w:rPr>
              <w:t>70</w:t>
            </w:r>
          </w:p>
        </w:tc>
        <w:tc>
          <w:tcPr>
            <w:tcW w:w="1309" w:type="dxa"/>
          </w:tcPr>
          <w:p>
            <w:pPr>
              <w:pStyle w:val="TableParagraph"/>
              <w:spacing w:before="7"/>
              <w:ind w:left="300"/>
              <w:rPr>
                <w:sz w:val="24"/>
              </w:rPr>
            </w:pPr>
            <w:r>
              <w:rPr>
                <w:spacing w:val="-2"/>
                <w:sz w:val="24"/>
              </w:rPr>
              <w:t>0.338889</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11.8611111</w:t>
            </w:r>
          </w:p>
        </w:tc>
        <w:tc>
          <w:tcPr>
            <w:tcW w:w="1223" w:type="dxa"/>
          </w:tcPr>
          <w:p>
            <w:pPr>
              <w:pStyle w:val="TableParagraph"/>
              <w:spacing w:before="7"/>
              <w:ind w:left="162"/>
              <w:rPr>
                <w:sz w:val="24"/>
              </w:rPr>
            </w:pPr>
            <w:r>
              <w:rPr>
                <w:spacing w:val="-2"/>
                <w:sz w:val="24"/>
              </w:rPr>
              <w:t>29.65185</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249.2593</w:t>
            </w:r>
          </w:p>
        </w:tc>
        <w:tc>
          <w:tcPr>
            <w:tcW w:w="1225" w:type="dxa"/>
          </w:tcPr>
          <w:p>
            <w:pPr>
              <w:pStyle w:val="TableParagraph"/>
              <w:spacing w:before="7"/>
              <w:ind w:left="217"/>
              <w:rPr>
                <w:sz w:val="24"/>
              </w:rPr>
            </w:pPr>
            <w:r>
              <w:rPr>
                <w:spacing w:val="-2"/>
                <w:sz w:val="24"/>
              </w:rPr>
              <w:t>0.249259</w:t>
            </w:r>
          </w:p>
        </w:tc>
        <w:tc>
          <w:tcPr>
            <w:tcW w:w="768" w:type="dxa"/>
          </w:tcPr>
          <w:p>
            <w:pPr>
              <w:pStyle w:val="TableParagraph"/>
              <w:spacing w:before="7"/>
              <w:ind w:left="108"/>
              <w:rPr>
                <w:sz w:val="24"/>
              </w:rPr>
            </w:pPr>
            <w:r>
              <w:rPr>
                <w:spacing w:val="-5"/>
                <w:sz w:val="24"/>
              </w:rPr>
              <w:t>80</w:t>
            </w:r>
          </w:p>
        </w:tc>
        <w:tc>
          <w:tcPr>
            <w:tcW w:w="1309" w:type="dxa"/>
          </w:tcPr>
          <w:p>
            <w:pPr>
              <w:pStyle w:val="TableParagraph"/>
              <w:spacing w:before="7"/>
              <w:ind w:left="300"/>
              <w:rPr>
                <w:sz w:val="24"/>
              </w:rPr>
            </w:pPr>
            <w:r>
              <w:rPr>
                <w:spacing w:val="-2"/>
                <w:sz w:val="24"/>
              </w:rPr>
              <w:t>0.448148</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17.9259259</w:t>
            </w:r>
          </w:p>
        </w:tc>
        <w:tc>
          <w:tcPr>
            <w:tcW w:w="1223" w:type="dxa"/>
          </w:tcPr>
          <w:p>
            <w:pPr>
              <w:pStyle w:val="TableParagraph"/>
              <w:spacing w:before="7"/>
              <w:ind w:left="162"/>
              <w:rPr>
                <w:sz w:val="24"/>
              </w:rPr>
            </w:pPr>
            <w:r>
              <w:rPr>
                <w:spacing w:val="-2"/>
                <w:sz w:val="24"/>
              </w:rPr>
              <w:t>47.57778</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254.4444</w:t>
            </w:r>
          </w:p>
        </w:tc>
        <w:tc>
          <w:tcPr>
            <w:tcW w:w="1225" w:type="dxa"/>
          </w:tcPr>
          <w:p>
            <w:pPr>
              <w:pStyle w:val="TableParagraph"/>
              <w:spacing w:before="7"/>
              <w:ind w:left="217"/>
              <w:rPr>
                <w:sz w:val="24"/>
              </w:rPr>
            </w:pPr>
            <w:r>
              <w:rPr>
                <w:spacing w:val="-2"/>
                <w:sz w:val="24"/>
              </w:rPr>
              <w:t>0.254444</w:t>
            </w:r>
          </w:p>
        </w:tc>
        <w:tc>
          <w:tcPr>
            <w:tcW w:w="768" w:type="dxa"/>
          </w:tcPr>
          <w:p>
            <w:pPr>
              <w:pStyle w:val="TableParagraph"/>
              <w:spacing w:before="7"/>
              <w:ind w:left="108"/>
              <w:rPr>
                <w:sz w:val="24"/>
              </w:rPr>
            </w:pPr>
            <w:r>
              <w:rPr>
                <w:spacing w:val="-5"/>
                <w:sz w:val="24"/>
              </w:rPr>
              <w:t>90</w:t>
            </w:r>
          </w:p>
        </w:tc>
        <w:tc>
          <w:tcPr>
            <w:tcW w:w="1309" w:type="dxa"/>
          </w:tcPr>
          <w:p>
            <w:pPr>
              <w:pStyle w:val="TableParagraph"/>
              <w:spacing w:before="7"/>
              <w:ind w:left="300"/>
              <w:rPr>
                <w:sz w:val="24"/>
              </w:rPr>
            </w:pPr>
            <w:r>
              <w:rPr>
                <w:spacing w:val="-2"/>
                <w:sz w:val="24"/>
              </w:rPr>
              <w:t>0.503704</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22.6666667</w:t>
            </w:r>
          </w:p>
        </w:tc>
        <w:tc>
          <w:tcPr>
            <w:tcW w:w="1223" w:type="dxa"/>
          </w:tcPr>
          <w:p>
            <w:pPr>
              <w:pStyle w:val="TableParagraph"/>
              <w:spacing w:before="7"/>
              <w:ind w:left="162"/>
              <w:rPr>
                <w:sz w:val="24"/>
              </w:rPr>
            </w:pPr>
            <w:r>
              <w:rPr>
                <w:spacing w:val="-2"/>
                <w:sz w:val="24"/>
              </w:rPr>
              <w:t>70.24444</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262.2222</w:t>
            </w:r>
          </w:p>
        </w:tc>
        <w:tc>
          <w:tcPr>
            <w:tcW w:w="1225" w:type="dxa"/>
          </w:tcPr>
          <w:p>
            <w:pPr>
              <w:pStyle w:val="TableParagraph"/>
              <w:spacing w:before="7"/>
              <w:ind w:left="217"/>
              <w:rPr>
                <w:sz w:val="24"/>
              </w:rPr>
            </w:pPr>
            <w:r>
              <w:rPr>
                <w:spacing w:val="-2"/>
                <w:sz w:val="24"/>
              </w:rPr>
              <w:t>0.262222</w:t>
            </w:r>
          </w:p>
        </w:tc>
        <w:tc>
          <w:tcPr>
            <w:tcW w:w="768" w:type="dxa"/>
          </w:tcPr>
          <w:p>
            <w:pPr>
              <w:pStyle w:val="TableParagraph"/>
              <w:spacing w:before="7"/>
              <w:ind w:left="108"/>
              <w:rPr>
                <w:sz w:val="24"/>
              </w:rPr>
            </w:pPr>
            <w:r>
              <w:rPr>
                <w:spacing w:val="-5"/>
                <w:sz w:val="24"/>
              </w:rPr>
              <w:t>100</w:t>
            </w:r>
          </w:p>
        </w:tc>
        <w:tc>
          <w:tcPr>
            <w:tcW w:w="1309" w:type="dxa"/>
          </w:tcPr>
          <w:p>
            <w:pPr>
              <w:pStyle w:val="TableParagraph"/>
              <w:spacing w:before="7"/>
              <w:ind w:left="300"/>
              <w:rPr>
                <w:sz w:val="24"/>
              </w:rPr>
            </w:pPr>
            <w:r>
              <w:rPr>
                <w:spacing w:val="-2"/>
                <w:sz w:val="24"/>
              </w:rPr>
              <w:t>0.516667</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25.8333333</w:t>
            </w:r>
          </w:p>
        </w:tc>
        <w:tc>
          <w:tcPr>
            <w:tcW w:w="1223" w:type="dxa"/>
          </w:tcPr>
          <w:p>
            <w:pPr>
              <w:pStyle w:val="TableParagraph"/>
              <w:spacing w:before="7"/>
              <w:ind w:left="162"/>
              <w:rPr>
                <w:sz w:val="24"/>
              </w:rPr>
            </w:pPr>
            <w:r>
              <w:rPr>
                <w:spacing w:val="-2"/>
                <w:sz w:val="24"/>
              </w:rPr>
              <w:t>96.07778</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286" w:hRule="atLeast"/>
        </w:trPr>
        <w:tc>
          <w:tcPr>
            <w:tcW w:w="1167" w:type="dxa"/>
          </w:tcPr>
          <w:p>
            <w:pPr>
              <w:pStyle w:val="TableParagraph"/>
              <w:spacing w:line="260" w:lineRule="exact" w:before="7"/>
              <w:ind w:left="50"/>
              <w:rPr>
                <w:sz w:val="24"/>
              </w:rPr>
            </w:pPr>
            <w:r>
              <w:rPr>
                <w:spacing w:val="-2"/>
                <w:sz w:val="24"/>
              </w:rPr>
              <w:t>265.9259</w:t>
            </w:r>
          </w:p>
        </w:tc>
        <w:tc>
          <w:tcPr>
            <w:tcW w:w="1225" w:type="dxa"/>
          </w:tcPr>
          <w:p>
            <w:pPr>
              <w:pStyle w:val="TableParagraph"/>
              <w:spacing w:line="260" w:lineRule="exact" w:before="7"/>
              <w:ind w:left="217"/>
              <w:rPr>
                <w:sz w:val="24"/>
              </w:rPr>
            </w:pPr>
            <w:r>
              <w:rPr>
                <w:spacing w:val="-2"/>
                <w:sz w:val="24"/>
              </w:rPr>
              <w:t>0.265926</w:t>
            </w:r>
          </w:p>
        </w:tc>
        <w:tc>
          <w:tcPr>
            <w:tcW w:w="768" w:type="dxa"/>
          </w:tcPr>
          <w:p>
            <w:pPr>
              <w:pStyle w:val="TableParagraph"/>
              <w:spacing w:line="260" w:lineRule="exact" w:before="7"/>
              <w:ind w:left="108"/>
              <w:rPr>
                <w:sz w:val="24"/>
              </w:rPr>
            </w:pPr>
            <w:r>
              <w:rPr>
                <w:spacing w:val="-5"/>
                <w:sz w:val="24"/>
              </w:rPr>
              <w:t>110</w:t>
            </w:r>
          </w:p>
        </w:tc>
        <w:tc>
          <w:tcPr>
            <w:tcW w:w="1309" w:type="dxa"/>
          </w:tcPr>
          <w:p>
            <w:pPr>
              <w:pStyle w:val="TableParagraph"/>
              <w:spacing w:line="260" w:lineRule="exact" w:before="7"/>
              <w:ind w:left="300"/>
              <w:rPr>
                <w:sz w:val="24"/>
              </w:rPr>
            </w:pPr>
            <w:r>
              <w:rPr>
                <w:spacing w:val="-2"/>
                <w:sz w:val="24"/>
              </w:rPr>
              <w:t>0.528148</w:t>
            </w:r>
          </w:p>
        </w:tc>
        <w:tc>
          <w:tcPr>
            <w:tcW w:w="709" w:type="dxa"/>
          </w:tcPr>
          <w:p>
            <w:pPr>
              <w:pStyle w:val="TableParagraph"/>
              <w:spacing w:line="260" w:lineRule="exact" w:before="7"/>
              <w:ind w:left="110"/>
              <w:rPr>
                <w:sz w:val="24"/>
              </w:rPr>
            </w:pPr>
            <w:r>
              <w:rPr>
                <w:spacing w:val="-5"/>
                <w:sz w:val="24"/>
              </w:rPr>
              <w:t>10</w:t>
            </w:r>
          </w:p>
        </w:tc>
        <w:tc>
          <w:tcPr>
            <w:tcW w:w="1553" w:type="dxa"/>
          </w:tcPr>
          <w:p>
            <w:pPr>
              <w:pStyle w:val="TableParagraph"/>
              <w:spacing w:line="260" w:lineRule="exact" w:before="7"/>
              <w:ind w:left="361"/>
              <w:rPr>
                <w:sz w:val="24"/>
              </w:rPr>
            </w:pPr>
            <w:r>
              <w:rPr>
                <w:spacing w:val="-2"/>
                <w:sz w:val="24"/>
              </w:rPr>
              <w:t>29.0481481</w:t>
            </w:r>
          </w:p>
        </w:tc>
        <w:tc>
          <w:tcPr>
            <w:tcW w:w="1223" w:type="dxa"/>
          </w:tcPr>
          <w:p>
            <w:pPr>
              <w:pStyle w:val="TableParagraph"/>
              <w:spacing w:line="260" w:lineRule="exact" w:before="7"/>
              <w:ind w:left="162"/>
              <w:rPr>
                <w:sz w:val="24"/>
              </w:rPr>
            </w:pPr>
            <w:r>
              <w:rPr>
                <w:spacing w:val="-2"/>
                <w:sz w:val="24"/>
              </w:rPr>
              <w:t>125.1259</w:t>
            </w:r>
          </w:p>
        </w:tc>
        <w:tc>
          <w:tcPr>
            <w:tcW w:w="546" w:type="dxa"/>
          </w:tcPr>
          <w:p>
            <w:pPr>
              <w:pStyle w:val="TableParagraph"/>
              <w:spacing w:line="240" w:lineRule="auto"/>
              <w:rPr>
                <w:sz w:val="20"/>
              </w:rPr>
            </w:pPr>
          </w:p>
        </w:tc>
        <w:tc>
          <w:tcPr>
            <w:tcW w:w="1309" w:type="dxa"/>
          </w:tcPr>
          <w:p>
            <w:pPr>
              <w:pStyle w:val="TableParagraph"/>
              <w:spacing w:line="240" w:lineRule="auto"/>
              <w:rPr>
                <w:sz w:val="20"/>
              </w:rPr>
            </w:pPr>
          </w:p>
        </w:tc>
      </w:tr>
      <w:tr>
        <w:trPr>
          <w:trHeight w:val="467" w:hRule="atLeast"/>
        </w:trPr>
        <w:tc>
          <w:tcPr>
            <w:tcW w:w="1167" w:type="dxa"/>
          </w:tcPr>
          <w:p>
            <w:pPr>
              <w:pStyle w:val="TableParagraph"/>
              <w:spacing w:line="240" w:lineRule="auto" w:before="20"/>
              <w:ind w:left="50"/>
              <w:rPr>
                <w:sz w:val="24"/>
              </w:rPr>
            </w:pPr>
            <w:r>
              <w:rPr>
                <w:spacing w:val="-2"/>
                <w:sz w:val="24"/>
              </w:rPr>
              <w:t>281.1111</w:t>
            </w:r>
          </w:p>
        </w:tc>
        <w:tc>
          <w:tcPr>
            <w:tcW w:w="1225" w:type="dxa"/>
          </w:tcPr>
          <w:p>
            <w:pPr>
              <w:pStyle w:val="TableParagraph"/>
              <w:spacing w:line="240" w:lineRule="auto" w:before="20"/>
              <w:ind w:left="217"/>
              <w:rPr>
                <w:sz w:val="24"/>
              </w:rPr>
            </w:pPr>
            <w:r>
              <w:rPr>
                <w:spacing w:val="-2"/>
                <w:sz w:val="24"/>
              </w:rPr>
              <w:t>0.281111</w:t>
            </w:r>
          </w:p>
        </w:tc>
        <w:tc>
          <w:tcPr>
            <w:tcW w:w="768" w:type="dxa"/>
          </w:tcPr>
          <w:p>
            <w:pPr>
              <w:pStyle w:val="TableParagraph"/>
              <w:spacing w:line="240" w:lineRule="auto" w:before="20"/>
              <w:ind w:left="108"/>
              <w:rPr>
                <w:sz w:val="24"/>
              </w:rPr>
            </w:pPr>
            <w:r>
              <w:rPr>
                <w:spacing w:val="-5"/>
                <w:sz w:val="24"/>
              </w:rPr>
              <w:t>120</w:t>
            </w:r>
          </w:p>
        </w:tc>
        <w:tc>
          <w:tcPr>
            <w:tcW w:w="1309" w:type="dxa"/>
          </w:tcPr>
          <w:p>
            <w:pPr>
              <w:pStyle w:val="TableParagraph"/>
              <w:spacing w:line="240" w:lineRule="auto" w:before="20"/>
              <w:ind w:left="300"/>
              <w:rPr>
                <w:sz w:val="24"/>
              </w:rPr>
            </w:pPr>
            <w:r>
              <w:rPr>
                <w:spacing w:val="-2"/>
                <w:sz w:val="24"/>
              </w:rPr>
              <w:t>0.547037</w:t>
            </w:r>
          </w:p>
        </w:tc>
        <w:tc>
          <w:tcPr>
            <w:tcW w:w="709" w:type="dxa"/>
          </w:tcPr>
          <w:p>
            <w:pPr>
              <w:pStyle w:val="TableParagraph"/>
              <w:spacing w:line="240" w:lineRule="auto" w:before="20"/>
              <w:ind w:left="110"/>
              <w:rPr>
                <w:sz w:val="24"/>
              </w:rPr>
            </w:pPr>
            <w:r>
              <w:rPr>
                <w:spacing w:val="-5"/>
                <w:sz w:val="24"/>
              </w:rPr>
              <w:t>10</w:t>
            </w:r>
          </w:p>
        </w:tc>
        <w:tc>
          <w:tcPr>
            <w:tcW w:w="1553" w:type="dxa"/>
          </w:tcPr>
          <w:p>
            <w:pPr>
              <w:pStyle w:val="TableParagraph"/>
              <w:spacing w:line="240" w:lineRule="auto" w:before="20"/>
              <w:ind w:left="361"/>
              <w:rPr>
                <w:sz w:val="24"/>
              </w:rPr>
            </w:pPr>
            <w:r>
              <w:rPr>
                <w:spacing w:val="-2"/>
                <w:sz w:val="24"/>
              </w:rPr>
              <w:t>32.8222222</w:t>
            </w:r>
          </w:p>
        </w:tc>
        <w:tc>
          <w:tcPr>
            <w:tcW w:w="1223" w:type="dxa"/>
          </w:tcPr>
          <w:p>
            <w:pPr>
              <w:pStyle w:val="TableParagraph"/>
              <w:spacing w:line="240" w:lineRule="auto" w:before="20"/>
              <w:ind w:left="54"/>
              <w:rPr>
                <w:sz w:val="24"/>
              </w:rPr>
            </w:pPr>
            <w:r>
              <w:rPr>
                <w:color w:val="000000"/>
                <w:spacing w:val="48"/>
                <w:sz w:val="24"/>
                <w:highlight w:val="yellow"/>
              </w:rPr>
              <w:t> </w:t>
            </w:r>
            <w:r>
              <w:rPr>
                <w:color w:val="000000"/>
                <w:spacing w:val="-2"/>
                <w:sz w:val="24"/>
                <w:highlight w:val="yellow"/>
              </w:rPr>
              <w:t>157.9481</w:t>
            </w:r>
            <w:r>
              <w:rPr>
                <w:color w:val="000000"/>
                <w:spacing w:val="80"/>
                <w:sz w:val="24"/>
                <w:highlight w:val="yellow"/>
              </w:rPr>
              <w:t> </w:t>
            </w:r>
          </w:p>
        </w:tc>
        <w:tc>
          <w:tcPr>
            <w:tcW w:w="546" w:type="dxa"/>
          </w:tcPr>
          <w:p>
            <w:pPr>
              <w:pStyle w:val="TableParagraph"/>
              <w:spacing w:line="240" w:lineRule="auto"/>
              <w:rPr>
                <w:sz w:val="24"/>
              </w:rPr>
            </w:pPr>
          </w:p>
        </w:tc>
        <w:tc>
          <w:tcPr>
            <w:tcW w:w="1309" w:type="dxa"/>
          </w:tcPr>
          <w:p>
            <w:pPr>
              <w:pStyle w:val="TableParagraph"/>
              <w:spacing w:line="240" w:lineRule="auto"/>
              <w:rPr>
                <w:sz w:val="24"/>
              </w:rPr>
            </w:pPr>
          </w:p>
        </w:tc>
      </w:tr>
      <w:tr>
        <w:trPr>
          <w:trHeight w:val="445" w:hRule="atLeast"/>
        </w:trPr>
        <w:tc>
          <w:tcPr>
            <w:tcW w:w="1167" w:type="dxa"/>
          </w:tcPr>
          <w:p>
            <w:pPr>
              <w:pStyle w:val="TableParagraph"/>
              <w:spacing w:before="153"/>
              <w:ind w:left="50"/>
              <w:rPr>
                <w:sz w:val="24"/>
              </w:rPr>
            </w:pPr>
            <w:r>
              <w:rPr>
                <w:spacing w:val="-10"/>
                <w:sz w:val="24"/>
              </w:rPr>
              <w:t>D</w:t>
            </w:r>
          </w:p>
        </w:tc>
        <w:tc>
          <w:tcPr>
            <w:tcW w:w="1225" w:type="dxa"/>
          </w:tcPr>
          <w:p>
            <w:pPr>
              <w:pStyle w:val="TableParagraph"/>
              <w:spacing w:line="240" w:lineRule="auto"/>
              <w:rPr>
                <w:sz w:val="24"/>
              </w:rPr>
            </w:pPr>
          </w:p>
        </w:tc>
        <w:tc>
          <w:tcPr>
            <w:tcW w:w="768" w:type="dxa"/>
          </w:tcPr>
          <w:p>
            <w:pPr>
              <w:pStyle w:val="TableParagraph"/>
              <w:spacing w:line="240" w:lineRule="auto"/>
              <w:rPr>
                <w:sz w:val="24"/>
              </w:rPr>
            </w:pPr>
          </w:p>
        </w:tc>
        <w:tc>
          <w:tcPr>
            <w:tcW w:w="1309" w:type="dxa"/>
          </w:tcPr>
          <w:p>
            <w:pPr>
              <w:pStyle w:val="TableParagraph"/>
              <w:spacing w:line="240" w:lineRule="auto"/>
              <w:rPr>
                <w:sz w:val="24"/>
              </w:rPr>
            </w:pPr>
          </w:p>
        </w:tc>
        <w:tc>
          <w:tcPr>
            <w:tcW w:w="709" w:type="dxa"/>
          </w:tcPr>
          <w:p>
            <w:pPr>
              <w:pStyle w:val="TableParagraph"/>
              <w:spacing w:line="240" w:lineRule="auto"/>
              <w:rPr>
                <w:sz w:val="24"/>
              </w:rPr>
            </w:pPr>
          </w:p>
        </w:tc>
        <w:tc>
          <w:tcPr>
            <w:tcW w:w="1553" w:type="dxa"/>
          </w:tcPr>
          <w:p>
            <w:pPr>
              <w:pStyle w:val="TableParagraph"/>
              <w:spacing w:line="240" w:lineRule="auto"/>
              <w:rPr>
                <w:sz w:val="24"/>
              </w:rPr>
            </w:pPr>
          </w:p>
        </w:tc>
        <w:tc>
          <w:tcPr>
            <w:tcW w:w="1223" w:type="dxa"/>
          </w:tcPr>
          <w:p>
            <w:pPr>
              <w:pStyle w:val="TableParagraph"/>
              <w:spacing w:line="240" w:lineRule="auto"/>
              <w:rPr>
                <w:sz w:val="24"/>
              </w:rPr>
            </w:pPr>
          </w:p>
        </w:tc>
        <w:tc>
          <w:tcPr>
            <w:tcW w:w="546" w:type="dxa"/>
          </w:tcPr>
          <w:p>
            <w:pPr>
              <w:pStyle w:val="TableParagraph"/>
              <w:spacing w:line="240" w:lineRule="auto"/>
              <w:rPr>
                <w:sz w:val="24"/>
              </w:rPr>
            </w:pPr>
          </w:p>
        </w:tc>
        <w:tc>
          <w:tcPr>
            <w:tcW w:w="1309" w:type="dxa"/>
          </w:tcPr>
          <w:p>
            <w:pPr>
              <w:pStyle w:val="TableParagraph"/>
              <w:spacing w:line="240" w:lineRule="auto"/>
              <w:rPr>
                <w:sz w:val="24"/>
              </w:rPr>
            </w:pPr>
          </w:p>
        </w:tc>
      </w:tr>
      <w:tr>
        <w:trPr>
          <w:trHeight w:val="300" w:hRule="atLeast"/>
        </w:trPr>
        <w:tc>
          <w:tcPr>
            <w:tcW w:w="1167" w:type="dxa"/>
          </w:tcPr>
          <w:p>
            <w:pPr>
              <w:pStyle w:val="TableParagraph"/>
              <w:spacing w:before="7"/>
              <w:ind w:left="50"/>
              <w:rPr>
                <w:sz w:val="24"/>
              </w:rPr>
            </w:pPr>
            <w:r>
              <w:rPr>
                <w:spacing w:val="-10"/>
                <w:sz w:val="24"/>
              </w:rPr>
              <w:t>0</w:t>
            </w:r>
          </w:p>
        </w:tc>
        <w:tc>
          <w:tcPr>
            <w:tcW w:w="1225" w:type="dxa"/>
          </w:tcPr>
          <w:p>
            <w:pPr>
              <w:pStyle w:val="TableParagraph"/>
              <w:spacing w:before="7"/>
              <w:ind w:left="217"/>
              <w:rPr>
                <w:sz w:val="24"/>
              </w:rPr>
            </w:pPr>
            <w:r>
              <w:rPr>
                <w:spacing w:val="-10"/>
                <w:sz w:val="24"/>
              </w:rPr>
              <w:t>0</w:t>
            </w:r>
          </w:p>
        </w:tc>
        <w:tc>
          <w:tcPr>
            <w:tcW w:w="768" w:type="dxa"/>
          </w:tcPr>
          <w:p>
            <w:pPr>
              <w:pStyle w:val="TableParagraph"/>
              <w:spacing w:before="7"/>
              <w:ind w:left="108"/>
              <w:rPr>
                <w:sz w:val="24"/>
              </w:rPr>
            </w:pPr>
            <w:r>
              <w:rPr>
                <w:spacing w:val="-10"/>
                <w:sz w:val="24"/>
              </w:rPr>
              <w:t>0</w:t>
            </w:r>
          </w:p>
        </w:tc>
        <w:tc>
          <w:tcPr>
            <w:tcW w:w="1309" w:type="dxa"/>
          </w:tcPr>
          <w:p>
            <w:pPr>
              <w:pStyle w:val="TableParagraph"/>
              <w:spacing w:before="7"/>
              <w:ind w:left="300"/>
              <w:rPr>
                <w:sz w:val="24"/>
              </w:rPr>
            </w:pPr>
            <w:r>
              <w:rPr>
                <w:spacing w:val="-10"/>
                <w:sz w:val="24"/>
              </w:rPr>
              <w:t>0</w:t>
            </w:r>
          </w:p>
        </w:tc>
        <w:tc>
          <w:tcPr>
            <w:tcW w:w="709" w:type="dxa"/>
          </w:tcPr>
          <w:p>
            <w:pPr>
              <w:pStyle w:val="TableParagraph"/>
              <w:spacing w:before="7"/>
              <w:ind w:left="110"/>
              <w:rPr>
                <w:sz w:val="24"/>
              </w:rPr>
            </w:pPr>
            <w:r>
              <w:rPr>
                <w:spacing w:val="-10"/>
                <w:sz w:val="24"/>
              </w:rPr>
              <w:t>0</w:t>
            </w:r>
          </w:p>
        </w:tc>
        <w:tc>
          <w:tcPr>
            <w:tcW w:w="1553" w:type="dxa"/>
          </w:tcPr>
          <w:p>
            <w:pPr>
              <w:pStyle w:val="TableParagraph"/>
              <w:spacing w:before="7"/>
              <w:ind w:left="361"/>
              <w:rPr>
                <w:sz w:val="24"/>
              </w:rPr>
            </w:pPr>
            <w:r>
              <w:rPr>
                <w:spacing w:val="-10"/>
                <w:sz w:val="24"/>
              </w:rPr>
              <w:t>0</w:t>
            </w:r>
          </w:p>
        </w:tc>
        <w:tc>
          <w:tcPr>
            <w:tcW w:w="1223" w:type="dxa"/>
          </w:tcPr>
          <w:p>
            <w:pPr>
              <w:pStyle w:val="TableParagraph"/>
              <w:spacing w:before="7"/>
              <w:ind w:left="162"/>
              <w:rPr>
                <w:sz w:val="24"/>
              </w:rPr>
            </w:pPr>
            <w:r>
              <w:rPr>
                <w:spacing w:val="-10"/>
                <w:sz w:val="24"/>
              </w:rPr>
              <w:t>0</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180.7407</w:t>
            </w:r>
          </w:p>
        </w:tc>
        <w:tc>
          <w:tcPr>
            <w:tcW w:w="1225" w:type="dxa"/>
          </w:tcPr>
          <w:p>
            <w:pPr>
              <w:pStyle w:val="TableParagraph"/>
              <w:spacing w:before="7"/>
              <w:ind w:left="217"/>
              <w:rPr>
                <w:sz w:val="24"/>
              </w:rPr>
            </w:pPr>
            <w:r>
              <w:rPr>
                <w:spacing w:val="-2"/>
                <w:sz w:val="24"/>
              </w:rPr>
              <w:t>0.180741</w:t>
            </w:r>
          </w:p>
        </w:tc>
        <w:tc>
          <w:tcPr>
            <w:tcW w:w="768" w:type="dxa"/>
          </w:tcPr>
          <w:p>
            <w:pPr>
              <w:pStyle w:val="TableParagraph"/>
              <w:spacing w:before="7"/>
              <w:ind w:left="108"/>
              <w:rPr>
                <w:sz w:val="24"/>
              </w:rPr>
            </w:pPr>
            <w:r>
              <w:rPr>
                <w:spacing w:val="-10"/>
                <w:sz w:val="24"/>
              </w:rPr>
              <w:t>5</w:t>
            </w:r>
          </w:p>
        </w:tc>
        <w:tc>
          <w:tcPr>
            <w:tcW w:w="1309" w:type="dxa"/>
          </w:tcPr>
          <w:p>
            <w:pPr>
              <w:pStyle w:val="TableParagraph"/>
              <w:spacing w:before="7"/>
              <w:ind w:left="300"/>
              <w:rPr>
                <w:sz w:val="24"/>
              </w:rPr>
            </w:pPr>
            <w:r>
              <w:rPr>
                <w:spacing w:val="-2"/>
                <w:sz w:val="24"/>
              </w:rPr>
              <w:t>0.180741</w:t>
            </w:r>
          </w:p>
        </w:tc>
        <w:tc>
          <w:tcPr>
            <w:tcW w:w="709" w:type="dxa"/>
          </w:tcPr>
          <w:p>
            <w:pPr>
              <w:pStyle w:val="TableParagraph"/>
              <w:spacing w:before="7"/>
              <w:ind w:left="110"/>
              <w:rPr>
                <w:sz w:val="24"/>
              </w:rPr>
            </w:pPr>
            <w:r>
              <w:rPr>
                <w:spacing w:val="-10"/>
                <w:sz w:val="24"/>
              </w:rPr>
              <w:t>5</w:t>
            </w:r>
          </w:p>
        </w:tc>
        <w:tc>
          <w:tcPr>
            <w:tcW w:w="1553" w:type="dxa"/>
          </w:tcPr>
          <w:p>
            <w:pPr>
              <w:pStyle w:val="TableParagraph"/>
              <w:spacing w:before="7"/>
              <w:ind w:left="361"/>
              <w:rPr>
                <w:sz w:val="24"/>
              </w:rPr>
            </w:pPr>
            <w:r>
              <w:rPr>
                <w:spacing w:val="-2"/>
                <w:sz w:val="24"/>
              </w:rPr>
              <w:t>0.45185185</w:t>
            </w:r>
          </w:p>
        </w:tc>
        <w:tc>
          <w:tcPr>
            <w:tcW w:w="1223" w:type="dxa"/>
          </w:tcPr>
          <w:p>
            <w:pPr>
              <w:pStyle w:val="TableParagraph"/>
              <w:spacing w:before="7"/>
              <w:ind w:left="162"/>
              <w:rPr>
                <w:sz w:val="24"/>
              </w:rPr>
            </w:pPr>
            <w:r>
              <w:rPr>
                <w:spacing w:val="-2"/>
                <w:sz w:val="24"/>
              </w:rPr>
              <w:t>0.451852</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251.4815</w:t>
            </w:r>
          </w:p>
        </w:tc>
        <w:tc>
          <w:tcPr>
            <w:tcW w:w="1225" w:type="dxa"/>
          </w:tcPr>
          <w:p>
            <w:pPr>
              <w:pStyle w:val="TableParagraph"/>
              <w:spacing w:before="7"/>
              <w:ind w:left="217"/>
              <w:rPr>
                <w:sz w:val="24"/>
              </w:rPr>
            </w:pPr>
            <w:r>
              <w:rPr>
                <w:spacing w:val="-2"/>
                <w:sz w:val="24"/>
              </w:rPr>
              <w:t>0.251481</w:t>
            </w:r>
          </w:p>
        </w:tc>
        <w:tc>
          <w:tcPr>
            <w:tcW w:w="768" w:type="dxa"/>
          </w:tcPr>
          <w:p>
            <w:pPr>
              <w:pStyle w:val="TableParagraph"/>
              <w:spacing w:before="7"/>
              <w:ind w:left="108"/>
              <w:rPr>
                <w:sz w:val="24"/>
              </w:rPr>
            </w:pPr>
            <w:r>
              <w:rPr>
                <w:spacing w:val="-5"/>
                <w:sz w:val="24"/>
              </w:rPr>
              <w:t>10</w:t>
            </w:r>
          </w:p>
        </w:tc>
        <w:tc>
          <w:tcPr>
            <w:tcW w:w="1309" w:type="dxa"/>
          </w:tcPr>
          <w:p>
            <w:pPr>
              <w:pStyle w:val="TableParagraph"/>
              <w:spacing w:before="7"/>
              <w:ind w:left="300"/>
              <w:rPr>
                <w:sz w:val="24"/>
              </w:rPr>
            </w:pPr>
            <w:r>
              <w:rPr>
                <w:spacing w:val="-2"/>
                <w:sz w:val="24"/>
              </w:rPr>
              <w:t>0.432222</w:t>
            </w:r>
          </w:p>
        </w:tc>
        <w:tc>
          <w:tcPr>
            <w:tcW w:w="709" w:type="dxa"/>
          </w:tcPr>
          <w:p>
            <w:pPr>
              <w:pStyle w:val="TableParagraph"/>
              <w:spacing w:before="7"/>
              <w:ind w:left="110"/>
              <w:rPr>
                <w:sz w:val="24"/>
              </w:rPr>
            </w:pPr>
            <w:r>
              <w:rPr>
                <w:spacing w:val="-10"/>
                <w:sz w:val="24"/>
              </w:rPr>
              <w:t>5</w:t>
            </w:r>
          </w:p>
        </w:tc>
        <w:tc>
          <w:tcPr>
            <w:tcW w:w="1553" w:type="dxa"/>
          </w:tcPr>
          <w:p>
            <w:pPr>
              <w:pStyle w:val="TableParagraph"/>
              <w:spacing w:before="7"/>
              <w:ind w:left="361"/>
              <w:rPr>
                <w:sz w:val="24"/>
              </w:rPr>
            </w:pPr>
            <w:r>
              <w:rPr>
                <w:spacing w:val="-2"/>
                <w:sz w:val="24"/>
              </w:rPr>
              <w:t>1.08055556</w:t>
            </w:r>
          </w:p>
        </w:tc>
        <w:tc>
          <w:tcPr>
            <w:tcW w:w="1223" w:type="dxa"/>
          </w:tcPr>
          <w:p>
            <w:pPr>
              <w:pStyle w:val="TableParagraph"/>
              <w:spacing w:before="7"/>
              <w:ind w:left="162"/>
              <w:rPr>
                <w:sz w:val="24"/>
              </w:rPr>
            </w:pPr>
            <w:r>
              <w:rPr>
                <w:spacing w:val="-2"/>
                <w:sz w:val="24"/>
              </w:rPr>
              <w:t>1.532407</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307.037</w:t>
            </w:r>
          </w:p>
        </w:tc>
        <w:tc>
          <w:tcPr>
            <w:tcW w:w="1225" w:type="dxa"/>
          </w:tcPr>
          <w:p>
            <w:pPr>
              <w:pStyle w:val="TableParagraph"/>
              <w:spacing w:before="7"/>
              <w:ind w:left="217"/>
              <w:rPr>
                <w:sz w:val="24"/>
              </w:rPr>
            </w:pPr>
            <w:r>
              <w:rPr>
                <w:spacing w:val="-2"/>
                <w:sz w:val="24"/>
              </w:rPr>
              <w:t>0.307037</w:t>
            </w:r>
          </w:p>
        </w:tc>
        <w:tc>
          <w:tcPr>
            <w:tcW w:w="768" w:type="dxa"/>
          </w:tcPr>
          <w:p>
            <w:pPr>
              <w:pStyle w:val="TableParagraph"/>
              <w:spacing w:before="7"/>
              <w:ind w:left="108"/>
              <w:rPr>
                <w:sz w:val="24"/>
              </w:rPr>
            </w:pPr>
            <w:r>
              <w:rPr>
                <w:spacing w:val="-5"/>
                <w:sz w:val="24"/>
              </w:rPr>
              <w:t>20</w:t>
            </w:r>
          </w:p>
        </w:tc>
        <w:tc>
          <w:tcPr>
            <w:tcW w:w="1309" w:type="dxa"/>
          </w:tcPr>
          <w:p>
            <w:pPr>
              <w:pStyle w:val="TableParagraph"/>
              <w:spacing w:before="7"/>
              <w:ind w:left="300"/>
              <w:rPr>
                <w:sz w:val="24"/>
              </w:rPr>
            </w:pPr>
            <w:r>
              <w:rPr>
                <w:spacing w:val="-2"/>
                <w:sz w:val="24"/>
              </w:rPr>
              <w:t>0.558519</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2.79259259</w:t>
            </w:r>
          </w:p>
        </w:tc>
        <w:tc>
          <w:tcPr>
            <w:tcW w:w="1223" w:type="dxa"/>
          </w:tcPr>
          <w:p>
            <w:pPr>
              <w:pStyle w:val="TableParagraph"/>
              <w:spacing w:before="7"/>
              <w:ind w:left="162"/>
              <w:rPr>
                <w:sz w:val="24"/>
              </w:rPr>
            </w:pPr>
            <w:r>
              <w:rPr>
                <w:spacing w:val="-2"/>
                <w:sz w:val="24"/>
              </w:rPr>
              <w:t>4.325</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312.5926</w:t>
            </w:r>
          </w:p>
        </w:tc>
        <w:tc>
          <w:tcPr>
            <w:tcW w:w="1225" w:type="dxa"/>
          </w:tcPr>
          <w:p>
            <w:pPr>
              <w:pStyle w:val="TableParagraph"/>
              <w:spacing w:before="7"/>
              <w:ind w:left="217"/>
              <w:rPr>
                <w:sz w:val="24"/>
              </w:rPr>
            </w:pPr>
            <w:r>
              <w:rPr>
                <w:spacing w:val="-2"/>
                <w:sz w:val="24"/>
              </w:rPr>
              <w:t>0.312593</w:t>
            </w:r>
          </w:p>
        </w:tc>
        <w:tc>
          <w:tcPr>
            <w:tcW w:w="768" w:type="dxa"/>
          </w:tcPr>
          <w:p>
            <w:pPr>
              <w:pStyle w:val="TableParagraph"/>
              <w:spacing w:before="7"/>
              <w:ind w:left="108"/>
              <w:rPr>
                <w:sz w:val="24"/>
              </w:rPr>
            </w:pPr>
            <w:r>
              <w:rPr>
                <w:spacing w:val="-5"/>
                <w:sz w:val="24"/>
              </w:rPr>
              <w:t>30</w:t>
            </w:r>
          </w:p>
        </w:tc>
        <w:tc>
          <w:tcPr>
            <w:tcW w:w="1309" w:type="dxa"/>
          </w:tcPr>
          <w:p>
            <w:pPr>
              <w:pStyle w:val="TableParagraph"/>
              <w:spacing w:before="7"/>
              <w:ind w:left="300"/>
              <w:rPr>
                <w:sz w:val="24"/>
              </w:rPr>
            </w:pPr>
            <w:r>
              <w:rPr>
                <w:spacing w:val="-2"/>
                <w:sz w:val="24"/>
              </w:rPr>
              <w:t>0.61963</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3.09814815</w:t>
            </w:r>
          </w:p>
        </w:tc>
        <w:tc>
          <w:tcPr>
            <w:tcW w:w="1223" w:type="dxa"/>
          </w:tcPr>
          <w:p>
            <w:pPr>
              <w:pStyle w:val="TableParagraph"/>
              <w:spacing w:before="7"/>
              <w:ind w:left="162"/>
              <w:rPr>
                <w:sz w:val="24"/>
              </w:rPr>
            </w:pPr>
            <w:r>
              <w:rPr>
                <w:spacing w:val="-2"/>
                <w:sz w:val="24"/>
              </w:rPr>
              <w:t>7.423148</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316.6667</w:t>
            </w:r>
          </w:p>
        </w:tc>
        <w:tc>
          <w:tcPr>
            <w:tcW w:w="1225" w:type="dxa"/>
          </w:tcPr>
          <w:p>
            <w:pPr>
              <w:pStyle w:val="TableParagraph"/>
              <w:spacing w:before="7"/>
              <w:ind w:left="217"/>
              <w:rPr>
                <w:sz w:val="24"/>
              </w:rPr>
            </w:pPr>
            <w:r>
              <w:rPr>
                <w:spacing w:val="-2"/>
                <w:sz w:val="24"/>
              </w:rPr>
              <w:t>0.316667</w:t>
            </w:r>
          </w:p>
        </w:tc>
        <w:tc>
          <w:tcPr>
            <w:tcW w:w="768" w:type="dxa"/>
          </w:tcPr>
          <w:p>
            <w:pPr>
              <w:pStyle w:val="TableParagraph"/>
              <w:spacing w:before="7"/>
              <w:ind w:left="108"/>
              <w:rPr>
                <w:sz w:val="24"/>
              </w:rPr>
            </w:pPr>
            <w:r>
              <w:rPr>
                <w:spacing w:val="-5"/>
                <w:sz w:val="24"/>
              </w:rPr>
              <w:t>40</w:t>
            </w:r>
          </w:p>
        </w:tc>
        <w:tc>
          <w:tcPr>
            <w:tcW w:w="1309" w:type="dxa"/>
          </w:tcPr>
          <w:p>
            <w:pPr>
              <w:pStyle w:val="TableParagraph"/>
              <w:spacing w:before="7"/>
              <w:ind w:left="300"/>
              <w:rPr>
                <w:sz w:val="24"/>
              </w:rPr>
            </w:pPr>
            <w:r>
              <w:rPr>
                <w:spacing w:val="-2"/>
                <w:sz w:val="24"/>
              </w:rPr>
              <w:t>0.629259</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3.1462963</w:t>
            </w:r>
          </w:p>
        </w:tc>
        <w:tc>
          <w:tcPr>
            <w:tcW w:w="1223" w:type="dxa"/>
          </w:tcPr>
          <w:p>
            <w:pPr>
              <w:pStyle w:val="TableParagraph"/>
              <w:spacing w:before="7"/>
              <w:ind w:left="162"/>
              <w:rPr>
                <w:sz w:val="24"/>
              </w:rPr>
            </w:pPr>
            <w:r>
              <w:rPr>
                <w:spacing w:val="-2"/>
                <w:sz w:val="24"/>
              </w:rPr>
              <w:t>10.56944</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340.3704</w:t>
            </w:r>
          </w:p>
        </w:tc>
        <w:tc>
          <w:tcPr>
            <w:tcW w:w="1225" w:type="dxa"/>
          </w:tcPr>
          <w:p>
            <w:pPr>
              <w:pStyle w:val="TableParagraph"/>
              <w:spacing w:before="7"/>
              <w:ind w:left="217"/>
              <w:rPr>
                <w:sz w:val="24"/>
              </w:rPr>
            </w:pPr>
            <w:r>
              <w:rPr>
                <w:spacing w:val="-2"/>
                <w:sz w:val="24"/>
              </w:rPr>
              <w:t>0.34037</w:t>
            </w:r>
          </w:p>
        </w:tc>
        <w:tc>
          <w:tcPr>
            <w:tcW w:w="768" w:type="dxa"/>
          </w:tcPr>
          <w:p>
            <w:pPr>
              <w:pStyle w:val="TableParagraph"/>
              <w:spacing w:before="7"/>
              <w:ind w:left="108"/>
              <w:rPr>
                <w:sz w:val="24"/>
              </w:rPr>
            </w:pPr>
            <w:r>
              <w:rPr>
                <w:spacing w:val="-5"/>
                <w:sz w:val="24"/>
              </w:rPr>
              <w:t>50</w:t>
            </w:r>
          </w:p>
        </w:tc>
        <w:tc>
          <w:tcPr>
            <w:tcW w:w="1309" w:type="dxa"/>
          </w:tcPr>
          <w:p>
            <w:pPr>
              <w:pStyle w:val="TableParagraph"/>
              <w:spacing w:before="7"/>
              <w:ind w:left="300"/>
              <w:rPr>
                <w:sz w:val="24"/>
              </w:rPr>
            </w:pPr>
            <w:r>
              <w:rPr>
                <w:spacing w:val="-2"/>
                <w:sz w:val="24"/>
              </w:rPr>
              <w:t>0.657037</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3.28518519</w:t>
            </w:r>
          </w:p>
        </w:tc>
        <w:tc>
          <w:tcPr>
            <w:tcW w:w="1223" w:type="dxa"/>
          </w:tcPr>
          <w:p>
            <w:pPr>
              <w:pStyle w:val="TableParagraph"/>
              <w:spacing w:before="7"/>
              <w:ind w:left="162"/>
              <w:rPr>
                <w:sz w:val="24"/>
              </w:rPr>
            </w:pPr>
            <w:r>
              <w:rPr>
                <w:spacing w:val="-2"/>
                <w:sz w:val="24"/>
              </w:rPr>
              <w:t>13.85463</w:t>
            </w:r>
          </w:p>
        </w:tc>
        <w:tc>
          <w:tcPr>
            <w:tcW w:w="546" w:type="dxa"/>
          </w:tcPr>
          <w:p>
            <w:pPr>
              <w:pStyle w:val="TableParagraph"/>
              <w:spacing w:before="7"/>
              <w:ind w:left="55"/>
              <w:rPr>
                <w:sz w:val="24"/>
              </w:rPr>
            </w:pPr>
            <w:r>
              <w:rPr>
                <w:spacing w:val="-10"/>
                <w:sz w:val="24"/>
              </w:rPr>
              <w:t>F</w:t>
            </w:r>
          </w:p>
        </w:tc>
        <w:tc>
          <w:tcPr>
            <w:tcW w:w="1309" w:type="dxa"/>
          </w:tcPr>
          <w:p>
            <w:pPr>
              <w:pStyle w:val="TableParagraph"/>
              <w:tabs>
                <w:tab w:pos="1166" w:val="left" w:leader="none"/>
              </w:tabs>
              <w:spacing w:before="7"/>
              <w:ind w:right="-116"/>
              <w:jc w:val="right"/>
              <w:rPr>
                <w:sz w:val="24"/>
              </w:rPr>
            </w:pPr>
            <w:r>
              <w:rPr>
                <w:color w:val="000000"/>
                <w:spacing w:val="48"/>
                <w:sz w:val="24"/>
                <w:highlight w:val="red"/>
              </w:rPr>
              <w:t> </w:t>
            </w:r>
            <w:r>
              <w:rPr>
                <w:color w:val="000000"/>
                <w:spacing w:val="-2"/>
                <w:sz w:val="24"/>
                <w:highlight w:val="red"/>
              </w:rPr>
              <w:t>71.0663</w:t>
            </w:r>
            <w:r>
              <w:rPr>
                <w:color w:val="000000"/>
                <w:sz w:val="24"/>
                <w:highlight w:val="red"/>
              </w:rPr>
              <w:tab/>
            </w:r>
          </w:p>
        </w:tc>
      </w:tr>
      <w:tr>
        <w:trPr>
          <w:trHeight w:val="300" w:hRule="atLeast"/>
        </w:trPr>
        <w:tc>
          <w:tcPr>
            <w:tcW w:w="1167" w:type="dxa"/>
          </w:tcPr>
          <w:p>
            <w:pPr>
              <w:pStyle w:val="TableParagraph"/>
              <w:spacing w:before="7"/>
              <w:ind w:left="50"/>
              <w:rPr>
                <w:sz w:val="24"/>
              </w:rPr>
            </w:pPr>
            <w:r>
              <w:rPr>
                <w:spacing w:val="-2"/>
                <w:sz w:val="24"/>
              </w:rPr>
              <w:t>344.4444</w:t>
            </w:r>
          </w:p>
        </w:tc>
        <w:tc>
          <w:tcPr>
            <w:tcW w:w="1225" w:type="dxa"/>
          </w:tcPr>
          <w:p>
            <w:pPr>
              <w:pStyle w:val="TableParagraph"/>
              <w:spacing w:before="7"/>
              <w:ind w:left="217"/>
              <w:rPr>
                <w:sz w:val="24"/>
              </w:rPr>
            </w:pPr>
            <w:r>
              <w:rPr>
                <w:spacing w:val="-2"/>
                <w:sz w:val="24"/>
              </w:rPr>
              <w:t>0.344444</w:t>
            </w:r>
          </w:p>
        </w:tc>
        <w:tc>
          <w:tcPr>
            <w:tcW w:w="768" w:type="dxa"/>
          </w:tcPr>
          <w:p>
            <w:pPr>
              <w:pStyle w:val="TableParagraph"/>
              <w:spacing w:before="7"/>
              <w:ind w:left="108"/>
              <w:rPr>
                <w:sz w:val="24"/>
              </w:rPr>
            </w:pPr>
            <w:r>
              <w:rPr>
                <w:spacing w:val="-5"/>
                <w:sz w:val="24"/>
              </w:rPr>
              <w:t>60</w:t>
            </w:r>
          </w:p>
        </w:tc>
        <w:tc>
          <w:tcPr>
            <w:tcW w:w="1309" w:type="dxa"/>
          </w:tcPr>
          <w:p>
            <w:pPr>
              <w:pStyle w:val="TableParagraph"/>
              <w:spacing w:before="7"/>
              <w:ind w:left="300"/>
              <w:rPr>
                <w:sz w:val="24"/>
              </w:rPr>
            </w:pPr>
            <w:r>
              <w:rPr>
                <w:spacing w:val="-2"/>
                <w:sz w:val="24"/>
              </w:rPr>
              <w:t>0.684815</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3.42407407</w:t>
            </w:r>
          </w:p>
        </w:tc>
        <w:tc>
          <w:tcPr>
            <w:tcW w:w="1223" w:type="dxa"/>
          </w:tcPr>
          <w:p>
            <w:pPr>
              <w:pStyle w:val="TableParagraph"/>
              <w:spacing w:before="7"/>
              <w:ind w:left="162"/>
              <w:rPr>
                <w:sz w:val="24"/>
              </w:rPr>
            </w:pPr>
            <w:r>
              <w:rPr>
                <w:spacing w:val="-2"/>
                <w:sz w:val="24"/>
              </w:rPr>
              <w:t>17.2787</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367.4074</w:t>
            </w:r>
          </w:p>
        </w:tc>
        <w:tc>
          <w:tcPr>
            <w:tcW w:w="1225" w:type="dxa"/>
          </w:tcPr>
          <w:p>
            <w:pPr>
              <w:pStyle w:val="TableParagraph"/>
              <w:spacing w:before="7"/>
              <w:ind w:left="217"/>
              <w:rPr>
                <w:sz w:val="24"/>
              </w:rPr>
            </w:pPr>
            <w:r>
              <w:rPr>
                <w:spacing w:val="-2"/>
                <w:sz w:val="24"/>
              </w:rPr>
              <w:t>0.367407</w:t>
            </w:r>
          </w:p>
        </w:tc>
        <w:tc>
          <w:tcPr>
            <w:tcW w:w="768" w:type="dxa"/>
          </w:tcPr>
          <w:p>
            <w:pPr>
              <w:pStyle w:val="TableParagraph"/>
              <w:spacing w:before="7"/>
              <w:ind w:left="108"/>
              <w:rPr>
                <w:sz w:val="24"/>
              </w:rPr>
            </w:pPr>
            <w:r>
              <w:rPr>
                <w:spacing w:val="-5"/>
                <w:sz w:val="24"/>
              </w:rPr>
              <w:t>70</w:t>
            </w:r>
          </w:p>
        </w:tc>
        <w:tc>
          <w:tcPr>
            <w:tcW w:w="1309" w:type="dxa"/>
          </w:tcPr>
          <w:p>
            <w:pPr>
              <w:pStyle w:val="TableParagraph"/>
              <w:spacing w:before="7"/>
              <w:ind w:left="300"/>
              <w:rPr>
                <w:sz w:val="24"/>
              </w:rPr>
            </w:pPr>
            <w:r>
              <w:rPr>
                <w:spacing w:val="-2"/>
                <w:sz w:val="24"/>
              </w:rPr>
              <w:t>0.711852</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3.55925926</w:t>
            </w:r>
          </w:p>
        </w:tc>
        <w:tc>
          <w:tcPr>
            <w:tcW w:w="1223" w:type="dxa"/>
          </w:tcPr>
          <w:p>
            <w:pPr>
              <w:pStyle w:val="TableParagraph"/>
              <w:spacing w:before="7"/>
              <w:ind w:left="162"/>
              <w:rPr>
                <w:sz w:val="24"/>
              </w:rPr>
            </w:pPr>
            <w:r>
              <w:rPr>
                <w:spacing w:val="-2"/>
                <w:sz w:val="24"/>
              </w:rPr>
              <w:t>20.83796</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409.6296</w:t>
            </w:r>
          </w:p>
        </w:tc>
        <w:tc>
          <w:tcPr>
            <w:tcW w:w="1225" w:type="dxa"/>
          </w:tcPr>
          <w:p>
            <w:pPr>
              <w:pStyle w:val="TableParagraph"/>
              <w:spacing w:before="7"/>
              <w:ind w:left="217"/>
              <w:rPr>
                <w:sz w:val="24"/>
              </w:rPr>
            </w:pPr>
            <w:r>
              <w:rPr>
                <w:spacing w:val="-2"/>
                <w:sz w:val="24"/>
              </w:rPr>
              <w:t>0.40963</w:t>
            </w:r>
          </w:p>
        </w:tc>
        <w:tc>
          <w:tcPr>
            <w:tcW w:w="768" w:type="dxa"/>
          </w:tcPr>
          <w:p>
            <w:pPr>
              <w:pStyle w:val="TableParagraph"/>
              <w:spacing w:before="7"/>
              <w:ind w:left="108"/>
              <w:rPr>
                <w:sz w:val="24"/>
              </w:rPr>
            </w:pPr>
            <w:r>
              <w:rPr>
                <w:spacing w:val="-5"/>
                <w:sz w:val="24"/>
              </w:rPr>
              <w:t>80</w:t>
            </w:r>
          </w:p>
        </w:tc>
        <w:tc>
          <w:tcPr>
            <w:tcW w:w="1309" w:type="dxa"/>
          </w:tcPr>
          <w:p>
            <w:pPr>
              <w:pStyle w:val="TableParagraph"/>
              <w:spacing w:before="7"/>
              <w:ind w:left="300"/>
              <w:rPr>
                <w:sz w:val="24"/>
              </w:rPr>
            </w:pPr>
            <w:r>
              <w:rPr>
                <w:spacing w:val="-2"/>
                <w:sz w:val="24"/>
              </w:rPr>
              <w:t>0.777037</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3.88518519</w:t>
            </w:r>
          </w:p>
        </w:tc>
        <w:tc>
          <w:tcPr>
            <w:tcW w:w="1223" w:type="dxa"/>
          </w:tcPr>
          <w:p>
            <w:pPr>
              <w:pStyle w:val="TableParagraph"/>
              <w:spacing w:before="7"/>
              <w:ind w:left="162"/>
              <w:rPr>
                <w:sz w:val="24"/>
              </w:rPr>
            </w:pPr>
            <w:r>
              <w:rPr>
                <w:spacing w:val="-2"/>
                <w:sz w:val="24"/>
              </w:rPr>
              <w:t>24.72315</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412.2222</w:t>
            </w:r>
          </w:p>
        </w:tc>
        <w:tc>
          <w:tcPr>
            <w:tcW w:w="1225" w:type="dxa"/>
          </w:tcPr>
          <w:p>
            <w:pPr>
              <w:pStyle w:val="TableParagraph"/>
              <w:spacing w:before="7"/>
              <w:ind w:left="217"/>
              <w:rPr>
                <w:sz w:val="24"/>
              </w:rPr>
            </w:pPr>
            <w:r>
              <w:rPr>
                <w:spacing w:val="-2"/>
                <w:sz w:val="24"/>
              </w:rPr>
              <w:t>0.412222</w:t>
            </w:r>
          </w:p>
        </w:tc>
        <w:tc>
          <w:tcPr>
            <w:tcW w:w="768" w:type="dxa"/>
          </w:tcPr>
          <w:p>
            <w:pPr>
              <w:pStyle w:val="TableParagraph"/>
              <w:spacing w:before="7"/>
              <w:ind w:left="108"/>
              <w:rPr>
                <w:sz w:val="24"/>
              </w:rPr>
            </w:pPr>
            <w:r>
              <w:rPr>
                <w:spacing w:val="-5"/>
                <w:sz w:val="24"/>
              </w:rPr>
              <w:t>90</w:t>
            </w:r>
          </w:p>
        </w:tc>
        <w:tc>
          <w:tcPr>
            <w:tcW w:w="1309" w:type="dxa"/>
          </w:tcPr>
          <w:p>
            <w:pPr>
              <w:pStyle w:val="TableParagraph"/>
              <w:spacing w:before="7"/>
              <w:ind w:left="300"/>
              <w:rPr>
                <w:sz w:val="24"/>
              </w:rPr>
            </w:pPr>
            <w:r>
              <w:rPr>
                <w:spacing w:val="-2"/>
                <w:sz w:val="24"/>
              </w:rPr>
              <w:t>0.821852</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4.10925926</w:t>
            </w:r>
          </w:p>
        </w:tc>
        <w:tc>
          <w:tcPr>
            <w:tcW w:w="1223" w:type="dxa"/>
          </w:tcPr>
          <w:p>
            <w:pPr>
              <w:pStyle w:val="TableParagraph"/>
              <w:spacing w:before="7"/>
              <w:ind w:left="162"/>
              <w:rPr>
                <w:sz w:val="24"/>
              </w:rPr>
            </w:pPr>
            <w:r>
              <w:rPr>
                <w:spacing w:val="-2"/>
                <w:sz w:val="24"/>
              </w:rPr>
              <w:t>28.83241</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430.7407</w:t>
            </w:r>
          </w:p>
        </w:tc>
        <w:tc>
          <w:tcPr>
            <w:tcW w:w="1225" w:type="dxa"/>
          </w:tcPr>
          <w:p>
            <w:pPr>
              <w:pStyle w:val="TableParagraph"/>
              <w:spacing w:before="7"/>
              <w:ind w:left="217"/>
              <w:rPr>
                <w:sz w:val="24"/>
              </w:rPr>
            </w:pPr>
            <w:r>
              <w:rPr>
                <w:spacing w:val="-2"/>
                <w:sz w:val="24"/>
              </w:rPr>
              <w:t>0.430741</w:t>
            </w:r>
          </w:p>
        </w:tc>
        <w:tc>
          <w:tcPr>
            <w:tcW w:w="768" w:type="dxa"/>
          </w:tcPr>
          <w:p>
            <w:pPr>
              <w:pStyle w:val="TableParagraph"/>
              <w:spacing w:before="7"/>
              <w:ind w:left="108"/>
              <w:rPr>
                <w:sz w:val="24"/>
              </w:rPr>
            </w:pPr>
            <w:r>
              <w:rPr>
                <w:spacing w:val="-5"/>
                <w:sz w:val="24"/>
              </w:rPr>
              <w:t>100</w:t>
            </w:r>
          </w:p>
        </w:tc>
        <w:tc>
          <w:tcPr>
            <w:tcW w:w="1309" w:type="dxa"/>
          </w:tcPr>
          <w:p>
            <w:pPr>
              <w:pStyle w:val="TableParagraph"/>
              <w:spacing w:before="7"/>
              <w:ind w:left="300"/>
              <w:rPr>
                <w:sz w:val="24"/>
              </w:rPr>
            </w:pPr>
            <w:r>
              <w:rPr>
                <w:spacing w:val="-2"/>
                <w:sz w:val="24"/>
              </w:rPr>
              <w:t>0.842963</w:t>
            </w:r>
          </w:p>
        </w:tc>
        <w:tc>
          <w:tcPr>
            <w:tcW w:w="709" w:type="dxa"/>
          </w:tcPr>
          <w:p>
            <w:pPr>
              <w:pStyle w:val="TableParagraph"/>
              <w:spacing w:before="7"/>
              <w:ind w:left="110"/>
              <w:rPr>
                <w:sz w:val="24"/>
              </w:rPr>
            </w:pPr>
            <w:r>
              <w:rPr>
                <w:spacing w:val="-5"/>
                <w:sz w:val="24"/>
              </w:rPr>
              <w:t>10</w:t>
            </w:r>
          </w:p>
        </w:tc>
        <w:tc>
          <w:tcPr>
            <w:tcW w:w="1553" w:type="dxa"/>
          </w:tcPr>
          <w:p>
            <w:pPr>
              <w:pStyle w:val="TableParagraph"/>
              <w:spacing w:before="7"/>
              <w:ind w:left="361"/>
              <w:rPr>
                <w:sz w:val="24"/>
              </w:rPr>
            </w:pPr>
            <w:r>
              <w:rPr>
                <w:spacing w:val="-2"/>
                <w:sz w:val="24"/>
              </w:rPr>
              <w:t>4.21481481</w:t>
            </w:r>
          </w:p>
        </w:tc>
        <w:tc>
          <w:tcPr>
            <w:tcW w:w="1223" w:type="dxa"/>
          </w:tcPr>
          <w:p>
            <w:pPr>
              <w:pStyle w:val="TableParagraph"/>
              <w:spacing w:before="7"/>
              <w:ind w:left="162"/>
              <w:rPr>
                <w:sz w:val="24"/>
              </w:rPr>
            </w:pPr>
            <w:r>
              <w:rPr>
                <w:spacing w:val="-2"/>
                <w:sz w:val="24"/>
              </w:rPr>
              <w:t>33.04722</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286" w:hRule="atLeast"/>
        </w:trPr>
        <w:tc>
          <w:tcPr>
            <w:tcW w:w="1167" w:type="dxa"/>
          </w:tcPr>
          <w:p>
            <w:pPr>
              <w:pStyle w:val="TableParagraph"/>
              <w:spacing w:line="260" w:lineRule="exact" w:before="7"/>
              <w:ind w:left="50"/>
              <w:rPr>
                <w:sz w:val="24"/>
              </w:rPr>
            </w:pPr>
            <w:r>
              <w:rPr>
                <w:spacing w:val="-2"/>
                <w:sz w:val="24"/>
              </w:rPr>
              <w:t>462.2222</w:t>
            </w:r>
          </w:p>
        </w:tc>
        <w:tc>
          <w:tcPr>
            <w:tcW w:w="1225" w:type="dxa"/>
          </w:tcPr>
          <w:p>
            <w:pPr>
              <w:pStyle w:val="TableParagraph"/>
              <w:spacing w:line="260" w:lineRule="exact" w:before="7"/>
              <w:ind w:left="217"/>
              <w:rPr>
                <w:sz w:val="24"/>
              </w:rPr>
            </w:pPr>
            <w:r>
              <w:rPr>
                <w:spacing w:val="-2"/>
                <w:sz w:val="24"/>
              </w:rPr>
              <w:t>0.462222</w:t>
            </w:r>
          </w:p>
        </w:tc>
        <w:tc>
          <w:tcPr>
            <w:tcW w:w="768" w:type="dxa"/>
          </w:tcPr>
          <w:p>
            <w:pPr>
              <w:pStyle w:val="TableParagraph"/>
              <w:spacing w:line="260" w:lineRule="exact" w:before="7"/>
              <w:ind w:left="108"/>
              <w:rPr>
                <w:sz w:val="24"/>
              </w:rPr>
            </w:pPr>
            <w:r>
              <w:rPr>
                <w:spacing w:val="-5"/>
                <w:sz w:val="24"/>
              </w:rPr>
              <w:t>110</w:t>
            </w:r>
          </w:p>
        </w:tc>
        <w:tc>
          <w:tcPr>
            <w:tcW w:w="1309" w:type="dxa"/>
          </w:tcPr>
          <w:p>
            <w:pPr>
              <w:pStyle w:val="TableParagraph"/>
              <w:spacing w:line="260" w:lineRule="exact" w:before="7"/>
              <w:ind w:left="300"/>
              <w:rPr>
                <w:sz w:val="24"/>
              </w:rPr>
            </w:pPr>
            <w:r>
              <w:rPr>
                <w:spacing w:val="-2"/>
                <w:sz w:val="24"/>
              </w:rPr>
              <w:t>0.892963</w:t>
            </w:r>
          </w:p>
        </w:tc>
        <w:tc>
          <w:tcPr>
            <w:tcW w:w="709" w:type="dxa"/>
          </w:tcPr>
          <w:p>
            <w:pPr>
              <w:pStyle w:val="TableParagraph"/>
              <w:spacing w:line="260" w:lineRule="exact" w:before="7"/>
              <w:ind w:left="110"/>
              <w:rPr>
                <w:sz w:val="24"/>
              </w:rPr>
            </w:pPr>
            <w:r>
              <w:rPr>
                <w:spacing w:val="-5"/>
                <w:sz w:val="24"/>
              </w:rPr>
              <w:t>10</w:t>
            </w:r>
          </w:p>
        </w:tc>
        <w:tc>
          <w:tcPr>
            <w:tcW w:w="1553" w:type="dxa"/>
          </w:tcPr>
          <w:p>
            <w:pPr>
              <w:pStyle w:val="TableParagraph"/>
              <w:spacing w:line="260" w:lineRule="exact" w:before="7"/>
              <w:ind w:left="361"/>
              <w:rPr>
                <w:sz w:val="24"/>
              </w:rPr>
            </w:pPr>
            <w:r>
              <w:rPr>
                <w:spacing w:val="-2"/>
                <w:sz w:val="24"/>
              </w:rPr>
              <w:t>4.46481481</w:t>
            </w:r>
          </w:p>
        </w:tc>
        <w:tc>
          <w:tcPr>
            <w:tcW w:w="1223" w:type="dxa"/>
          </w:tcPr>
          <w:p>
            <w:pPr>
              <w:pStyle w:val="TableParagraph"/>
              <w:spacing w:line="260" w:lineRule="exact" w:before="7"/>
              <w:ind w:left="162"/>
              <w:rPr>
                <w:sz w:val="24"/>
              </w:rPr>
            </w:pPr>
            <w:r>
              <w:rPr>
                <w:spacing w:val="-2"/>
                <w:sz w:val="24"/>
              </w:rPr>
              <w:t>37.51204</w:t>
            </w:r>
          </w:p>
        </w:tc>
        <w:tc>
          <w:tcPr>
            <w:tcW w:w="546" w:type="dxa"/>
          </w:tcPr>
          <w:p>
            <w:pPr>
              <w:pStyle w:val="TableParagraph"/>
              <w:spacing w:line="240" w:lineRule="auto"/>
              <w:rPr>
                <w:sz w:val="20"/>
              </w:rPr>
            </w:pPr>
          </w:p>
        </w:tc>
        <w:tc>
          <w:tcPr>
            <w:tcW w:w="1309" w:type="dxa"/>
          </w:tcPr>
          <w:p>
            <w:pPr>
              <w:pStyle w:val="TableParagraph"/>
              <w:spacing w:line="240" w:lineRule="auto"/>
              <w:rPr>
                <w:sz w:val="20"/>
              </w:rPr>
            </w:pPr>
          </w:p>
        </w:tc>
      </w:tr>
      <w:tr>
        <w:trPr>
          <w:trHeight w:val="1067" w:hRule="atLeast"/>
        </w:trPr>
        <w:tc>
          <w:tcPr>
            <w:tcW w:w="1167" w:type="dxa"/>
          </w:tcPr>
          <w:p>
            <w:pPr>
              <w:pStyle w:val="TableParagraph"/>
              <w:spacing w:line="240" w:lineRule="auto" w:before="20"/>
              <w:ind w:left="50"/>
              <w:rPr>
                <w:sz w:val="24"/>
              </w:rPr>
            </w:pPr>
            <w:r>
              <w:rPr>
                <w:spacing w:val="-2"/>
                <w:sz w:val="24"/>
              </w:rPr>
              <w:t>475.5556</w:t>
            </w:r>
          </w:p>
        </w:tc>
        <w:tc>
          <w:tcPr>
            <w:tcW w:w="1225" w:type="dxa"/>
          </w:tcPr>
          <w:p>
            <w:pPr>
              <w:pStyle w:val="TableParagraph"/>
              <w:spacing w:line="240" w:lineRule="auto" w:before="20"/>
              <w:ind w:left="217"/>
              <w:rPr>
                <w:sz w:val="24"/>
              </w:rPr>
            </w:pPr>
            <w:r>
              <w:rPr>
                <w:spacing w:val="-2"/>
                <w:sz w:val="24"/>
              </w:rPr>
              <w:t>0.475556</w:t>
            </w:r>
          </w:p>
        </w:tc>
        <w:tc>
          <w:tcPr>
            <w:tcW w:w="768" w:type="dxa"/>
          </w:tcPr>
          <w:p>
            <w:pPr>
              <w:pStyle w:val="TableParagraph"/>
              <w:spacing w:line="240" w:lineRule="auto" w:before="20"/>
              <w:ind w:left="108"/>
              <w:rPr>
                <w:sz w:val="24"/>
              </w:rPr>
            </w:pPr>
            <w:r>
              <w:rPr>
                <w:spacing w:val="-5"/>
                <w:sz w:val="24"/>
              </w:rPr>
              <w:t>120</w:t>
            </w:r>
          </w:p>
        </w:tc>
        <w:tc>
          <w:tcPr>
            <w:tcW w:w="1309" w:type="dxa"/>
          </w:tcPr>
          <w:p>
            <w:pPr>
              <w:pStyle w:val="TableParagraph"/>
              <w:spacing w:line="240" w:lineRule="auto" w:before="20"/>
              <w:ind w:left="300"/>
              <w:rPr>
                <w:sz w:val="24"/>
              </w:rPr>
            </w:pPr>
            <w:r>
              <w:rPr>
                <w:spacing w:val="-2"/>
                <w:sz w:val="24"/>
              </w:rPr>
              <w:t>0.937778</w:t>
            </w:r>
          </w:p>
        </w:tc>
        <w:tc>
          <w:tcPr>
            <w:tcW w:w="709" w:type="dxa"/>
          </w:tcPr>
          <w:p>
            <w:pPr>
              <w:pStyle w:val="TableParagraph"/>
              <w:spacing w:line="240" w:lineRule="auto" w:before="20"/>
              <w:ind w:left="110"/>
              <w:rPr>
                <w:sz w:val="24"/>
              </w:rPr>
            </w:pPr>
            <w:r>
              <w:rPr>
                <w:spacing w:val="-5"/>
                <w:sz w:val="24"/>
              </w:rPr>
              <w:t>10</w:t>
            </w:r>
          </w:p>
        </w:tc>
        <w:tc>
          <w:tcPr>
            <w:tcW w:w="1553" w:type="dxa"/>
          </w:tcPr>
          <w:p>
            <w:pPr>
              <w:pStyle w:val="TableParagraph"/>
              <w:spacing w:line="240" w:lineRule="auto" w:before="20"/>
              <w:ind w:left="361"/>
              <w:rPr>
                <w:sz w:val="24"/>
              </w:rPr>
            </w:pPr>
            <w:r>
              <w:rPr>
                <w:spacing w:val="-2"/>
                <w:sz w:val="24"/>
              </w:rPr>
              <w:t>4.68888889</w:t>
            </w:r>
          </w:p>
        </w:tc>
        <w:tc>
          <w:tcPr>
            <w:tcW w:w="1223" w:type="dxa"/>
          </w:tcPr>
          <w:p>
            <w:pPr>
              <w:pStyle w:val="TableParagraph"/>
              <w:spacing w:line="240" w:lineRule="auto" w:before="20"/>
              <w:ind w:left="54"/>
              <w:rPr>
                <w:sz w:val="24"/>
              </w:rPr>
            </w:pPr>
            <w:r>
              <w:rPr>
                <w:color w:val="000000"/>
                <w:spacing w:val="48"/>
                <w:sz w:val="24"/>
                <w:highlight w:val="yellow"/>
              </w:rPr>
              <w:t> </w:t>
            </w:r>
            <w:r>
              <w:rPr>
                <w:color w:val="000000"/>
                <w:spacing w:val="-2"/>
                <w:sz w:val="24"/>
                <w:highlight w:val="yellow"/>
              </w:rPr>
              <w:t>42.20093</w:t>
            </w:r>
            <w:r>
              <w:rPr>
                <w:color w:val="000000"/>
                <w:spacing w:val="80"/>
                <w:sz w:val="24"/>
                <w:highlight w:val="yellow"/>
              </w:rPr>
              <w:t> </w:t>
            </w:r>
          </w:p>
        </w:tc>
        <w:tc>
          <w:tcPr>
            <w:tcW w:w="546" w:type="dxa"/>
          </w:tcPr>
          <w:p>
            <w:pPr>
              <w:pStyle w:val="TableParagraph"/>
              <w:spacing w:line="240" w:lineRule="auto"/>
              <w:rPr>
                <w:sz w:val="24"/>
              </w:rPr>
            </w:pPr>
          </w:p>
        </w:tc>
        <w:tc>
          <w:tcPr>
            <w:tcW w:w="1309" w:type="dxa"/>
          </w:tcPr>
          <w:p>
            <w:pPr>
              <w:pStyle w:val="TableParagraph"/>
              <w:spacing w:line="240" w:lineRule="auto"/>
              <w:rPr>
                <w:sz w:val="24"/>
              </w:rPr>
            </w:pPr>
          </w:p>
        </w:tc>
      </w:tr>
      <w:tr>
        <w:trPr>
          <w:trHeight w:val="1046" w:hRule="atLeast"/>
        </w:trPr>
        <w:tc>
          <w:tcPr>
            <w:tcW w:w="1167" w:type="dxa"/>
          </w:tcPr>
          <w:p>
            <w:pPr>
              <w:pStyle w:val="TableParagraph"/>
              <w:spacing w:line="240" w:lineRule="auto"/>
              <w:rPr>
                <w:b/>
                <w:sz w:val="24"/>
              </w:rPr>
            </w:pPr>
          </w:p>
          <w:p>
            <w:pPr>
              <w:pStyle w:val="TableParagraph"/>
              <w:spacing w:line="240" w:lineRule="auto" w:before="201"/>
              <w:rPr>
                <w:b/>
                <w:sz w:val="24"/>
              </w:rPr>
            </w:pPr>
          </w:p>
          <w:p>
            <w:pPr>
              <w:pStyle w:val="TableParagraph"/>
              <w:ind w:left="50"/>
              <w:rPr>
                <w:sz w:val="24"/>
              </w:rPr>
            </w:pPr>
            <w:r>
              <w:rPr>
                <w:spacing w:val="-10"/>
                <w:sz w:val="24"/>
              </w:rPr>
              <w:t>C</w:t>
            </w:r>
          </w:p>
        </w:tc>
        <w:tc>
          <w:tcPr>
            <w:tcW w:w="1225" w:type="dxa"/>
          </w:tcPr>
          <w:p>
            <w:pPr>
              <w:pStyle w:val="TableParagraph"/>
              <w:spacing w:line="240" w:lineRule="auto"/>
              <w:rPr>
                <w:sz w:val="24"/>
              </w:rPr>
            </w:pPr>
          </w:p>
        </w:tc>
        <w:tc>
          <w:tcPr>
            <w:tcW w:w="768" w:type="dxa"/>
          </w:tcPr>
          <w:p>
            <w:pPr>
              <w:pStyle w:val="TableParagraph"/>
              <w:spacing w:line="240" w:lineRule="auto"/>
              <w:rPr>
                <w:sz w:val="24"/>
              </w:rPr>
            </w:pPr>
          </w:p>
        </w:tc>
        <w:tc>
          <w:tcPr>
            <w:tcW w:w="1309" w:type="dxa"/>
          </w:tcPr>
          <w:p>
            <w:pPr>
              <w:pStyle w:val="TableParagraph"/>
              <w:spacing w:line="240" w:lineRule="auto"/>
              <w:rPr>
                <w:sz w:val="24"/>
              </w:rPr>
            </w:pPr>
          </w:p>
        </w:tc>
        <w:tc>
          <w:tcPr>
            <w:tcW w:w="709" w:type="dxa"/>
          </w:tcPr>
          <w:p>
            <w:pPr>
              <w:pStyle w:val="TableParagraph"/>
              <w:spacing w:line="240" w:lineRule="auto"/>
              <w:rPr>
                <w:sz w:val="24"/>
              </w:rPr>
            </w:pPr>
          </w:p>
        </w:tc>
        <w:tc>
          <w:tcPr>
            <w:tcW w:w="1553" w:type="dxa"/>
          </w:tcPr>
          <w:p>
            <w:pPr>
              <w:pStyle w:val="TableParagraph"/>
              <w:spacing w:line="240" w:lineRule="auto"/>
              <w:rPr>
                <w:sz w:val="24"/>
              </w:rPr>
            </w:pPr>
          </w:p>
        </w:tc>
        <w:tc>
          <w:tcPr>
            <w:tcW w:w="1223" w:type="dxa"/>
          </w:tcPr>
          <w:p>
            <w:pPr>
              <w:pStyle w:val="TableParagraph"/>
              <w:spacing w:line="240" w:lineRule="auto"/>
              <w:rPr>
                <w:sz w:val="24"/>
              </w:rPr>
            </w:pPr>
          </w:p>
        </w:tc>
        <w:tc>
          <w:tcPr>
            <w:tcW w:w="546" w:type="dxa"/>
          </w:tcPr>
          <w:p>
            <w:pPr>
              <w:pStyle w:val="TableParagraph"/>
              <w:spacing w:line="240" w:lineRule="auto"/>
              <w:rPr>
                <w:sz w:val="24"/>
              </w:rPr>
            </w:pPr>
          </w:p>
        </w:tc>
        <w:tc>
          <w:tcPr>
            <w:tcW w:w="1309" w:type="dxa"/>
          </w:tcPr>
          <w:p>
            <w:pPr>
              <w:pStyle w:val="TableParagraph"/>
              <w:spacing w:line="240" w:lineRule="auto"/>
              <w:rPr>
                <w:sz w:val="24"/>
              </w:rPr>
            </w:pPr>
          </w:p>
        </w:tc>
      </w:tr>
      <w:tr>
        <w:trPr>
          <w:trHeight w:val="300" w:hRule="atLeast"/>
        </w:trPr>
        <w:tc>
          <w:tcPr>
            <w:tcW w:w="1167" w:type="dxa"/>
          </w:tcPr>
          <w:p>
            <w:pPr>
              <w:pStyle w:val="TableParagraph"/>
              <w:spacing w:before="7"/>
              <w:ind w:left="50"/>
              <w:rPr>
                <w:sz w:val="24"/>
              </w:rPr>
            </w:pPr>
            <w:r>
              <w:rPr>
                <w:spacing w:val="-10"/>
                <w:sz w:val="24"/>
              </w:rPr>
              <w:t>0</w:t>
            </w:r>
          </w:p>
        </w:tc>
        <w:tc>
          <w:tcPr>
            <w:tcW w:w="1225" w:type="dxa"/>
          </w:tcPr>
          <w:p>
            <w:pPr>
              <w:pStyle w:val="TableParagraph"/>
              <w:spacing w:before="7"/>
              <w:ind w:left="217"/>
              <w:rPr>
                <w:sz w:val="24"/>
              </w:rPr>
            </w:pPr>
            <w:r>
              <w:rPr>
                <w:spacing w:val="-10"/>
                <w:sz w:val="24"/>
              </w:rPr>
              <w:t>0</w:t>
            </w:r>
          </w:p>
        </w:tc>
        <w:tc>
          <w:tcPr>
            <w:tcW w:w="768" w:type="dxa"/>
          </w:tcPr>
          <w:p>
            <w:pPr>
              <w:pStyle w:val="TableParagraph"/>
              <w:spacing w:before="7"/>
              <w:ind w:left="108"/>
              <w:rPr>
                <w:sz w:val="24"/>
              </w:rPr>
            </w:pPr>
            <w:r>
              <w:rPr>
                <w:spacing w:val="-10"/>
                <w:sz w:val="24"/>
              </w:rPr>
              <w:t>0</w:t>
            </w:r>
          </w:p>
        </w:tc>
        <w:tc>
          <w:tcPr>
            <w:tcW w:w="1309" w:type="dxa"/>
          </w:tcPr>
          <w:p>
            <w:pPr>
              <w:pStyle w:val="TableParagraph"/>
              <w:spacing w:before="7"/>
              <w:ind w:left="300"/>
              <w:rPr>
                <w:sz w:val="24"/>
              </w:rPr>
            </w:pPr>
            <w:r>
              <w:rPr>
                <w:spacing w:val="-10"/>
                <w:sz w:val="24"/>
              </w:rPr>
              <w:t>0</w:t>
            </w:r>
          </w:p>
        </w:tc>
        <w:tc>
          <w:tcPr>
            <w:tcW w:w="709" w:type="dxa"/>
          </w:tcPr>
          <w:p>
            <w:pPr>
              <w:pStyle w:val="TableParagraph"/>
              <w:spacing w:before="7"/>
              <w:ind w:left="110"/>
              <w:rPr>
                <w:sz w:val="24"/>
              </w:rPr>
            </w:pPr>
            <w:r>
              <w:rPr>
                <w:spacing w:val="-10"/>
                <w:sz w:val="24"/>
              </w:rPr>
              <w:t>0</w:t>
            </w:r>
          </w:p>
        </w:tc>
        <w:tc>
          <w:tcPr>
            <w:tcW w:w="1553" w:type="dxa"/>
          </w:tcPr>
          <w:p>
            <w:pPr>
              <w:pStyle w:val="TableParagraph"/>
              <w:spacing w:before="7"/>
              <w:ind w:left="361"/>
              <w:rPr>
                <w:sz w:val="24"/>
              </w:rPr>
            </w:pPr>
            <w:r>
              <w:rPr>
                <w:spacing w:val="-10"/>
                <w:sz w:val="24"/>
              </w:rPr>
              <w:t>0</w:t>
            </w:r>
          </w:p>
        </w:tc>
        <w:tc>
          <w:tcPr>
            <w:tcW w:w="1223" w:type="dxa"/>
          </w:tcPr>
          <w:p>
            <w:pPr>
              <w:pStyle w:val="TableParagraph"/>
              <w:spacing w:before="7"/>
              <w:ind w:left="162"/>
              <w:rPr>
                <w:sz w:val="24"/>
              </w:rPr>
            </w:pPr>
            <w:r>
              <w:rPr>
                <w:spacing w:val="-10"/>
                <w:sz w:val="24"/>
              </w:rPr>
              <w:t>0</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299" w:hRule="atLeast"/>
        </w:trPr>
        <w:tc>
          <w:tcPr>
            <w:tcW w:w="1167" w:type="dxa"/>
          </w:tcPr>
          <w:p>
            <w:pPr>
              <w:pStyle w:val="TableParagraph"/>
              <w:spacing w:before="7"/>
              <w:ind w:left="50"/>
              <w:rPr>
                <w:sz w:val="24"/>
              </w:rPr>
            </w:pPr>
            <w:r>
              <w:rPr>
                <w:spacing w:val="-2"/>
                <w:sz w:val="24"/>
              </w:rPr>
              <w:t>77.03704</w:t>
            </w:r>
          </w:p>
        </w:tc>
        <w:tc>
          <w:tcPr>
            <w:tcW w:w="1225" w:type="dxa"/>
          </w:tcPr>
          <w:p>
            <w:pPr>
              <w:pStyle w:val="TableParagraph"/>
              <w:spacing w:before="7"/>
              <w:ind w:left="217"/>
              <w:rPr>
                <w:sz w:val="24"/>
              </w:rPr>
            </w:pPr>
            <w:r>
              <w:rPr>
                <w:spacing w:val="-2"/>
                <w:sz w:val="24"/>
              </w:rPr>
              <w:t>0.077037</w:t>
            </w:r>
          </w:p>
        </w:tc>
        <w:tc>
          <w:tcPr>
            <w:tcW w:w="768" w:type="dxa"/>
          </w:tcPr>
          <w:p>
            <w:pPr>
              <w:pStyle w:val="TableParagraph"/>
              <w:spacing w:before="7"/>
              <w:ind w:left="108"/>
              <w:rPr>
                <w:sz w:val="24"/>
              </w:rPr>
            </w:pPr>
            <w:r>
              <w:rPr>
                <w:spacing w:val="-10"/>
                <w:sz w:val="24"/>
              </w:rPr>
              <w:t>5</w:t>
            </w:r>
          </w:p>
        </w:tc>
        <w:tc>
          <w:tcPr>
            <w:tcW w:w="1309" w:type="dxa"/>
          </w:tcPr>
          <w:p>
            <w:pPr>
              <w:pStyle w:val="TableParagraph"/>
              <w:spacing w:before="7"/>
              <w:ind w:left="300"/>
              <w:rPr>
                <w:sz w:val="24"/>
              </w:rPr>
            </w:pPr>
            <w:r>
              <w:rPr>
                <w:spacing w:val="-2"/>
                <w:sz w:val="24"/>
              </w:rPr>
              <w:t>0.077037</w:t>
            </w:r>
          </w:p>
        </w:tc>
        <w:tc>
          <w:tcPr>
            <w:tcW w:w="709" w:type="dxa"/>
          </w:tcPr>
          <w:p>
            <w:pPr>
              <w:pStyle w:val="TableParagraph"/>
              <w:spacing w:before="7"/>
              <w:ind w:left="110"/>
              <w:rPr>
                <w:sz w:val="24"/>
              </w:rPr>
            </w:pPr>
            <w:r>
              <w:rPr>
                <w:spacing w:val="-10"/>
                <w:sz w:val="24"/>
              </w:rPr>
              <w:t>5</w:t>
            </w:r>
          </w:p>
        </w:tc>
        <w:tc>
          <w:tcPr>
            <w:tcW w:w="1553" w:type="dxa"/>
          </w:tcPr>
          <w:p>
            <w:pPr>
              <w:pStyle w:val="TableParagraph"/>
              <w:spacing w:before="7"/>
              <w:ind w:left="361"/>
              <w:rPr>
                <w:sz w:val="24"/>
              </w:rPr>
            </w:pPr>
            <w:r>
              <w:rPr>
                <w:spacing w:val="-2"/>
                <w:sz w:val="24"/>
              </w:rPr>
              <w:t>0.19259259</w:t>
            </w:r>
          </w:p>
        </w:tc>
        <w:tc>
          <w:tcPr>
            <w:tcW w:w="1223" w:type="dxa"/>
          </w:tcPr>
          <w:p>
            <w:pPr>
              <w:pStyle w:val="TableParagraph"/>
              <w:spacing w:before="7"/>
              <w:ind w:left="162"/>
              <w:rPr>
                <w:sz w:val="24"/>
              </w:rPr>
            </w:pPr>
            <w:r>
              <w:rPr>
                <w:spacing w:val="-2"/>
                <w:sz w:val="24"/>
              </w:rPr>
              <w:t>0.192593</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299" w:hRule="atLeast"/>
        </w:trPr>
        <w:tc>
          <w:tcPr>
            <w:tcW w:w="1167" w:type="dxa"/>
          </w:tcPr>
          <w:p>
            <w:pPr>
              <w:pStyle w:val="TableParagraph"/>
              <w:spacing w:before="7"/>
              <w:ind w:left="50"/>
              <w:rPr>
                <w:sz w:val="24"/>
              </w:rPr>
            </w:pPr>
            <w:r>
              <w:rPr>
                <w:spacing w:val="-2"/>
                <w:sz w:val="24"/>
              </w:rPr>
              <w:t>105.9259</w:t>
            </w:r>
          </w:p>
        </w:tc>
        <w:tc>
          <w:tcPr>
            <w:tcW w:w="1225" w:type="dxa"/>
          </w:tcPr>
          <w:p>
            <w:pPr>
              <w:pStyle w:val="TableParagraph"/>
              <w:spacing w:before="7"/>
              <w:ind w:left="217"/>
              <w:rPr>
                <w:sz w:val="24"/>
              </w:rPr>
            </w:pPr>
            <w:r>
              <w:rPr>
                <w:spacing w:val="-2"/>
                <w:sz w:val="24"/>
              </w:rPr>
              <w:t>0.105926</w:t>
            </w:r>
          </w:p>
        </w:tc>
        <w:tc>
          <w:tcPr>
            <w:tcW w:w="768" w:type="dxa"/>
          </w:tcPr>
          <w:p>
            <w:pPr>
              <w:pStyle w:val="TableParagraph"/>
              <w:spacing w:before="7"/>
              <w:ind w:left="108"/>
              <w:rPr>
                <w:sz w:val="24"/>
              </w:rPr>
            </w:pPr>
            <w:r>
              <w:rPr>
                <w:spacing w:val="-5"/>
                <w:sz w:val="24"/>
              </w:rPr>
              <w:t>10</w:t>
            </w:r>
          </w:p>
        </w:tc>
        <w:tc>
          <w:tcPr>
            <w:tcW w:w="1309" w:type="dxa"/>
          </w:tcPr>
          <w:p>
            <w:pPr>
              <w:pStyle w:val="TableParagraph"/>
              <w:spacing w:before="7"/>
              <w:ind w:left="300"/>
              <w:rPr>
                <w:sz w:val="24"/>
              </w:rPr>
            </w:pPr>
            <w:r>
              <w:rPr>
                <w:spacing w:val="-2"/>
                <w:sz w:val="24"/>
              </w:rPr>
              <w:t>0.182963</w:t>
            </w:r>
          </w:p>
        </w:tc>
        <w:tc>
          <w:tcPr>
            <w:tcW w:w="709" w:type="dxa"/>
          </w:tcPr>
          <w:p>
            <w:pPr>
              <w:pStyle w:val="TableParagraph"/>
              <w:spacing w:before="7"/>
              <w:ind w:left="110"/>
              <w:rPr>
                <w:sz w:val="24"/>
              </w:rPr>
            </w:pPr>
            <w:r>
              <w:rPr>
                <w:spacing w:val="-10"/>
                <w:sz w:val="24"/>
              </w:rPr>
              <w:t>5</w:t>
            </w:r>
          </w:p>
        </w:tc>
        <w:tc>
          <w:tcPr>
            <w:tcW w:w="1553" w:type="dxa"/>
          </w:tcPr>
          <w:p>
            <w:pPr>
              <w:pStyle w:val="TableParagraph"/>
              <w:spacing w:before="7"/>
              <w:ind w:left="361"/>
              <w:rPr>
                <w:sz w:val="24"/>
              </w:rPr>
            </w:pPr>
            <w:r>
              <w:rPr>
                <w:spacing w:val="-2"/>
                <w:sz w:val="24"/>
              </w:rPr>
              <w:t>0.45740741</w:t>
            </w:r>
          </w:p>
        </w:tc>
        <w:tc>
          <w:tcPr>
            <w:tcW w:w="1223" w:type="dxa"/>
          </w:tcPr>
          <w:p>
            <w:pPr>
              <w:pStyle w:val="TableParagraph"/>
              <w:spacing w:before="7"/>
              <w:ind w:left="162"/>
              <w:rPr>
                <w:sz w:val="24"/>
              </w:rPr>
            </w:pPr>
            <w:r>
              <w:rPr>
                <w:spacing w:val="-4"/>
                <w:sz w:val="24"/>
              </w:rPr>
              <w:t>0.65</w:t>
            </w:r>
          </w:p>
        </w:tc>
        <w:tc>
          <w:tcPr>
            <w:tcW w:w="546" w:type="dxa"/>
          </w:tcPr>
          <w:p>
            <w:pPr>
              <w:pStyle w:val="TableParagraph"/>
              <w:spacing w:line="240" w:lineRule="auto"/>
              <w:rPr>
                <w:sz w:val="22"/>
              </w:rPr>
            </w:pPr>
          </w:p>
        </w:tc>
        <w:tc>
          <w:tcPr>
            <w:tcW w:w="1309" w:type="dxa"/>
          </w:tcPr>
          <w:p>
            <w:pPr>
              <w:pStyle w:val="TableParagraph"/>
              <w:spacing w:line="240" w:lineRule="auto"/>
              <w:rPr>
                <w:sz w:val="22"/>
              </w:rPr>
            </w:pPr>
          </w:p>
        </w:tc>
      </w:tr>
      <w:tr>
        <w:trPr>
          <w:trHeight w:val="282" w:hRule="atLeast"/>
        </w:trPr>
        <w:tc>
          <w:tcPr>
            <w:tcW w:w="1167" w:type="dxa"/>
          </w:tcPr>
          <w:p>
            <w:pPr>
              <w:pStyle w:val="TableParagraph"/>
              <w:spacing w:line="256" w:lineRule="exact" w:before="7"/>
              <w:ind w:left="50"/>
              <w:rPr>
                <w:sz w:val="24"/>
              </w:rPr>
            </w:pPr>
            <w:r>
              <w:rPr>
                <w:spacing w:val="-2"/>
                <w:sz w:val="24"/>
              </w:rPr>
              <w:t>128.5185</w:t>
            </w:r>
          </w:p>
        </w:tc>
        <w:tc>
          <w:tcPr>
            <w:tcW w:w="1225" w:type="dxa"/>
          </w:tcPr>
          <w:p>
            <w:pPr>
              <w:pStyle w:val="TableParagraph"/>
              <w:spacing w:line="256" w:lineRule="exact" w:before="7"/>
              <w:ind w:left="217"/>
              <w:rPr>
                <w:sz w:val="24"/>
              </w:rPr>
            </w:pPr>
            <w:r>
              <w:rPr>
                <w:spacing w:val="-2"/>
                <w:sz w:val="24"/>
              </w:rPr>
              <w:t>0.128519</w:t>
            </w:r>
          </w:p>
        </w:tc>
        <w:tc>
          <w:tcPr>
            <w:tcW w:w="768" w:type="dxa"/>
          </w:tcPr>
          <w:p>
            <w:pPr>
              <w:pStyle w:val="TableParagraph"/>
              <w:spacing w:line="256" w:lineRule="exact" w:before="7"/>
              <w:ind w:left="108"/>
              <w:rPr>
                <w:sz w:val="24"/>
              </w:rPr>
            </w:pPr>
            <w:r>
              <w:rPr>
                <w:spacing w:val="-5"/>
                <w:sz w:val="24"/>
              </w:rPr>
              <w:t>20</w:t>
            </w:r>
          </w:p>
        </w:tc>
        <w:tc>
          <w:tcPr>
            <w:tcW w:w="1309" w:type="dxa"/>
          </w:tcPr>
          <w:p>
            <w:pPr>
              <w:pStyle w:val="TableParagraph"/>
              <w:spacing w:line="256" w:lineRule="exact" w:before="7"/>
              <w:ind w:left="300"/>
              <w:rPr>
                <w:sz w:val="24"/>
              </w:rPr>
            </w:pPr>
            <w:r>
              <w:rPr>
                <w:spacing w:val="-2"/>
                <w:sz w:val="24"/>
              </w:rPr>
              <w:t>0.234444</w:t>
            </w:r>
          </w:p>
        </w:tc>
        <w:tc>
          <w:tcPr>
            <w:tcW w:w="709" w:type="dxa"/>
          </w:tcPr>
          <w:p>
            <w:pPr>
              <w:pStyle w:val="TableParagraph"/>
              <w:spacing w:line="256" w:lineRule="exact" w:before="7"/>
              <w:ind w:left="110"/>
              <w:rPr>
                <w:sz w:val="24"/>
              </w:rPr>
            </w:pPr>
            <w:r>
              <w:rPr>
                <w:spacing w:val="-5"/>
                <w:sz w:val="24"/>
              </w:rPr>
              <w:t>10</w:t>
            </w:r>
          </w:p>
        </w:tc>
        <w:tc>
          <w:tcPr>
            <w:tcW w:w="1553" w:type="dxa"/>
          </w:tcPr>
          <w:p>
            <w:pPr>
              <w:pStyle w:val="TableParagraph"/>
              <w:spacing w:line="256" w:lineRule="exact" w:before="7"/>
              <w:ind w:left="361"/>
              <w:rPr>
                <w:sz w:val="24"/>
              </w:rPr>
            </w:pPr>
            <w:r>
              <w:rPr>
                <w:spacing w:val="-2"/>
                <w:sz w:val="24"/>
              </w:rPr>
              <w:t>1.17222222</w:t>
            </w:r>
          </w:p>
        </w:tc>
        <w:tc>
          <w:tcPr>
            <w:tcW w:w="1223" w:type="dxa"/>
          </w:tcPr>
          <w:p>
            <w:pPr>
              <w:pStyle w:val="TableParagraph"/>
              <w:spacing w:line="256" w:lineRule="exact" w:before="7"/>
              <w:ind w:left="162"/>
              <w:rPr>
                <w:sz w:val="24"/>
              </w:rPr>
            </w:pPr>
            <w:r>
              <w:rPr>
                <w:spacing w:val="-2"/>
                <w:sz w:val="24"/>
              </w:rPr>
              <w:t>1.822222</w:t>
            </w:r>
          </w:p>
        </w:tc>
        <w:tc>
          <w:tcPr>
            <w:tcW w:w="546" w:type="dxa"/>
          </w:tcPr>
          <w:p>
            <w:pPr>
              <w:pStyle w:val="TableParagraph"/>
              <w:spacing w:line="240" w:lineRule="auto"/>
              <w:rPr>
                <w:sz w:val="20"/>
              </w:rPr>
            </w:pPr>
          </w:p>
        </w:tc>
        <w:tc>
          <w:tcPr>
            <w:tcW w:w="1309" w:type="dxa"/>
          </w:tcPr>
          <w:p>
            <w:pPr>
              <w:pStyle w:val="TableParagraph"/>
              <w:spacing w:line="240" w:lineRule="auto"/>
              <w:rPr>
                <w:sz w:val="20"/>
              </w:rPr>
            </w:pPr>
          </w:p>
        </w:tc>
      </w:tr>
    </w:tbl>
    <w:p>
      <w:pPr>
        <w:spacing w:after="0" w:line="240" w:lineRule="auto"/>
        <w:rPr>
          <w:sz w:val="20"/>
        </w:rPr>
        <w:sectPr>
          <w:pgSz w:w="12240" w:h="15840"/>
          <w:pgMar w:header="0" w:footer="1068" w:top="1820" w:bottom="1260" w:left="1420" w:right="440"/>
        </w:sectPr>
      </w:pPr>
    </w:p>
    <w:p>
      <w:pPr>
        <w:pStyle w:val="BodyText"/>
        <w:spacing w:before="3"/>
        <w:rPr>
          <w:b/>
          <w:sz w:val="2"/>
        </w:rPr>
      </w:pPr>
    </w:p>
    <w:tbl>
      <w:tblPr>
        <w:tblW w:w="0" w:type="auto"/>
        <w:jc w:val="left"/>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1225"/>
        <w:gridCol w:w="768"/>
        <w:gridCol w:w="1309"/>
        <w:gridCol w:w="709"/>
        <w:gridCol w:w="1607"/>
        <w:gridCol w:w="1115"/>
        <w:gridCol w:w="601"/>
        <w:gridCol w:w="1189"/>
      </w:tblGrid>
      <w:tr>
        <w:trPr>
          <w:trHeight w:val="281" w:hRule="atLeast"/>
        </w:trPr>
        <w:tc>
          <w:tcPr>
            <w:tcW w:w="1167" w:type="dxa"/>
          </w:tcPr>
          <w:p>
            <w:pPr>
              <w:pStyle w:val="TableParagraph"/>
              <w:spacing w:line="262" w:lineRule="exact"/>
              <w:ind w:left="50"/>
              <w:rPr>
                <w:sz w:val="24"/>
              </w:rPr>
            </w:pPr>
            <w:r>
              <w:rPr>
                <w:spacing w:val="-2"/>
                <w:sz w:val="24"/>
              </w:rPr>
              <w:t>128.8889</w:t>
            </w:r>
          </w:p>
        </w:tc>
        <w:tc>
          <w:tcPr>
            <w:tcW w:w="1225" w:type="dxa"/>
          </w:tcPr>
          <w:p>
            <w:pPr>
              <w:pStyle w:val="TableParagraph"/>
              <w:spacing w:line="262" w:lineRule="exact"/>
              <w:ind w:left="217"/>
              <w:rPr>
                <w:sz w:val="24"/>
              </w:rPr>
            </w:pPr>
            <w:r>
              <w:rPr>
                <w:spacing w:val="-2"/>
                <w:sz w:val="24"/>
              </w:rPr>
              <w:t>0.128889</w:t>
            </w:r>
          </w:p>
        </w:tc>
        <w:tc>
          <w:tcPr>
            <w:tcW w:w="768" w:type="dxa"/>
          </w:tcPr>
          <w:p>
            <w:pPr>
              <w:pStyle w:val="TableParagraph"/>
              <w:spacing w:line="262" w:lineRule="exact"/>
              <w:ind w:left="108"/>
              <w:rPr>
                <w:sz w:val="24"/>
              </w:rPr>
            </w:pPr>
            <w:r>
              <w:rPr>
                <w:spacing w:val="-5"/>
                <w:sz w:val="24"/>
              </w:rPr>
              <w:t>30</w:t>
            </w:r>
          </w:p>
        </w:tc>
        <w:tc>
          <w:tcPr>
            <w:tcW w:w="1309" w:type="dxa"/>
          </w:tcPr>
          <w:p>
            <w:pPr>
              <w:pStyle w:val="TableParagraph"/>
              <w:spacing w:line="262" w:lineRule="exact"/>
              <w:ind w:left="300"/>
              <w:rPr>
                <w:sz w:val="24"/>
              </w:rPr>
            </w:pPr>
            <w:r>
              <w:rPr>
                <w:spacing w:val="-2"/>
                <w:sz w:val="24"/>
              </w:rPr>
              <w:t>0.257407</w:t>
            </w:r>
          </w:p>
        </w:tc>
        <w:tc>
          <w:tcPr>
            <w:tcW w:w="709" w:type="dxa"/>
          </w:tcPr>
          <w:p>
            <w:pPr>
              <w:pStyle w:val="TableParagraph"/>
              <w:spacing w:line="262" w:lineRule="exact"/>
              <w:ind w:left="110"/>
              <w:rPr>
                <w:sz w:val="24"/>
              </w:rPr>
            </w:pPr>
            <w:r>
              <w:rPr>
                <w:spacing w:val="-5"/>
                <w:sz w:val="24"/>
              </w:rPr>
              <w:t>10</w:t>
            </w:r>
          </w:p>
        </w:tc>
        <w:tc>
          <w:tcPr>
            <w:tcW w:w="1607" w:type="dxa"/>
          </w:tcPr>
          <w:p>
            <w:pPr>
              <w:pStyle w:val="TableParagraph"/>
              <w:spacing w:line="262" w:lineRule="exact"/>
              <w:ind w:left="361"/>
              <w:rPr>
                <w:sz w:val="24"/>
              </w:rPr>
            </w:pPr>
            <w:r>
              <w:rPr>
                <w:spacing w:val="-2"/>
                <w:sz w:val="24"/>
              </w:rPr>
              <w:t>1.28703704</w:t>
            </w:r>
          </w:p>
        </w:tc>
        <w:tc>
          <w:tcPr>
            <w:tcW w:w="1115" w:type="dxa"/>
          </w:tcPr>
          <w:p>
            <w:pPr>
              <w:pStyle w:val="TableParagraph"/>
              <w:spacing w:line="262" w:lineRule="exact"/>
              <w:ind w:left="1"/>
              <w:jc w:val="center"/>
              <w:rPr>
                <w:sz w:val="24"/>
              </w:rPr>
            </w:pPr>
            <w:r>
              <w:rPr>
                <w:spacing w:val="-2"/>
                <w:sz w:val="24"/>
              </w:rPr>
              <w:t>3.109259</w:t>
            </w:r>
          </w:p>
        </w:tc>
        <w:tc>
          <w:tcPr>
            <w:tcW w:w="601" w:type="dxa"/>
          </w:tcPr>
          <w:p>
            <w:pPr>
              <w:pStyle w:val="TableParagraph"/>
              <w:spacing w:line="240" w:lineRule="auto"/>
              <w:rPr>
                <w:sz w:val="20"/>
              </w:rPr>
            </w:pPr>
          </w:p>
        </w:tc>
        <w:tc>
          <w:tcPr>
            <w:tcW w:w="1189" w:type="dxa"/>
          </w:tcPr>
          <w:p>
            <w:pPr>
              <w:pStyle w:val="TableParagraph"/>
              <w:spacing w:line="240" w:lineRule="auto"/>
              <w:rPr>
                <w:sz w:val="20"/>
              </w:rPr>
            </w:pPr>
          </w:p>
        </w:tc>
      </w:tr>
      <w:tr>
        <w:trPr>
          <w:trHeight w:val="305" w:hRule="atLeast"/>
        </w:trPr>
        <w:tc>
          <w:tcPr>
            <w:tcW w:w="1167" w:type="dxa"/>
          </w:tcPr>
          <w:p>
            <w:pPr>
              <w:pStyle w:val="TableParagraph"/>
              <w:spacing w:line="240" w:lineRule="auto" w:before="8"/>
              <w:ind w:left="50"/>
              <w:rPr>
                <w:sz w:val="24"/>
              </w:rPr>
            </w:pPr>
            <w:r>
              <w:rPr>
                <w:spacing w:val="-2"/>
                <w:sz w:val="24"/>
              </w:rPr>
              <w:t>180.7407</w:t>
            </w:r>
          </w:p>
        </w:tc>
        <w:tc>
          <w:tcPr>
            <w:tcW w:w="1225" w:type="dxa"/>
          </w:tcPr>
          <w:p>
            <w:pPr>
              <w:pStyle w:val="TableParagraph"/>
              <w:spacing w:line="240" w:lineRule="auto" w:before="8"/>
              <w:ind w:left="217"/>
              <w:rPr>
                <w:sz w:val="24"/>
              </w:rPr>
            </w:pPr>
            <w:r>
              <w:rPr>
                <w:spacing w:val="-2"/>
                <w:sz w:val="24"/>
              </w:rPr>
              <w:t>0.180741</w:t>
            </w:r>
          </w:p>
        </w:tc>
        <w:tc>
          <w:tcPr>
            <w:tcW w:w="768" w:type="dxa"/>
          </w:tcPr>
          <w:p>
            <w:pPr>
              <w:pStyle w:val="TableParagraph"/>
              <w:spacing w:line="240" w:lineRule="auto" w:before="8"/>
              <w:ind w:left="108"/>
              <w:rPr>
                <w:sz w:val="24"/>
              </w:rPr>
            </w:pPr>
            <w:r>
              <w:rPr>
                <w:spacing w:val="-5"/>
                <w:sz w:val="24"/>
              </w:rPr>
              <w:t>40</w:t>
            </w:r>
          </w:p>
        </w:tc>
        <w:tc>
          <w:tcPr>
            <w:tcW w:w="1309" w:type="dxa"/>
          </w:tcPr>
          <w:p>
            <w:pPr>
              <w:pStyle w:val="TableParagraph"/>
              <w:spacing w:line="240" w:lineRule="auto" w:before="8"/>
              <w:ind w:left="300"/>
              <w:rPr>
                <w:sz w:val="24"/>
              </w:rPr>
            </w:pPr>
            <w:r>
              <w:rPr>
                <w:spacing w:val="-2"/>
                <w:sz w:val="24"/>
              </w:rPr>
              <w:t>0.30963</w:t>
            </w:r>
          </w:p>
        </w:tc>
        <w:tc>
          <w:tcPr>
            <w:tcW w:w="709" w:type="dxa"/>
          </w:tcPr>
          <w:p>
            <w:pPr>
              <w:pStyle w:val="TableParagraph"/>
              <w:spacing w:line="240" w:lineRule="auto" w:before="8"/>
              <w:ind w:left="110"/>
              <w:rPr>
                <w:sz w:val="24"/>
              </w:rPr>
            </w:pPr>
            <w:r>
              <w:rPr>
                <w:spacing w:val="-5"/>
                <w:sz w:val="24"/>
              </w:rPr>
              <w:t>10</w:t>
            </w:r>
          </w:p>
        </w:tc>
        <w:tc>
          <w:tcPr>
            <w:tcW w:w="1607" w:type="dxa"/>
          </w:tcPr>
          <w:p>
            <w:pPr>
              <w:pStyle w:val="TableParagraph"/>
              <w:spacing w:line="240" w:lineRule="auto" w:before="8"/>
              <w:ind w:left="361"/>
              <w:rPr>
                <w:sz w:val="24"/>
              </w:rPr>
            </w:pPr>
            <w:r>
              <w:rPr>
                <w:spacing w:val="-2"/>
                <w:sz w:val="24"/>
              </w:rPr>
              <w:t>1.54814815</w:t>
            </w:r>
          </w:p>
        </w:tc>
        <w:tc>
          <w:tcPr>
            <w:tcW w:w="1115" w:type="dxa"/>
          </w:tcPr>
          <w:p>
            <w:pPr>
              <w:pStyle w:val="TableParagraph"/>
              <w:spacing w:line="240" w:lineRule="auto" w:before="8"/>
              <w:ind w:left="1"/>
              <w:jc w:val="center"/>
              <w:rPr>
                <w:sz w:val="24"/>
              </w:rPr>
            </w:pPr>
            <w:r>
              <w:rPr>
                <w:spacing w:val="-2"/>
                <w:sz w:val="24"/>
              </w:rPr>
              <w:t>4.657407</w:t>
            </w:r>
          </w:p>
        </w:tc>
        <w:tc>
          <w:tcPr>
            <w:tcW w:w="601" w:type="dxa"/>
          </w:tcPr>
          <w:p>
            <w:pPr>
              <w:pStyle w:val="TableParagraph"/>
              <w:spacing w:line="240" w:lineRule="auto" w:before="8"/>
              <w:ind w:left="109"/>
              <w:rPr>
                <w:sz w:val="24"/>
              </w:rPr>
            </w:pPr>
            <w:r>
              <w:rPr>
                <w:spacing w:val="-10"/>
                <w:sz w:val="24"/>
              </w:rPr>
              <w:t>F</w:t>
            </w:r>
          </w:p>
        </w:tc>
        <w:tc>
          <w:tcPr>
            <w:tcW w:w="1189" w:type="dxa"/>
          </w:tcPr>
          <w:p>
            <w:pPr>
              <w:pStyle w:val="TableParagraph"/>
              <w:spacing w:line="240" w:lineRule="auto" w:before="8"/>
              <w:ind w:left="360"/>
              <w:rPr>
                <w:sz w:val="24"/>
              </w:rPr>
            </w:pPr>
            <w:r>
              <w:rPr>
                <w:color w:val="000000"/>
                <w:spacing w:val="-2"/>
                <w:sz w:val="24"/>
                <w:highlight w:val="red"/>
              </w:rPr>
              <w:t>78.990</w:t>
            </w:r>
            <w:r>
              <w:rPr>
                <w:color w:val="000000"/>
                <w:spacing w:val="-2"/>
                <w:sz w:val="24"/>
              </w:rPr>
              <w:t>2</w:t>
            </w:r>
          </w:p>
        </w:tc>
      </w:tr>
      <w:tr>
        <w:trPr>
          <w:trHeight w:val="295" w:hRule="atLeast"/>
        </w:trPr>
        <w:tc>
          <w:tcPr>
            <w:tcW w:w="1167" w:type="dxa"/>
          </w:tcPr>
          <w:p>
            <w:pPr>
              <w:pStyle w:val="TableParagraph"/>
              <w:spacing w:before="3"/>
              <w:ind w:left="50"/>
              <w:rPr>
                <w:sz w:val="24"/>
              </w:rPr>
            </w:pPr>
            <w:r>
              <w:rPr>
                <w:spacing w:val="-2"/>
                <w:sz w:val="24"/>
              </w:rPr>
              <w:t>364.0741</w:t>
            </w:r>
          </w:p>
        </w:tc>
        <w:tc>
          <w:tcPr>
            <w:tcW w:w="1225" w:type="dxa"/>
          </w:tcPr>
          <w:p>
            <w:pPr>
              <w:pStyle w:val="TableParagraph"/>
              <w:spacing w:before="3"/>
              <w:ind w:left="217"/>
              <w:rPr>
                <w:sz w:val="24"/>
              </w:rPr>
            </w:pPr>
            <w:r>
              <w:rPr>
                <w:spacing w:val="-2"/>
                <w:sz w:val="24"/>
              </w:rPr>
              <w:t>0.364074</w:t>
            </w:r>
          </w:p>
        </w:tc>
        <w:tc>
          <w:tcPr>
            <w:tcW w:w="768" w:type="dxa"/>
          </w:tcPr>
          <w:p>
            <w:pPr>
              <w:pStyle w:val="TableParagraph"/>
              <w:spacing w:before="3"/>
              <w:ind w:left="108"/>
              <w:rPr>
                <w:sz w:val="24"/>
              </w:rPr>
            </w:pPr>
            <w:r>
              <w:rPr>
                <w:spacing w:val="-5"/>
                <w:sz w:val="24"/>
              </w:rPr>
              <w:t>50</w:t>
            </w:r>
          </w:p>
        </w:tc>
        <w:tc>
          <w:tcPr>
            <w:tcW w:w="1309" w:type="dxa"/>
          </w:tcPr>
          <w:p>
            <w:pPr>
              <w:pStyle w:val="TableParagraph"/>
              <w:spacing w:before="3"/>
              <w:ind w:left="300"/>
              <w:rPr>
                <w:sz w:val="24"/>
              </w:rPr>
            </w:pPr>
            <w:r>
              <w:rPr>
                <w:spacing w:val="-2"/>
                <w:sz w:val="24"/>
              </w:rPr>
              <w:t>0.544815</w:t>
            </w:r>
          </w:p>
        </w:tc>
        <w:tc>
          <w:tcPr>
            <w:tcW w:w="709" w:type="dxa"/>
          </w:tcPr>
          <w:p>
            <w:pPr>
              <w:pStyle w:val="TableParagraph"/>
              <w:spacing w:before="3"/>
              <w:ind w:left="110"/>
              <w:rPr>
                <w:sz w:val="24"/>
              </w:rPr>
            </w:pPr>
            <w:r>
              <w:rPr>
                <w:spacing w:val="-5"/>
                <w:sz w:val="24"/>
              </w:rPr>
              <w:t>10</w:t>
            </w:r>
          </w:p>
        </w:tc>
        <w:tc>
          <w:tcPr>
            <w:tcW w:w="1607" w:type="dxa"/>
          </w:tcPr>
          <w:p>
            <w:pPr>
              <w:pStyle w:val="TableParagraph"/>
              <w:spacing w:before="3"/>
              <w:ind w:left="361"/>
              <w:rPr>
                <w:sz w:val="24"/>
              </w:rPr>
            </w:pPr>
            <w:r>
              <w:rPr>
                <w:spacing w:val="-2"/>
                <w:sz w:val="24"/>
              </w:rPr>
              <w:t>2.72407407</w:t>
            </w:r>
          </w:p>
        </w:tc>
        <w:tc>
          <w:tcPr>
            <w:tcW w:w="1115" w:type="dxa"/>
          </w:tcPr>
          <w:p>
            <w:pPr>
              <w:pStyle w:val="TableParagraph"/>
              <w:spacing w:before="3"/>
              <w:ind w:left="1"/>
              <w:jc w:val="center"/>
              <w:rPr>
                <w:sz w:val="24"/>
              </w:rPr>
            </w:pPr>
            <w:r>
              <w:rPr>
                <w:spacing w:val="-2"/>
                <w:sz w:val="24"/>
              </w:rPr>
              <w:t>7.381481</w:t>
            </w:r>
          </w:p>
        </w:tc>
        <w:tc>
          <w:tcPr>
            <w:tcW w:w="601" w:type="dxa"/>
          </w:tcPr>
          <w:p>
            <w:pPr>
              <w:pStyle w:val="TableParagraph"/>
              <w:spacing w:line="240" w:lineRule="auto"/>
              <w:rPr>
                <w:sz w:val="22"/>
              </w:rPr>
            </w:pPr>
          </w:p>
        </w:tc>
        <w:tc>
          <w:tcPr>
            <w:tcW w:w="118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392.2222</w:t>
            </w:r>
          </w:p>
        </w:tc>
        <w:tc>
          <w:tcPr>
            <w:tcW w:w="1225" w:type="dxa"/>
          </w:tcPr>
          <w:p>
            <w:pPr>
              <w:pStyle w:val="TableParagraph"/>
              <w:spacing w:before="7"/>
              <w:ind w:left="217"/>
              <w:rPr>
                <w:sz w:val="24"/>
              </w:rPr>
            </w:pPr>
            <w:r>
              <w:rPr>
                <w:spacing w:val="-2"/>
                <w:sz w:val="24"/>
              </w:rPr>
              <w:t>0.392222</w:t>
            </w:r>
          </w:p>
        </w:tc>
        <w:tc>
          <w:tcPr>
            <w:tcW w:w="768" w:type="dxa"/>
          </w:tcPr>
          <w:p>
            <w:pPr>
              <w:pStyle w:val="TableParagraph"/>
              <w:spacing w:before="7"/>
              <w:ind w:left="108"/>
              <w:rPr>
                <w:sz w:val="24"/>
              </w:rPr>
            </w:pPr>
            <w:r>
              <w:rPr>
                <w:spacing w:val="-5"/>
                <w:sz w:val="24"/>
              </w:rPr>
              <w:t>60</w:t>
            </w:r>
          </w:p>
        </w:tc>
        <w:tc>
          <w:tcPr>
            <w:tcW w:w="1309" w:type="dxa"/>
          </w:tcPr>
          <w:p>
            <w:pPr>
              <w:pStyle w:val="TableParagraph"/>
              <w:spacing w:before="7"/>
              <w:ind w:left="300"/>
              <w:rPr>
                <w:sz w:val="24"/>
              </w:rPr>
            </w:pPr>
            <w:r>
              <w:rPr>
                <w:spacing w:val="-2"/>
                <w:sz w:val="24"/>
              </w:rPr>
              <w:t>0.756296</w:t>
            </w:r>
          </w:p>
        </w:tc>
        <w:tc>
          <w:tcPr>
            <w:tcW w:w="709" w:type="dxa"/>
          </w:tcPr>
          <w:p>
            <w:pPr>
              <w:pStyle w:val="TableParagraph"/>
              <w:spacing w:before="7"/>
              <w:ind w:left="110"/>
              <w:rPr>
                <w:sz w:val="24"/>
              </w:rPr>
            </w:pPr>
            <w:r>
              <w:rPr>
                <w:spacing w:val="-5"/>
                <w:sz w:val="24"/>
              </w:rPr>
              <w:t>10</w:t>
            </w:r>
          </w:p>
        </w:tc>
        <w:tc>
          <w:tcPr>
            <w:tcW w:w="1607" w:type="dxa"/>
          </w:tcPr>
          <w:p>
            <w:pPr>
              <w:pStyle w:val="TableParagraph"/>
              <w:spacing w:before="7"/>
              <w:ind w:left="361"/>
              <w:rPr>
                <w:sz w:val="24"/>
              </w:rPr>
            </w:pPr>
            <w:r>
              <w:rPr>
                <w:spacing w:val="-2"/>
                <w:sz w:val="24"/>
              </w:rPr>
              <w:t>3.78148148</w:t>
            </w:r>
          </w:p>
        </w:tc>
        <w:tc>
          <w:tcPr>
            <w:tcW w:w="1115" w:type="dxa"/>
          </w:tcPr>
          <w:p>
            <w:pPr>
              <w:pStyle w:val="TableParagraph"/>
              <w:spacing w:before="7"/>
              <w:ind w:left="1"/>
              <w:jc w:val="center"/>
              <w:rPr>
                <w:sz w:val="24"/>
              </w:rPr>
            </w:pPr>
            <w:r>
              <w:rPr>
                <w:spacing w:val="-2"/>
                <w:sz w:val="24"/>
              </w:rPr>
              <w:t>11.16296</w:t>
            </w:r>
          </w:p>
        </w:tc>
        <w:tc>
          <w:tcPr>
            <w:tcW w:w="601" w:type="dxa"/>
          </w:tcPr>
          <w:p>
            <w:pPr>
              <w:pStyle w:val="TableParagraph"/>
              <w:spacing w:line="240" w:lineRule="auto"/>
              <w:rPr>
                <w:sz w:val="22"/>
              </w:rPr>
            </w:pPr>
          </w:p>
        </w:tc>
        <w:tc>
          <w:tcPr>
            <w:tcW w:w="118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5"/>
                <w:sz w:val="24"/>
              </w:rPr>
              <w:t>450</w:t>
            </w:r>
          </w:p>
        </w:tc>
        <w:tc>
          <w:tcPr>
            <w:tcW w:w="1225" w:type="dxa"/>
          </w:tcPr>
          <w:p>
            <w:pPr>
              <w:pStyle w:val="TableParagraph"/>
              <w:spacing w:before="7"/>
              <w:ind w:left="217"/>
              <w:rPr>
                <w:sz w:val="24"/>
              </w:rPr>
            </w:pPr>
            <w:r>
              <w:rPr>
                <w:spacing w:val="-4"/>
                <w:sz w:val="24"/>
              </w:rPr>
              <w:t>0.45</w:t>
            </w:r>
          </w:p>
        </w:tc>
        <w:tc>
          <w:tcPr>
            <w:tcW w:w="768" w:type="dxa"/>
          </w:tcPr>
          <w:p>
            <w:pPr>
              <w:pStyle w:val="TableParagraph"/>
              <w:spacing w:before="7"/>
              <w:ind w:left="108"/>
              <w:rPr>
                <w:sz w:val="24"/>
              </w:rPr>
            </w:pPr>
            <w:r>
              <w:rPr>
                <w:spacing w:val="-5"/>
                <w:sz w:val="24"/>
              </w:rPr>
              <w:t>70</w:t>
            </w:r>
          </w:p>
        </w:tc>
        <w:tc>
          <w:tcPr>
            <w:tcW w:w="1309" w:type="dxa"/>
          </w:tcPr>
          <w:p>
            <w:pPr>
              <w:pStyle w:val="TableParagraph"/>
              <w:spacing w:before="7"/>
              <w:ind w:left="300"/>
              <w:rPr>
                <w:sz w:val="24"/>
              </w:rPr>
            </w:pPr>
            <w:r>
              <w:rPr>
                <w:spacing w:val="-2"/>
                <w:sz w:val="24"/>
              </w:rPr>
              <w:t>0.842222</w:t>
            </w:r>
          </w:p>
        </w:tc>
        <w:tc>
          <w:tcPr>
            <w:tcW w:w="709" w:type="dxa"/>
          </w:tcPr>
          <w:p>
            <w:pPr>
              <w:pStyle w:val="TableParagraph"/>
              <w:spacing w:before="7"/>
              <w:ind w:left="110"/>
              <w:rPr>
                <w:sz w:val="24"/>
              </w:rPr>
            </w:pPr>
            <w:r>
              <w:rPr>
                <w:spacing w:val="-5"/>
                <w:sz w:val="24"/>
              </w:rPr>
              <w:t>10</w:t>
            </w:r>
          </w:p>
        </w:tc>
        <w:tc>
          <w:tcPr>
            <w:tcW w:w="1607" w:type="dxa"/>
          </w:tcPr>
          <w:p>
            <w:pPr>
              <w:pStyle w:val="TableParagraph"/>
              <w:spacing w:before="7"/>
              <w:ind w:left="361"/>
              <w:rPr>
                <w:sz w:val="24"/>
              </w:rPr>
            </w:pPr>
            <w:r>
              <w:rPr>
                <w:spacing w:val="-2"/>
                <w:sz w:val="24"/>
              </w:rPr>
              <w:t>4.21111111</w:t>
            </w:r>
          </w:p>
        </w:tc>
        <w:tc>
          <w:tcPr>
            <w:tcW w:w="1115" w:type="dxa"/>
          </w:tcPr>
          <w:p>
            <w:pPr>
              <w:pStyle w:val="TableParagraph"/>
              <w:spacing w:before="7"/>
              <w:ind w:left="1"/>
              <w:jc w:val="center"/>
              <w:rPr>
                <w:sz w:val="24"/>
              </w:rPr>
            </w:pPr>
            <w:r>
              <w:rPr>
                <w:spacing w:val="-2"/>
                <w:sz w:val="24"/>
              </w:rPr>
              <w:t>15.37407</w:t>
            </w:r>
          </w:p>
        </w:tc>
        <w:tc>
          <w:tcPr>
            <w:tcW w:w="601" w:type="dxa"/>
          </w:tcPr>
          <w:p>
            <w:pPr>
              <w:pStyle w:val="TableParagraph"/>
              <w:spacing w:line="240" w:lineRule="auto"/>
              <w:rPr>
                <w:sz w:val="22"/>
              </w:rPr>
            </w:pPr>
          </w:p>
        </w:tc>
        <w:tc>
          <w:tcPr>
            <w:tcW w:w="118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474.0741</w:t>
            </w:r>
          </w:p>
        </w:tc>
        <w:tc>
          <w:tcPr>
            <w:tcW w:w="1225" w:type="dxa"/>
          </w:tcPr>
          <w:p>
            <w:pPr>
              <w:pStyle w:val="TableParagraph"/>
              <w:spacing w:before="7"/>
              <w:ind w:left="217"/>
              <w:rPr>
                <w:sz w:val="24"/>
              </w:rPr>
            </w:pPr>
            <w:r>
              <w:rPr>
                <w:spacing w:val="-2"/>
                <w:sz w:val="24"/>
              </w:rPr>
              <w:t>0.474074</w:t>
            </w:r>
          </w:p>
        </w:tc>
        <w:tc>
          <w:tcPr>
            <w:tcW w:w="768" w:type="dxa"/>
          </w:tcPr>
          <w:p>
            <w:pPr>
              <w:pStyle w:val="TableParagraph"/>
              <w:spacing w:before="7"/>
              <w:ind w:left="108"/>
              <w:rPr>
                <w:sz w:val="24"/>
              </w:rPr>
            </w:pPr>
            <w:r>
              <w:rPr>
                <w:spacing w:val="-5"/>
                <w:sz w:val="24"/>
              </w:rPr>
              <w:t>80</w:t>
            </w:r>
          </w:p>
        </w:tc>
        <w:tc>
          <w:tcPr>
            <w:tcW w:w="1309" w:type="dxa"/>
          </w:tcPr>
          <w:p>
            <w:pPr>
              <w:pStyle w:val="TableParagraph"/>
              <w:spacing w:before="7"/>
              <w:ind w:left="300"/>
              <w:rPr>
                <w:sz w:val="24"/>
              </w:rPr>
            </w:pPr>
            <w:r>
              <w:rPr>
                <w:spacing w:val="-2"/>
                <w:sz w:val="24"/>
              </w:rPr>
              <w:t>0.924074</w:t>
            </w:r>
          </w:p>
        </w:tc>
        <w:tc>
          <w:tcPr>
            <w:tcW w:w="709" w:type="dxa"/>
          </w:tcPr>
          <w:p>
            <w:pPr>
              <w:pStyle w:val="TableParagraph"/>
              <w:spacing w:before="7"/>
              <w:ind w:left="110"/>
              <w:rPr>
                <w:sz w:val="24"/>
              </w:rPr>
            </w:pPr>
            <w:r>
              <w:rPr>
                <w:spacing w:val="-5"/>
                <w:sz w:val="24"/>
              </w:rPr>
              <w:t>10</w:t>
            </w:r>
          </w:p>
        </w:tc>
        <w:tc>
          <w:tcPr>
            <w:tcW w:w="1607" w:type="dxa"/>
          </w:tcPr>
          <w:p>
            <w:pPr>
              <w:pStyle w:val="TableParagraph"/>
              <w:spacing w:before="7"/>
              <w:ind w:left="361"/>
              <w:rPr>
                <w:sz w:val="24"/>
              </w:rPr>
            </w:pPr>
            <w:r>
              <w:rPr>
                <w:spacing w:val="-2"/>
                <w:sz w:val="24"/>
              </w:rPr>
              <w:t>4.62037037</w:t>
            </w:r>
          </w:p>
        </w:tc>
        <w:tc>
          <w:tcPr>
            <w:tcW w:w="1115" w:type="dxa"/>
          </w:tcPr>
          <w:p>
            <w:pPr>
              <w:pStyle w:val="TableParagraph"/>
              <w:spacing w:before="7"/>
              <w:ind w:left="1"/>
              <w:jc w:val="center"/>
              <w:rPr>
                <w:sz w:val="24"/>
              </w:rPr>
            </w:pPr>
            <w:r>
              <w:rPr>
                <w:spacing w:val="-2"/>
                <w:sz w:val="24"/>
              </w:rPr>
              <w:t>19.99444</w:t>
            </w:r>
          </w:p>
        </w:tc>
        <w:tc>
          <w:tcPr>
            <w:tcW w:w="601" w:type="dxa"/>
          </w:tcPr>
          <w:p>
            <w:pPr>
              <w:pStyle w:val="TableParagraph"/>
              <w:spacing w:line="240" w:lineRule="auto"/>
              <w:rPr>
                <w:sz w:val="22"/>
              </w:rPr>
            </w:pPr>
          </w:p>
        </w:tc>
        <w:tc>
          <w:tcPr>
            <w:tcW w:w="118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476.6667</w:t>
            </w:r>
          </w:p>
        </w:tc>
        <w:tc>
          <w:tcPr>
            <w:tcW w:w="1225" w:type="dxa"/>
          </w:tcPr>
          <w:p>
            <w:pPr>
              <w:pStyle w:val="TableParagraph"/>
              <w:spacing w:before="7"/>
              <w:ind w:left="217"/>
              <w:rPr>
                <w:sz w:val="24"/>
              </w:rPr>
            </w:pPr>
            <w:r>
              <w:rPr>
                <w:spacing w:val="-2"/>
                <w:sz w:val="24"/>
              </w:rPr>
              <w:t>0.476667</w:t>
            </w:r>
          </w:p>
        </w:tc>
        <w:tc>
          <w:tcPr>
            <w:tcW w:w="768" w:type="dxa"/>
          </w:tcPr>
          <w:p>
            <w:pPr>
              <w:pStyle w:val="TableParagraph"/>
              <w:spacing w:before="7"/>
              <w:ind w:left="108"/>
              <w:rPr>
                <w:sz w:val="24"/>
              </w:rPr>
            </w:pPr>
            <w:r>
              <w:rPr>
                <w:spacing w:val="-5"/>
                <w:sz w:val="24"/>
              </w:rPr>
              <w:t>90</w:t>
            </w:r>
          </w:p>
        </w:tc>
        <w:tc>
          <w:tcPr>
            <w:tcW w:w="1309" w:type="dxa"/>
          </w:tcPr>
          <w:p>
            <w:pPr>
              <w:pStyle w:val="TableParagraph"/>
              <w:spacing w:before="7"/>
              <w:ind w:left="300"/>
              <w:rPr>
                <w:sz w:val="24"/>
              </w:rPr>
            </w:pPr>
            <w:r>
              <w:rPr>
                <w:spacing w:val="-2"/>
                <w:sz w:val="24"/>
              </w:rPr>
              <w:t>0.950741</w:t>
            </w:r>
          </w:p>
        </w:tc>
        <w:tc>
          <w:tcPr>
            <w:tcW w:w="709" w:type="dxa"/>
          </w:tcPr>
          <w:p>
            <w:pPr>
              <w:pStyle w:val="TableParagraph"/>
              <w:spacing w:before="7"/>
              <w:ind w:left="110"/>
              <w:rPr>
                <w:sz w:val="24"/>
              </w:rPr>
            </w:pPr>
            <w:r>
              <w:rPr>
                <w:spacing w:val="-5"/>
                <w:sz w:val="24"/>
              </w:rPr>
              <w:t>10</w:t>
            </w:r>
          </w:p>
        </w:tc>
        <w:tc>
          <w:tcPr>
            <w:tcW w:w="1607" w:type="dxa"/>
          </w:tcPr>
          <w:p>
            <w:pPr>
              <w:pStyle w:val="TableParagraph"/>
              <w:spacing w:before="7"/>
              <w:ind w:left="361"/>
              <w:rPr>
                <w:sz w:val="24"/>
              </w:rPr>
            </w:pPr>
            <w:r>
              <w:rPr>
                <w:spacing w:val="-2"/>
                <w:sz w:val="24"/>
              </w:rPr>
              <w:t>4.7537037</w:t>
            </w:r>
          </w:p>
        </w:tc>
        <w:tc>
          <w:tcPr>
            <w:tcW w:w="1115" w:type="dxa"/>
          </w:tcPr>
          <w:p>
            <w:pPr>
              <w:pStyle w:val="TableParagraph"/>
              <w:spacing w:before="7"/>
              <w:ind w:left="1"/>
              <w:jc w:val="center"/>
              <w:rPr>
                <w:sz w:val="24"/>
              </w:rPr>
            </w:pPr>
            <w:r>
              <w:rPr>
                <w:spacing w:val="-2"/>
                <w:sz w:val="24"/>
              </w:rPr>
              <w:t>24.74815</w:t>
            </w:r>
          </w:p>
        </w:tc>
        <w:tc>
          <w:tcPr>
            <w:tcW w:w="601" w:type="dxa"/>
          </w:tcPr>
          <w:p>
            <w:pPr>
              <w:pStyle w:val="TableParagraph"/>
              <w:spacing w:line="240" w:lineRule="auto"/>
              <w:rPr>
                <w:sz w:val="22"/>
              </w:rPr>
            </w:pPr>
          </w:p>
        </w:tc>
        <w:tc>
          <w:tcPr>
            <w:tcW w:w="118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495.9259</w:t>
            </w:r>
          </w:p>
        </w:tc>
        <w:tc>
          <w:tcPr>
            <w:tcW w:w="1225" w:type="dxa"/>
          </w:tcPr>
          <w:p>
            <w:pPr>
              <w:pStyle w:val="TableParagraph"/>
              <w:spacing w:before="7"/>
              <w:ind w:left="217"/>
              <w:rPr>
                <w:sz w:val="24"/>
              </w:rPr>
            </w:pPr>
            <w:r>
              <w:rPr>
                <w:spacing w:val="-2"/>
                <w:sz w:val="24"/>
              </w:rPr>
              <w:t>0.495926</w:t>
            </w:r>
          </w:p>
        </w:tc>
        <w:tc>
          <w:tcPr>
            <w:tcW w:w="768" w:type="dxa"/>
          </w:tcPr>
          <w:p>
            <w:pPr>
              <w:pStyle w:val="TableParagraph"/>
              <w:spacing w:before="7"/>
              <w:ind w:left="108"/>
              <w:rPr>
                <w:sz w:val="24"/>
              </w:rPr>
            </w:pPr>
            <w:r>
              <w:rPr>
                <w:spacing w:val="-5"/>
                <w:sz w:val="24"/>
              </w:rPr>
              <w:t>100</w:t>
            </w:r>
          </w:p>
        </w:tc>
        <w:tc>
          <w:tcPr>
            <w:tcW w:w="1309" w:type="dxa"/>
          </w:tcPr>
          <w:p>
            <w:pPr>
              <w:pStyle w:val="TableParagraph"/>
              <w:spacing w:before="7"/>
              <w:ind w:left="300"/>
              <w:rPr>
                <w:sz w:val="24"/>
              </w:rPr>
            </w:pPr>
            <w:r>
              <w:rPr>
                <w:spacing w:val="-2"/>
                <w:sz w:val="24"/>
              </w:rPr>
              <w:t>0.972593</w:t>
            </w:r>
          </w:p>
        </w:tc>
        <w:tc>
          <w:tcPr>
            <w:tcW w:w="709" w:type="dxa"/>
          </w:tcPr>
          <w:p>
            <w:pPr>
              <w:pStyle w:val="TableParagraph"/>
              <w:spacing w:before="7"/>
              <w:ind w:left="110"/>
              <w:rPr>
                <w:sz w:val="24"/>
              </w:rPr>
            </w:pPr>
            <w:r>
              <w:rPr>
                <w:spacing w:val="-5"/>
                <w:sz w:val="24"/>
              </w:rPr>
              <w:t>10</w:t>
            </w:r>
          </w:p>
        </w:tc>
        <w:tc>
          <w:tcPr>
            <w:tcW w:w="1607" w:type="dxa"/>
          </w:tcPr>
          <w:p>
            <w:pPr>
              <w:pStyle w:val="TableParagraph"/>
              <w:spacing w:before="7"/>
              <w:ind w:left="361"/>
              <w:rPr>
                <w:sz w:val="24"/>
              </w:rPr>
            </w:pPr>
            <w:r>
              <w:rPr>
                <w:spacing w:val="-2"/>
                <w:sz w:val="24"/>
              </w:rPr>
              <w:t>4.86296296</w:t>
            </w:r>
          </w:p>
        </w:tc>
        <w:tc>
          <w:tcPr>
            <w:tcW w:w="1115" w:type="dxa"/>
          </w:tcPr>
          <w:p>
            <w:pPr>
              <w:pStyle w:val="TableParagraph"/>
              <w:spacing w:before="7"/>
              <w:ind w:left="1"/>
              <w:jc w:val="center"/>
              <w:rPr>
                <w:sz w:val="24"/>
              </w:rPr>
            </w:pPr>
            <w:r>
              <w:rPr>
                <w:spacing w:val="-2"/>
                <w:sz w:val="24"/>
              </w:rPr>
              <w:t>29.61111</w:t>
            </w:r>
          </w:p>
        </w:tc>
        <w:tc>
          <w:tcPr>
            <w:tcW w:w="601" w:type="dxa"/>
          </w:tcPr>
          <w:p>
            <w:pPr>
              <w:pStyle w:val="TableParagraph"/>
              <w:spacing w:line="240" w:lineRule="auto"/>
              <w:rPr>
                <w:sz w:val="22"/>
              </w:rPr>
            </w:pPr>
          </w:p>
        </w:tc>
        <w:tc>
          <w:tcPr>
            <w:tcW w:w="1189" w:type="dxa"/>
          </w:tcPr>
          <w:p>
            <w:pPr>
              <w:pStyle w:val="TableParagraph"/>
              <w:spacing w:line="240" w:lineRule="auto"/>
              <w:rPr>
                <w:sz w:val="22"/>
              </w:rPr>
            </w:pPr>
          </w:p>
        </w:tc>
      </w:tr>
      <w:tr>
        <w:trPr>
          <w:trHeight w:val="300" w:hRule="atLeast"/>
        </w:trPr>
        <w:tc>
          <w:tcPr>
            <w:tcW w:w="1167" w:type="dxa"/>
          </w:tcPr>
          <w:p>
            <w:pPr>
              <w:pStyle w:val="TableParagraph"/>
              <w:spacing w:before="7"/>
              <w:ind w:left="50"/>
              <w:rPr>
                <w:sz w:val="24"/>
              </w:rPr>
            </w:pPr>
            <w:r>
              <w:rPr>
                <w:spacing w:val="-2"/>
                <w:sz w:val="24"/>
              </w:rPr>
              <w:t>512.2222</w:t>
            </w:r>
          </w:p>
        </w:tc>
        <w:tc>
          <w:tcPr>
            <w:tcW w:w="1225" w:type="dxa"/>
          </w:tcPr>
          <w:p>
            <w:pPr>
              <w:pStyle w:val="TableParagraph"/>
              <w:spacing w:before="7"/>
              <w:ind w:left="217"/>
              <w:rPr>
                <w:sz w:val="24"/>
              </w:rPr>
            </w:pPr>
            <w:r>
              <w:rPr>
                <w:spacing w:val="-2"/>
                <w:sz w:val="24"/>
              </w:rPr>
              <w:t>0.512222</w:t>
            </w:r>
          </w:p>
        </w:tc>
        <w:tc>
          <w:tcPr>
            <w:tcW w:w="768" w:type="dxa"/>
          </w:tcPr>
          <w:p>
            <w:pPr>
              <w:pStyle w:val="TableParagraph"/>
              <w:spacing w:before="7"/>
              <w:ind w:left="108"/>
              <w:rPr>
                <w:sz w:val="24"/>
              </w:rPr>
            </w:pPr>
            <w:r>
              <w:rPr>
                <w:spacing w:val="-5"/>
                <w:sz w:val="24"/>
              </w:rPr>
              <w:t>110</w:t>
            </w:r>
          </w:p>
        </w:tc>
        <w:tc>
          <w:tcPr>
            <w:tcW w:w="1309" w:type="dxa"/>
          </w:tcPr>
          <w:p>
            <w:pPr>
              <w:pStyle w:val="TableParagraph"/>
              <w:spacing w:before="7"/>
              <w:ind w:left="300"/>
              <w:rPr>
                <w:sz w:val="24"/>
              </w:rPr>
            </w:pPr>
            <w:r>
              <w:rPr>
                <w:spacing w:val="-2"/>
                <w:sz w:val="24"/>
              </w:rPr>
              <w:t>1.008148</w:t>
            </w:r>
          </w:p>
        </w:tc>
        <w:tc>
          <w:tcPr>
            <w:tcW w:w="709" w:type="dxa"/>
          </w:tcPr>
          <w:p>
            <w:pPr>
              <w:pStyle w:val="TableParagraph"/>
              <w:spacing w:before="7"/>
              <w:ind w:left="110"/>
              <w:rPr>
                <w:sz w:val="24"/>
              </w:rPr>
            </w:pPr>
            <w:r>
              <w:rPr>
                <w:spacing w:val="-5"/>
                <w:sz w:val="24"/>
              </w:rPr>
              <w:t>10</w:t>
            </w:r>
          </w:p>
        </w:tc>
        <w:tc>
          <w:tcPr>
            <w:tcW w:w="1607" w:type="dxa"/>
          </w:tcPr>
          <w:p>
            <w:pPr>
              <w:pStyle w:val="TableParagraph"/>
              <w:spacing w:before="7"/>
              <w:ind w:left="361"/>
              <w:rPr>
                <w:sz w:val="24"/>
              </w:rPr>
            </w:pPr>
            <w:r>
              <w:rPr>
                <w:spacing w:val="-2"/>
                <w:sz w:val="24"/>
              </w:rPr>
              <w:t>5.04074074</w:t>
            </w:r>
          </w:p>
        </w:tc>
        <w:tc>
          <w:tcPr>
            <w:tcW w:w="1115" w:type="dxa"/>
          </w:tcPr>
          <w:p>
            <w:pPr>
              <w:pStyle w:val="TableParagraph"/>
              <w:spacing w:before="7"/>
              <w:ind w:left="1"/>
              <w:jc w:val="center"/>
              <w:rPr>
                <w:sz w:val="24"/>
              </w:rPr>
            </w:pPr>
            <w:r>
              <w:rPr>
                <w:spacing w:val="-2"/>
                <w:sz w:val="24"/>
              </w:rPr>
              <w:t>34.65185</w:t>
            </w:r>
          </w:p>
        </w:tc>
        <w:tc>
          <w:tcPr>
            <w:tcW w:w="601" w:type="dxa"/>
          </w:tcPr>
          <w:p>
            <w:pPr>
              <w:pStyle w:val="TableParagraph"/>
              <w:spacing w:line="240" w:lineRule="auto"/>
              <w:rPr>
                <w:sz w:val="22"/>
              </w:rPr>
            </w:pPr>
          </w:p>
        </w:tc>
        <w:tc>
          <w:tcPr>
            <w:tcW w:w="1189" w:type="dxa"/>
          </w:tcPr>
          <w:p>
            <w:pPr>
              <w:pStyle w:val="TableParagraph"/>
              <w:spacing w:line="240" w:lineRule="auto"/>
              <w:rPr>
                <w:sz w:val="22"/>
              </w:rPr>
            </w:pPr>
          </w:p>
        </w:tc>
      </w:tr>
      <w:tr>
        <w:trPr>
          <w:trHeight w:val="282" w:hRule="atLeast"/>
        </w:trPr>
        <w:tc>
          <w:tcPr>
            <w:tcW w:w="1167" w:type="dxa"/>
          </w:tcPr>
          <w:p>
            <w:pPr>
              <w:pStyle w:val="TableParagraph"/>
              <w:spacing w:line="256" w:lineRule="exact" w:before="7"/>
              <w:ind w:left="50"/>
              <w:rPr>
                <w:sz w:val="24"/>
              </w:rPr>
            </w:pPr>
            <w:r>
              <w:rPr>
                <w:spacing w:val="-2"/>
                <w:sz w:val="24"/>
              </w:rPr>
              <w:t>530.3704</w:t>
            </w:r>
          </w:p>
        </w:tc>
        <w:tc>
          <w:tcPr>
            <w:tcW w:w="1225" w:type="dxa"/>
          </w:tcPr>
          <w:p>
            <w:pPr>
              <w:pStyle w:val="TableParagraph"/>
              <w:spacing w:line="256" w:lineRule="exact" w:before="7"/>
              <w:ind w:left="217"/>
              <w:rPr>
                <w:sz w:val="24"/>
              </w:rPr>
            </w:pPr>
            <w:r>
              <w:rPr>
                <w:spacing w:val="-2"/>
                <w:sz w:val="24"/>
              </w:rPr>
              <w:t>0.53037</w:t>
            </w:r>
          </w:p>
        </w:tc>
        <w:tc>
          <w:tcPr>
            <w:tcW w:w="768" w:type="dxa"/>
          </w:tcPr>
          <w:p>
            <w:pPr>
              <w:pStyle w:val="TableParagraph"/>
              <w:spacing w:line="256" w:lineRule="exact" w:before="7"/>
              <w:ind w:left="108"/>
              <w:rPr>
                <w:sz w:val="24"/>
              </w:rPr>
            </w:pPr>
            <w:r>
              <w:rPr>
                <w:spacing w:val="-5"/>
                <w:sz w:val="24"/>
              </w:rPr>
              <w:t>120</w:t>
            </w:r>
          </w:p>
        </w:tc>
        <w:tc>
          <w:tcPr>
            <w:tcW w:w="1309" w:type="dxa"/>
          </w:tcPr>
          <w:p>
            <w:pPr>
              <w:pStyle w:val="TableParagraph"/>
              <w:spacing w:line="256" w:lineRule="exact" w:before="7"/>
              <w:ind w:left="300"/>
              <w:rPr>
                <w:sz w:val="24"/>
              </w:rPr>
            </w:pPr>
            <w:r>
              <w:rPr>
                <w:spacing w:val="-2"/>
                <w:sz w:val="24"/>
              </w:rPr>
              <w:t>1.042593</w:t>
            </w:r>
          </w:p>
        </w:tc>
        <w:tc>
          <w:tcPr>
            <w:tcW w:w="709" w:type="dxa"/>
          </w:tcPr>
          <w:p>
            <w:pPr>
              <w:pStyle w:val="TableParagraph"/>
              <w:spacing w:line="256" w:lineRule="exact" w:before="7"/>
              <w:ind w:left="110"/>
              <w:rPr>
                <w:sz w:val="24"/>
              </w:rPr>
            </w:pPr>
            <w:r>
              <w:rPr>
                <w:spacing w:val="-5"/>
                <w:sz w:val="24"/>
              </w:rPr>
              <w:t>10</w:t>
            </w:r>
          </w:p>
        </w:tc>
        <w:tc>
          <w:tcPr>
            <w:tcW w:w="1607" w:type="dxa"/>
          </w:tcPr>
          <w:p>
            <w:pPr>
              <w:pStyle w:val="TableParagraph"/>
              <w:spacing w:line="256" w:lineRule="exact" w:before="7"/>
              <w:ind w:left="361"/>
              <w:rPr>
                <w:sz w:val="24"/>
              </w:rPr>
            </w:pPr>
            <w:r>
              <w:rPr>
                <w:spacing w:val="-2"/>
                <w:sz w:val="24"/>
              </w:rPr>
              <w:t>5.21296296</w:t>
            </w:r>
          </w:p>
        </w:tc>
        <w:tc>
          <w:tcPr>
            <w:tcW w:w="1115" w:type="dxa"/>
          </w:tcPr>
          <w:p>
            <w:pPr>
              <w:pStyle w:val="TableParagraph"/>
              <w:spacing w:line="256" w:lineRule="exact" w:before="7"/>
              <w:ind w:right="-15"/>
              <w:jc w:val="center"/>
              <w:rPr>
                <w:sz w:val="24"/>
              </w:rPr>
            </w:pPr>
            <w:r>
              <w:rPr>
                <w:color w:val="000000"/>
                <w:spacing w:val="48"/>
                <w:sz w:val="24"/>
                <w:highlight w:val="yellow"/>
              </w:rPr>
              <w:t> </w:t>
            </w:r>
            <w:r>
              <w:rPr>
                <w:color w:val="000000"/>
                <w:spacing w:val="-2"/>
                <w:sz w:val="24"/>
                <w:highlight w:val="yellow"/>
              </w:rPr>
              <w:t>39.86481</w:t>
            </w:r>
            <w:r>
              <w:rPr>
                <w:color w:val="000000"/>
                <w:spacing w:val="80"/>
                <w:sz w:val="24"/>
                <w:highlight w:val="yellow"/>
              </w:rPr>
              <w:t> </w:t>
            </w:r>
          </w:p>
        </w:tc>
        <w:tc>
          <w:tcPr>
            <w:tcW w:w="601" w:type="dxa"/>
          </w:tcPr>
          <w:p>
            <w:pPr>
              <w:pStyle w:val="TableParagraph"/>
              <w:spacing w:line="240" w:lineRule="auto"/>
              <w:rPr>
                <w:sz w:val="20"/>
              </w:rPr>
            </w:pPr>
          </w:p>
        </w:tc>
        <w:tc>
          <w:tcPr>
            <w:tcW w:w="1189" w:type="dxa"/>
          </w:tcPr>
          <w:p>
            <w:pPr>
              <w:pStyle w:val="TableParagraph"/>
              <w:spacing w:line="240" w:lineRule="auto"/>
              <w:rPr>
                <w:sz w:val="20"/>
              </w:rPr>
            </w:pPr>
          </w:p>
        </w:tc>
      </w:tr>
    </w:tbl>
    <w:p>
      <w:pPr>
        <w:pStyle w:val="BodyText"/>
        <w:rPr>
          <w:b/>
        </w:rPr>
      </w:pPr>
    </w:p>
    <w:p>
      <w:pPr>
        <w:pStyle w:val="BodyText"/>
        <w:spacing w:before="8"/>
        <w:rPr>
          <w:b/>
        </w:rPr>
      </w:pPr>
    </w:p>
    <w:p>
      <w:pPr>
        <w:pStyle w:val="Heading2"/>
        <w:ind w:left="1100"/>
      </w:pPr>
      <w:bookmarkStart w:name="_TOC_250000" w:id="84"/>
      <w:r>
        <w:rPr/>
        <w:t>7.7</w:t>
      </w:r>
      <w:r>
        <w:rPr>
          <w:spacing w:val="-1"/>
        </w:rPr>
        <w:t> </w:t>
      </w:r>
      <w:r>
        <w:rPr/>
        <w:t>In</w:t>
      </w:r>
      <w:r>
        <w:rPr>
          <w:spacing w:val="-1"/>
        </w:rPr>
        <w:t> </w:t>
      </w:r>
      <w:r>
        <w:rPr/>
        <w:t>vitro dissolution</w:t>
      </w:r>
      <w:r>
        <w:rPr>
          <w:spacing w:val="-3"/>
        </w:rPr>
        <w:t> </w:t>
      </w:r>
      <w:r>
        <w:rPr/>
        <w:t>studies</w:t>
      </w:r>
      <w:r>
        <w:rPr>
          <w:spacing w:val="-1"/>
        </w:rPr>
        <w:t> </w:t>
      </w:r>
      <w:r>
        <w:rPr/>
        <w:t>at</w:t>
      </w:r>
      <w:r>
        <w:rPr>
          <w:spacing w:val="-1"/>
        </w:rPr>
        <w:t> </w:t>
      </w:r>
      <w:r>
        <w:rPr/>
        <w:t>blood pH</w:t>
      </w:r>
      <w:r>
        <w:rPr>
          <w:spacing w:val="-1"/>
        </w:rPr>
        <w:t> </w:t>
      </w:r>
      <w:r>
        <w:rPr/>
        <w:t>(7.4)</w:t>
      </w:r>
      <w:r>
        <w:rPr>
          <w:spacing w:val="-1"/>
        </w:rPr>
        <w:t> </w:t>
      </w:r>
      <w:r>
        <w:rPr/>
        <w:t>using</w:t>
      </w:r>
      <w:r>
        <w:rPr>
          <w:spacing w:val="-1"/>
        </w:rPr>
        <w:t> </w:t>
      </w:r>
      <w:r>
        <w:rPr/>
        <w:t>phosphate</w:t>
      </w:r>
      <w:r>
        <w:rPr>
          <w:spacing w:val="-1"/>
        </w:rPr>
        <w:t> </w:t>
      </w:r>
      <w:bookmarkEnd w:id="84"/>
      <w:r>
        <w:rPr>
          <w:spacing w:val="-2"/>
        </w:rPr>
        <w:t>buffer</w:t>
      </w:r>
    </w:p>
    <w:p>
      <w:pPr>
        <w:pStyle w:val="BodyText"/>
        <w:spacing w:before="52"/>
        <w:rPr>
          <w:b/>
          <w:sz w:val="20"/>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1022"/>
        <w:gridCol w:w="777"/>
        <w:gridCol w:w="1128"/>
        <w:gridCol w:w="681"/>
        <w:gridCol w:w="1450"/>
        <w:gridCol w:w="1021"/>
        <w:gridCol w:w="880"/>
        <w:gridCol w:w="882"/>
      </w:tblGrid>
      <w:tr>
        <w:trPr>
          <w:trHeight w:val="558" w:hRule="atLeast"/>
        </w:trPr>
        <w:tc>
          <w:tcPr>
            <w:tcW w:w="951" w:type="dxa"/>
          </w:tcPr>
          <w:p>
            <w:pPr>
              <w:pStyle w:val="TableParagraph"/>
              <w:spacing w:before="266"/>
              <w:ind w:left="50"/>
              <w:rPr>
                <w:sz w:val="24"/>
              </w:rPr>
            </w:pPr>
            <w:r>
              <w:rPr>
                <w:spacing w:val="-5"/>
                <w:sz w:val="24"/>
              </w:rPr>
              <w:t>mg</w:t>
            </w:r>
          </w:p>
        </w:tc>
        <w:tc>
          <w:tcPr>
            <w:tcW w:w="1022" w:type="dxa"/>
          </w:tcPr>
          <w:p>
            <w:pPr>
              <w:pStyle w:val="TableParagraph"/>
              <w:spacing w:before="266"/>
              <w:ind w:left="121"/>
              <w:rPr>
                <w:sz w:val="24"/>
              </w:rPr>
            </w:pPr>
            <w:r>
              <w:rPr>
                <w:spacing w:val="-2"/>
                <w:sz w:val="24"/>
              </w:rPr>
              <w:t>mg/ml</w:t>
            </w:r>
          </w:p>
        </w:tc>
        <w:tc>
          <w:tcPr>
            <w:tcW w:w="777" w:type="dxa"/>
          </w:tcPr>
          <w:p>
            <w:pPr>
              <w:pStyle w:val="TableParagraph"/>
              <w:spacing w:before="266"/>
              <w:ind w:left="122"/>
              <w:rPr>
                <w:sz w:val="24"/>
              </w:rPr>
            </w:pPr>
            <w:r>
              <w:rPr>
                <w:spacing w:val="-4"/>
                <w:sz w:val="24"/>
              </w:rPr>
              <w:t>time</w:t>
            </w:r>
          </w:p>
        </w:tc>
        <w:tc>
          <w:tcPr>
            <w:tcW w:w="1128" w:type="dxa"/>
          </w:tcPr>
          <w:p>
            <w:pPr>
              <w:pStyle w:val="TableParagraph"/>
              <w:spacing w:before="266"/>
              <w:ind w:left="228"/>
              <w:rPr>
                <w:sz w:val="24"/>
              </w:rPr>
            </w:pPr>
            <w:r>
              <w:rPr>
                <w:spacing w:val="-2"/>
                <w:sz w:val="24"/>
              </w:rPr>
              <w:t>C1+C2</w:t>
            </w:r>
          </w:p>
        </w:tc>
        <w:tc>
          <w:tcPr>
            <w:tcW w:w="681" w:type="dxa"/>
          </w:tcPr>
          <w:p>
            <w:pPr>
              <w:pStyle w:val="TableParagraph"/>
              <w:spacing w:before="266"/>
              <w:ind w:left="122"/>
              <w:rPr>
                <w:sz w:val="24"/>
              </w:rPr>
            </w:pPr>
            <w:r>
              <w:rPr>
                <w:spacing w:val="-5"/>
                <w:sz w:val="24"/>
              </w:rPr>
              <w:t>dt</w:t>
            </w:r>
          </w:p>
        </w:tc>
        <w:tc>
          <w:tcPr>
            <w:tcW w:w="1450" w:type="dxa"/>
          </w:tcPr>
          <w:p>
            <w:pPr>
              <w:pStyle w:val="TableParagraph"/>
              <w:spacing w:line="266" w:lineRule="exact"/>
              <w:ind w:left="323"/>
              <w:rPr>
                <w:sz w:val="24"/>
              </w:rPr>
            </w:pPr>
            <w:r>
              <w:rPr>
                <w:spacing w:val="-4"/>
                <w:sz w:val="24"/>
              </w:rPr>
              <w:t>AUC=</w:t>
            </w:r>
          </w:p>
          <w:p>
            <w:pPr>
              <w:pStyle w:val="TableParagraph"/>
              <w:ind w:left="323"/>
              <w:rPr>
                <w:sz w:val="24"/>
              </w:rPr>
            </w:pPr>
            <w:r>
              <w:rPr>
                <w:spacing w:val="-2"/>
                <w:sz w:val="24"/>
              </w:rPr>
              <w:t>linear</w:t>
            </w:r>
          </w:p>
        </w:tc>
        <w:tc>
          <w:tcPr>
            <w:tcW w:w="1021" w:type="dxa"/>
          </w:tcPr>
          <w:p>
            <w:pPr>
              <w:pStyle w:val="TableParagraph"/>
              <w:spacing w:line="266" w:lineRule="exact"/>
              <w:ind w:left="111"/>
              <w:rPr>
                <w:sz w:val="24"/>
              </w:rPr>
            </w:pPr>
            <w:r>
              <w:rPr>
                <w:spacing w:val="-5"/>
                <w:sz w:val="24"/>
              </w:rPr>
              <w:t>AUC</w:t>
            </w:r>
          </w:p>
          <w:p>
            <w:pPr>
              <w:pStyle w:val="TableParagraph"/>
              <w:ind w:left="111"/>
              <w:rPr>
                <w:sz w:val="24"/>
              </w:rPr>
            </w:pPr>
            <w:r>
              <w:rPr>
                <w:spacing w:val="-2"/>
                <w:sz w:val="24"/>
              </w:rPr>
              <w:t>total</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300" w:hRule="atLeast"/>
        </w:trPr>
        <w:tc>
          <w:tcPr>
            <w:tcW w:w="951" w:type="dxa"/>
          </w:tcPr>
          <w:p>
            <w:pPr>
              <w:pStyle w:val="TableParagraph"/>
              <w:spacing w:before="7"/>
              <w:ind w:left="50"/>
              <w:rPr>
                <w:sz w:val="24"/>
              </w:rPr>
            </w:pPr>
            <w:r>
              <w:rPr>
                <w:spacing w:val="-10"/>
                <w:sz w:val="24"/>
              </w:rPr>
              <w:t>A</w:t>
            </w:r>
          </w:p>
        </w:tc>
        <w:tc>
          <w:tcPr>
            <w:tcW w:w="1022" w:type="dxa"/>
          </w:tcPr>
          <w:p>
            <w:pPr>
              <w:pStyle w:val="TableParagraph"/>
              <w:spacing w:line="240" w:lineRule="auto"/>
              <w:rPr>
                <w:sz w:val="22"/>
              </w:rPr>
            </w:pPr>
          </w:p>
        </w:tc>
        <w:tc>
          <w:tcPr>
            <w:tcW w:w="777" w:type="dxa"/>
          </w:tcPr>
          <w:p>
            <w:pPr>
              <w:pStyle w:val="TableParagraph"/>
              <w:spacing w:line="240" w:lineRule="auto"/>
              <w:rPr>
                <w:sz w:val="22"/>
              </w:rPr>
            </w:pPr>
          </w:p>
        </w:tc>
        <w:tc>
          <w:tcPr>
            <w:tcW w:w="1128" w:type="dxa"/>
          </w:tcPr>
          <w:p>
            <w:pPr>
              <w:pStyle w:val="TableParagraph"/>
              <w:spacing w:line="240" w:lineRule="auto"/>
              <w:rPr>
                <w:sz w:val="22"/>
              </w:rPr>
            </w:pPr>
          </w:p>
        </w:tc>
        <w:tc>
          <w:tcPr>
            <w:tcW w:w="681" w:type="dxa"/>
          </w:tcPr>
          <w:p>
            <w:pPr>
              <w:pStyle w:val="TableParagraph"/>
              <w:spacing w:line="240" w:lineRule="auto"/>
              <w:rPr>
                <w:sz w:val="22"/>
              </w:rPr>
            </w:pPr>
          </w:p>
        </w:tc>
        <w:tc>
          <w:tcPr>
            <w:tcW w:w="1450" w:type="dxa"/>
          </w:tcPr>
          <w:p>
            <w:pPr>
              <w:pStyle w:val="TableParagraph"/>
              <w:spacing w:line="240" w:lineRule="auto"/>
              <w:rPr>
                <w:sz w:val="22"/>
              </w:rPr>
            </w:pPr>
          </w:p>
        </w:tc>
        <w:tc>
          <w:tcPr>
            <w:tcW w:w="1021" w:type="dxa"/>
          </w:tcPr>
          <w:p>
            <w:pPr>
              <w:pStyle w:val="TableParagraph"/>
              <w:spacing w:line="240" w:lineRule="auto"/>
              <w:rPr>
                <w:sz w:val="22"/>
              </w:rPr>
            </w:pPr>
          </w:p>
        </w:tc>
        <w:tc>
          <w:tcPr>
            <w:tcW w:w="880" w:type="dxa"/>
          </w:tcPr>
          <w:p>
            <w:pPr>
              <w:pStyle w:val="TableParagraph"/>
              <w:spacing w:line="240" w:lineRule="auto"/>
              <w:rPr>
                <w:sz w:val="22"/>
              </w:rPr>
            </w:pPr>
          </w:p>
        </w:tc>
        <w:tc>
          <w:tcPr>
            <w:tcW w:w="882" w:type="dxa"/>
          </w:tcPr>
          <w:p>
            <w:pPr>
              <w:pStyle w:val="TableParagraph"/>
              <w:spacing w:line="240" w:lineRule="auto"/>
              <w:rPr>
                <w:sz w:val="22"/>
              </w:rPr>
            </w:pPr>
          </w:p>
        </w:tc>
      </w:tr>
      <w:tr>
        <w:trPr>
          <w:trHeight w:val="287" w:hRule="atLeast"/>
        </w:trPr>
        <w:tc>
          <w:tcPr>
            <w:tcW w:w="951" w:type="dxa"/>
          </w:tcPr>
          <w:p>
            <w:pPr>
              <w:pStyle w:val="TableParagraph"/>
              <w:spacing w:line="261" w:lineRule="exact" w:before="7"/>
              <w:ind w:left="50"/>
              <w:rPr>
                <w:sz w:val="24"/>
              </w:rPr>
            </w:pPr>
            <w:r>
              <w:rPr>
                <w:spacing w:val="-10"/>
                <w:sz w:val="24"/>
              </w:rPr>
              <w:t>0</w:t>
            </w:r>
          </w:p>
        </w:tc>
        <w:tc>
          <w:tcPr>
            <w:tcW w:w="1022" w:type="dxa"/>
          </w:tcPr>
          <w:p>
            <w:pPr>
              <w:pStyle w:val="TableParagraph"/>
              <w:spacing w:line="261" w:lineRule="exact" w:before="7"/>
              <w:ind w:left="121"/>
              <w:rPr>
                <w:sz w:val="24"/>
              </w:rPr>
            </w:pPr>
            <w:r>
              <w:rPr>
                <w:spacing w:val="-10"/>
                <w:sz w:val="24"/>
              </w:rPr>
              <w:t>0</w:t>
            </w:r>
          </w:p>
        </w:tc>
        <w:tc>
          <w:tcPr>
            <w:tcW w:w="777" w:type="dxa"/>
          </w:tcPr>
          <w:p>
            <w:pPr>
              <w:pStyle w:val="TableParagraph"/>
              <w:spacing w:line="261" w:lineRule="exact" w:before="7"/>
              <w:ind w:left="122"/>
              <w:rPr>
                <w:sz w:val="24"/>
              </w:rPr>
            </w:pPr>
            <w:r>
              <w:rPr>
                <w:spacing w:val="-10"/>
                <w:sz w:val="24"/>
              </w:rPr>
              <w:t>0</w:t>
            </w:r>
          </w:p>
        </w:tc>
        <w:tc>
          <w:tcPr>
            <w:tcW w:w="1128" w:type="dxa"/>
          </w:tcPr>
          <w:p>
            <w:pPr>
              <w:pStyle w:val="TableParagraph"/>
              <w:spacing w:line="261" w:lineRule="exact" w:before="7"/>
              <w:ind w:left="228"/>
              <w:rPr>
                <w:sz w:val="24"/>
              </w:rPr>
            </w:pPr>
            <w:r>
              <w:rPr>
                <w:spacing w:val="-10"/>
                <w:sz w:val="24"/>
              </w:rPr>
              <w:t>0</w:t>
            </w:r>
          </w:p>
        </w:tc>
        <w:tc>
          <w:tcPr>
            <w:tcW w:w="681" w:type="dxa"/>
          </w:tcPr>
          <w:p>
            <w:pPr>
              <w:pStyle w:val="TableParagraph"/>
              <w:spacing w:line="261" w:lineRule="exact" w:before="7"/>
              <w:ind w:left="122"/>
              <w:rPr>
                <w:sz w:val="24"/>
              </w:rPr>
            </w:pPr>
            <w:r>
              <w:rPr>
                <w:spacing w:val="-10"/>
                <w:sz w:val="24"/>
              </w:rPr>
              <w:t>0</w:t>
            </w:r>
          </w:p>
        </w:tc>
        <w:tc>
          <w:tcPr>
            <w:tcW w:w="1450" w:type="dxa"/>
          </w:tcPr>
          <w:p>
            <w:pPr>
              <w:pStyle w:val="TableParagraph"/>
              <w:spacing w:line="261" w:lineRule="exact" w:before="7"/>
              <w:ind w:left="323"/>
              <w:rPr>
                <w:sz w:val="24"/>
              </w:rPr>
            </w:pPr>
            <w:r>
              <w:rPr>
                <w:spacing w:val="-10"/>
                <w:sz w:val="24"/>
              </w:rPr>
              <w:t>0</w:t>
            </w:r>
          </w:p>
        </w:tc>
        <w:tc>
          <w:tcPr>
            <w:tcW w:w="1021" w:type="dxa"/>
          </w:tcPr>
          <w:p>
            <w:pPr>
              <w:pStyle w:val="TableParagraph"/>
              <w:spacing w:line="261" w:lineRule="exact" w:before="7"/>
              <w:ind w:left="111"/>
              <w:rPr>
                <w:sz w:val="24"/>
              </w:rPr>
            </w:pPr>
            <w:r>
              <w:rPr>
                <w:spacing w:val="-10"/>
                <w:sz w:val="24"/>
              </w:rPr>
              <w:t>0</w:t>
            </w:r>
          </w:p>
        </w:tc>
        <w:tc>
          <w:tcPr>
            <w:tcW w:w="880" w:type="dxa"/>
          </w:tcPr>
          <w:p>
            <w:pPr>
              <w:pStyle w:val="TableParagraph"/>
              <w:spacing w:line="240" w:lineRule="auto"/>
              <w:rPr>
                <w:sz w:val="20"/>
              </w:rPr>
            </w:pPr>
          </w:p>
        </w:tc>
        <w:tc>
          <w:tcPr>
            <w:tcW w:w="882" w:type="dxa"/>
          </w:tcPr>
          <w:p>
            <w:pPr>
              <w:pStyle w:val="TableParagraph"/>
              <w:spacing w:line="240" w:lineRule="auto"/>
              <w:rPr>
                <w:sz w:val="20"/>
              </w:rPr>
            </w:pPr>
          </w:p>
        </w:tc>
      </w:tr>
      <w:tr>
        <w:trPr>
          <w:trHeight w:val="552" w:hRule="atLeast"/>
        </w:trPr>
        <w:tc>
          <w:tcPr>
            <w:tcW w:w="951" w:type="dxa"/>
          </w:tcPr>
          <w:p>
            <w:pPr>
              <w:pStyle w:val="TableParagraph"/>
              <w:spacing w:line="271" w:lineRule="exact"/>
              <w:ind w:left="50"/>
              <w:rPr>
                <w:sz w:val="24"/>
              </w:rPr>
            </w:pPr>
            <w:r>
              <w:rPr>
                <w:spacing w:val="-2"/>
                <w:sz w:val="24"/>
              </w:rPr>
              <w:t>25.8620</w:t>
            </w:r>
          </w:p>
          <w:p>
            <w:pPr>
              <w:pStyle w:val="TableParagraph"/>
              <w:spacing w:line="261" w:lineRule="exact"/>
              <w:ind w:left="50"/>
              <w:rPr>
                <w:sz w:val="24"/>
              </w:rPr>
            </w:pPr>
            <w:r>
              <w:rPr>
                <w:spacing w:val="-10"/>
                <w:sz w:val="24"/>
              </w:rPr>
              <w:t>7</w:t>
            </w:r>
          </w:p>
        </w:tc>
        <w:tc>
          <w:tcPr>
            <w:tcW w:w="1022" w:type="dxa"/>
          </w:tcPr>
          <w:p>
            <w:pPr>
              <w:pStyle w:val="TableParagraph"/>
              <w:spacing w:line="271" w:lineRule="exact"/>
              <w:ind w:left="121"/>
              <w:rPr>
                <w:sz w:val="24"/>
              </w:rPr>
            </w:pPr>
            <w:r>
              <w:rPr>
                <w:spacing w:val="-2"/>
                <w:sz w:val="24"/>
              </w:rPr>
              <w:t>0.02586</w:t>
            </w:r>
          </w:p>
          <w:p>
            <w:pPr>
              <w:pStyle w:val="TableParagraph"/>
              <w:spacing w:line="261" w:lineRule="exact"/>
              <w:ind w:left="121"/>
              <w:rPr>
                <w:sz w:val="24"/>
              </w:rPr>
            </w:pPr>
            <w:r>
              <w:rPr>
                <w:spacing w:val="-10"/>
                <w:sz w:val="24"/>
              </w:rPr>
              <w:t>2</w:t>
            </w:r>
          </w:p>
        </w:tc>
        <w:tc>
          <w:tcPr>
            <w:tcW w:w="777" w:type="dxa"/>
          </w:tcPr>
          <w:p>
            <w:pPr>
              <w:pStyle w:val="TableParagraph"/>
              <w:spacing w:line="261" w:lineRule="exact" w:before="271"/>
              <w:ind w:left="122"/>
              <w:rPr>
                <w:sz w:val="24"/>
              </w:rPr>
            </w:pPr>
            <w:r>
              <w:rPr>
                <w:spacing w:val="-10"/>
                <w:sz w:val="24"/>
              </w:rPr>
              <w:t>5</w:t>
            </w:r>
          </w:p>
        </w:tc>
        <w:tc>
          <w:tcPr>
            <w:tcW w:w="1128" w:type="dxa"/>
          </w:tcPr>
          <w:p>
            <w:pPr>
              <w:pStyle w:val="TableParagraph"/>
              <w:spacing w:line="271" w:lineRule="exact"/>
              <w:ind w:left="228"/>
              <w:rPr>
                <w:sz w:val="24"/>
              </w:rPr>
            </w:pPr>
            <w:r>
              <w:rPr>
                <w:spacing w:val="-2"/>
                <w:sz w:val="24"/>
              </w:rPr>
              <w:t>0.02586</w:t>
            </w:r>
          </w:p>
          <w:p>
            <w:pPr>
              <w:pStyle w:val="TableParagraph"/>
              <w:spacing w:line="261" w:lineRule="exact"/>
              <w:ind w:left="228"/>
              <w:rPr>
                <w:sz w:val="24"/>
              </w:rPr>
            </w:pPr>
            <w:r>
              <w:rPr>
                <w:spacing w:val="-10"/>
                <w:sz w:val="24"/>
              </w:rPr>
              <w:t>2</w:t>
            </w:r>
          </w:p>
        </w:tc>
        <w:tc>
          <w:tcPr>
            <w:tcW w:w="681" w:type="dxa"/>
          </w:tcPr>
          <w:p>
            <w:pPr>
              <w:pStyle w:val="TableParagraph"/>
              <w:spacing w:line="261" w:lineRule="exact" w:before="271"/>
              <w:ind w:left="122"/>
              <w:rPr>
                <w:sz w:val="24"/>
              </w:rPr>
            </w:pPr>
            <w:r>
              <w:rPr>
                <w:spacing w:val="-10"/>
                <w:sz w:val="24"/>
              </w:rPr>
              <w:t>5</w:t>
            </w:r>
          </w:p>
        </w:tc>
        <w:tc>
          <w:tcPr>
            <w:tcW w:w="1450" w:type="dxa"/>
          </w:tcPr>
          <w:p>
            <w:pPr>
              <w:pStyle w:val="TableParagraph"/>
              <w:spacing w:line="271" w:lineRule="exact"/>
              <w:ind w:left="323"/>
              <w:rPr>
                <w:sz w:val="24"/>
              </w:rPr>
            </w:pPr>
            <w:r>
              <w:rPr>
                <w:spacing w:val="-2"/>
                <w:sz w:val="24"/>
              </w:rPr>
              <w:t>0.0646551</w:t>
            </w:r>
          </w:p>
          <w:p>
            <w:pPr>
              <w:pStyle w:val="TableParagraph"/>
              <w:spacing w:line="261" w:lineRule="exact"/>
              <w:ind w:left="323"/>
              <w:rPr>
                <w:sz w:val="24"/>
              </w:rPr>
            </w:pPr>
            <w:r>
              <w:rPr>
                <w:spacing w:val="-10"/>
                <w:sz w:val="24"/>
              </w:rPr>
              <w:t>7</w:t>
            </w:r>
          </w:p>
        </w:tc>
        <w:tc>
          <w:tcPr>
            <w:tcW w:w="1021" w:type="dxa"/>
          </w:tcPr>
          <w:p>
            <w:pPr>
              <w:pStyle w:val="TableParagraph"/>
              <w:spacing w:line="271" w:lineRule="exact"/>
              <w:ind w:left="111"/>
              <w:rPr>
                <w:sz w:val="24"/>
              </w:rPr>
            </w:pPr>
            <w:r>
              <w:rPr>
                <w:spacing w:val="-2"/>
                <w:sz w:val="24"/>
              </w:rPr>
              <w:t>0.06465</w:t>
            </w:r>
          </w:p>
          <w:p>
            <w:pPr>
              <w:pStyle w:val="TableParagraph"/>
              <w:spacing w:line="261" w:lineRule="exact"/>
              <w:ind w:left="111"/>
              <w:rPr>
                <w:sz w:val="24"/>
              </w:rPr>
            </w:pPr>
            <w:r>
              <w:rPr>
                <w:spacing w:val="-10"/>
                <w:sz w:val="24"/>
              </w:rPr>
              <w:t>5</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49.6551</w:t>
            </w:r>
          </w:p>
          <w:p>
            <w:pPr>
              <w:pStyle w:val="TableParagraph"/>
              <w:spacing w:line="261" w:lineRule="exact"/>
              <w:ind w:left="50"/>
              <w:rPr>
                <w:sz w:val="24"/>
              </w:rPr>
            </w:pPr>
            <w:r>
              <w:rPr>
                <w:spacing w:val="-10"/>
                <w:sz w:val="24"/>
              </w:rPr>
              <w:t>7</w:t>
            </w:r>
          </w:p>
        </w:tc>
        <w:tc>
          <w:tcPr>
            <w:tcW w:w="1022" w:type="dxa"/>
          </w:tcPr>
          <w:p>
            <w:pPr>
              <w:pStyle w:val="TableParagraph"/>
              <w:spacing w:line="271" w:lineRule="exact"/>
              <w:ind w:left="121"/>
              <w:rPr>
                <w:sz w:val="24"/>
              </w:rPr>
            </w:pPr>
            <w:r>
              <w:rPr>
                <w:spacing w:val="-2"/>
                <w:sz w:val="24"/>
              </w:rPr>
              <w:t>0.04965</w:t>
            </w:r>
          </w:p>
          <w:p>
            <w:pPr>
              <w:pStyle w:val="TableParagraph"/>
              <w:spacing w:line="261" w:lineRule="exact"/>
              <w:ind w:left="121"/>
              <w:rPr>
                <w:sz w:val="24"/>
              </w:rPr>
            </w:pPr>
            <w:r>
              <w:rPr>
                <w:spacing w:val="-10"/>
                <w:sz w:val="24"/>
              </w:rPr>
              <w:t>5</w:t>
            </w:r>
          </w:p>
        </w:tc>
        <w:tc>
          <w:tcPr>
            <w:tcW w:w="777" w:type="dxa"/>
          </w:tcPr>
          <w:p>
            <w:pPr>
              <w:pStyle w:val="TableParagraph"/>
              <w:spacing w:line="261" w:lineRule="exact" w:before="271"/>
              <w:ind w:left="122"/>
              <w:rPr>
                <w:sz w:val="24"/>
              </w:rPr>
            </w:pPr>
            <w:r>
              <w:rPr>
                <w:spacing w:val="-5"/>
                <w:sz w:val="24"/>
              </w:rPr>
              <w:t>10</w:t>
            </w:r>
          </w:p>
        </w:tc>
        <w:tc>
          <w:tcPr>
            <w:tcW w:w="1128" w:type="dxa"/>
          </w:tcPr>
          <w:p>
            <w:pPr>
              <w:pStyle w:val="TableParagraph"/>
              <w:spacing w:line="271" w:lineRule="exact"/>
              <w:ind w:left="228"/>
              <w:rPr>
                <w:sz w:val="24"/>
              </w:rPr>
            </w:pPr>
            <w:r>
              <w:rPr>
                <w:spacing w:val="-2"/>
                <w:sz w:val="24"/>
              </w:rPr>
              <w:t>0.07551</w:t>
            </w:r>
          </w:p>
          <w:p>
            <w:pPr>
              <w:pStyle w:val="TableParagraph"/>
              <w:spacing w:line="261" w:lineRule="exact"/>
              <w:ind w:left="228"/>
              <w:rPr>
                <w:sz w:val="24"/>
              </w:rPr>
            </w:pPr>
            <w:r>
              <w:rPr>
                <w:spacing w:val="-10"/>
                <w:sz w:val="24"/>
              </w:rPr>
              <w:t>7</w:t>
            </w:r>
          </w:p>
        </w:tc>
        <w:tc>
          <w:tcPr>
            <w:tcW w:w="681" w:type="dxa"/>
          </w:tcPr>
          <w:p>
            <w:pPr>
              <w:pStyle w:val="TableParagraph"/>
              <w:spacing w:line="261" w:lineRule="exact" w:before="271"/>
              <w:ind w:left="122"/>
              <w:rPr>
                <w:sz w:val="24"/>
              </w:rPr>
            </w:pPr>
            <w:r>
              <w:rPr>
                <w:spacing w:val="-10"/>
                <w:sz w:val="24"/>
              </w:rPr>
              <w:t>5</w:t>
            </w:r>
          </w:p>
        </w:tc>
        <w:tc>
          <w:tcPr>
            <w:tcW w:w="1450" w:type="dxa"/>
          </w:tcPr>
          <w:p>
            <w:pPr>
              <w:pStyle w:val="TableParagraph"/>
              <w:spacing w:line="261" w:lineRule="exact" w:before="271"/>
              <w:ind w:left="323"/>
              <w:rPr>
                <w:sz w:val="24"/>
              </w:rPr>
            </w:pPr>
            <w:r>
              <w:rPr>
                <w:spacing w:val="-2"/>
                <w:sz w:val="24"/>
              </w:rPr>
              <w:t>0.1887931</w:t>
            </w:r>
          </w:p>
        </w:tc>
        <w:tc>
          <w:tcPr>
            <w:tcW w:w="1021" w:type="dxa"/>
          </w:tcPr>
          <w:p>
            <w:pPr>
              <w:pStyle w:val="TableParagraph"/>
              <w:spacing w:line="271" w:lineRule="exact"/>
              <w:ind w:left="111"/>
              <w:rPr>
                <w:sz w:val="24"/>
              </w:rPr>
            </w:pPr>
            <w:r>
              <w:rPr>
                <w:spacing w:val="-2"/>
                <w:sz w:val="24"/>
              </w:rPr>
              <w:t>0.25344</w:t>
            </w:r>
          </w:p>
          <w:p>
            <w:pPr>
              <w:pStyle w:val="TableParagraph"/>
              <w:spacing w:line="261" w:lineRule="exact"/>
              <w:ind w:left="111"/>
              <w:rPr>
                <w:sz w:val="24"/>
              </w:rPr>
            </w:pPr>
            <w:r>
              <w:rPr>
                <w:spacing w:val="-10"/>
                <w:sz w:val="24"/>
              </w:rPr>
              <w:t>8</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5" w:hRule="atLeast"/>
        </w:trPr>
        <w:tc>
          <w:tcPr>
            <w:tcW w:w="951" w:type="dxa"/>
          </w:tcPr>
          <w:p>
            <w:pPr>
              <w:pStyle w:val="TableParagraph"/>
              <w:spacing w:line="271" w:lineRule="exact"/>
              <w:ind w:left="50"/>
              <w:rPr>
                <w:sz w:val="24"/>
              </w:rPr>
            </w:pPr>
            <w:r>
              <w:rPr>
                <w:spacing w:val="-2"/>
                <w:sz w:val="24"/>
              </w:rPr>
              <w:t>76.5517</w:t>
            </w:r>
          </w:p>
          <w:p>
            <w:pPr>
              <w:pStyle w:val="TableParagraph"/>
              <w:spacing w:line="264" w:lineRule="exact"/>
              <w:ind w:left="50"/>
              <w:rPr>
                <w:sz w:val="24"/>
              </w:rPr>
            </w:pPr>
            <w:r>
              <w:rPr>
                <w:spacing w:val="-10"/>
                <w:sz w:val="24"/>
              </w:rPr>
              <w:t>2</w:t>
            </w:r>
          </w:p>
        </w:tc>
        <w:tc>
          <w:tcPr>
            <w:tcW w:w="1022" w:type="dxa"/>
          </w:tcPr>
          <w:p>
            <w:pPr>
              <w:pStyle w:val="TableParagraph"/>
              <w:spacing w:line="271" w:lineRule="exact"/>
              <w:ind w:left="121"/>
              <w:rPr>
                <w:sz w:val="24"/>
              </w:rPr>
            </w:pPr>
            <w:r>
              <w:rPr>
                <w:spacing w:val="-2"/>
                <w:sz w:val="24"/>
              </w:rPr>
              <w:t>0.07655</w:t>
            </w:r>
          </w:p>
          <w:p>
            <w:pPr>
              <w:pStyle w:val="TableParagraph"/>
              <w:spacing w:line="264" w:lineRule="exact"/>
              <w:ind w:left="121"/>
              <w:rPr>
                <w:sz w:val="24"/>
              </w:rPr>
            </w:pPr>
            <w:r>
              <w:rPr>
                <w:spacing w:val="-10"/>
                <w:sz w:val="24"/>
              </w:rPr>
              <w:t>2</w:t>
            </w:r>
          </w:p>
        </w:tc>
        <w:tc>
          <w:tcPr>
            <w:tcW w:w="777" w:type="dxa"/>
          </w:tcPr>
          <w:p>
            <w:pPr>
              <w:pStyle w:val="TableParagraph"/>
              <w:spacing w:line="264" w:lineRule="exact" w:before="271"/>
              <w:ind w:left="122"/>
              <w:rPr>
                <w:sz w:val="24"/>
              </w:rPr>
            </w:pPr>
            <w:r>
              <w:rPr>
                <w:spacing w:val="-5"/>
                <w:sz w:val="24"/>
              </w:rPr>
              <w:t>20</w:t>
            </w:r>
          </w:p>
        </w:tc>
        <w:tc>
          <w:tcPr>
            <w:tcW w:w="1128" w:type="dxa"/>
          </w:tcPr>
          <w:p>
            <w:pPr>
              <w:pStyle w:val="TableParagraph"/>
              <w:spacing w:line="271" w:lineRule="exact"/>
              <w:ind w:left="228"/>
              <w:rPr>
                <w:sz w:val="24"/>
              </w:rPr>
            </w:pPr>
            <w:r>
              <w:rPr>
                <w:spacing w:val="-2"/>
                <w:sz w:val="24"/>
              </w:rPr>
              <w:t>0.12620</w:t>
            </w:r>
          </w:p>
          <w:p>
            <w:pPr>
              <w:pStyle w:val="TableParagraph"/>
              <w:spacing w:line="264" w:lineRule="exact"/>
              <w:ind w:left="228"/>
              <w:rPr>
                <w:sz w:val="24"/>
              </w:rPr>
            </w:pPr>
            <w:r>
              <w:rPr>
                <w:spacing w:val="-10"/>
                <w:sz w:val="24"/>
              </w:rPr>
              <w:t>7</w:t>
            </w:r>
          </w:p>
        </w:tc>
        <w:tc>
          <w:tcPr>
            <w:tcW w:w="681" w:type="dxa"/>
          </w:tcPr>
          <w:p>
            <w:pPr>
              <w:pStyle w:val="TableParagraph"/>
              <w:spacing w:line="264"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0.6310344</w:t>
            </w:r>
          </w:p>
          <w:p>
            <w:pPr>
              <w:pStyle w:val="TableParagraph"/>
              <w:spacing w:line="264" w:lineRule="exact"/>
              <w:ind w:left="323"/>
              <w:rPr>
                <w:sz w:val="24"/>
              </w:rPr>
            </w:pPr>
            <w:r>
              <w:rPr>
                <w:spacing w:val="-10"/>
                <w:sz w:val="24"/>
              </w:rPr>
              <w:t>8</w:t>
            </w:r>
          </w:p>
        </w:tc>
        <w:tc>
          <w:tcPr>
            <w:tcW w:w="1021" w:type="dxa"/>
          </w:tcPr>
          <w:p>
            <w:pPr>
              <w:pStyle w:val="TableParagraph"/>
              <w:spacing w:line="271" w:lineRule="exact"/>
              <w:ind w:left="111"/>
              <w:rPr>
                <w:sz w:val="24"/>
              </w:rPr>
            </w:pPr>
            <w:r>
              <w:rPr>
                <w:spacing w:val="-2"/>
                <w:sz w:val="24"/>
              </w:rPr>
              <w:t>0.88448</w:t>
            </w:r>
          </w:p>
          <w:p>
            <w:pPr>
              <w:pStyle w:val="TableParagraph"/>
              <w:spacing w:line="264" w:lineRule="exact"/>
              <w:ind w:left="111"/>
              <w:rPr>
                <w:sz w:val="24"/>
              </w:rPr>
            </w:pPr>
            <w:r>
              <w:rPr>
                <w:spacing w:val="-10"/>
                <w:sz w:val="24"/>
              </w:rPr>
              <w:t>3</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68" w:lineRule="exact"/>
              <w:ind w:left="50"/>
              <w:rPr>
                <w:sz w:val="24"/>
              </w:rPr>
            </w:pPr>
            <w:r>
              <w:rPr>
                <w:spacing w:val="-2"/>
                <w:sz w:val="24"/>
              </w:rPr>
              <w:t>140.344</w:t>
            </w:r>
          </w:p>
          <w:p>
            <w:pPr>
              <w:pStyle w:val="TableParagraph"/>
              <w:spacing w:line="264" w:lineRule="exact"/>
              <w:ind w:left="50"/>
              <w:rPr>
                <w:sz w:val="24"/>
              </w:rPr>
            </w:pPr>
            <w:r>
              <w:rPr>
                <w:spacing w:val="-10"/>
                <w:sz w:val="24"/>
              </w:rPr>
              <w:t>8</w:t>
            </w:r>
          </w:p>
        </w:tc>
        <w:tc>
          <w:tcPr>
            <w:tcW w:w="1022" w:type="dxa"/>
          </w:tcPr>
          <w:p>
            <w:pPr>
              <w:pStyle w:val="TableParagraph"/>
              <w:spacing w:line="268" w:lineRule="exact"/>
              <w:ind w:left="121"/>
              <w:rPr>
                <w:sz w:val="24"/>
              </w:rPr>
            </w:pPr>
            <w:r>
              <w:rPr>
                <w:spacing w:val="-2"/>
                <w:sz w:val="24"/>
              </w:rPr>
              <w:t>0.14034</w:t>
            </w:r>
          </w:p>
          <w:p>
            <w:pPr>
              <w:pStyle w:val="TableParagraph"/>
              <w:spacing w:line="264" w:lineRule="exact"/>
              <w:ind w:left="121"/>
              <w:rPr>
                <w:sz w:val="24"/>
              </w:rPr>
            </w:pPr>
            <w:r>
              <w:rPr>
                <w:spacing w:val="-10"/>
                <w:sz w:val="24"/>
              </w:rPr>
              <w:t>5</w:t>
            </w:r>
          </w:p>
        </w:tc>
        <w:tc>
          <w:tcPr>
            <w:tcW w:w="777" w:type="dxa"/>
          </w:tcPr>
          <w:p>
            <w:pPr>
              <w:pStyle w:val="TableParagraph"/>
              <w:spacing w:line="264" w:lineRule="exact" w:before="268"/>
              <w:ind w:left="122"/>
              <w:rPr>
                <w:sz w:val="24"/>
              </w:rPr>
            </w:pPr>
            <w:r>
              <w:rPr>
                <w:spacing w:val="-5"/>
                <w:sz w:val="24"/>
              </w:rPr>
              <w:t>30</w:t>
            </w:r>
          </w:p>
        </w:tc>
        <w:tc>
          <w:tcPr>
            <w:tcW w:w="1128" w:type="dxa"/>
          </w:tcPr>
          <w:p>
            <w:pPr>
              <w:pStyle w:val="TableParagraph"/>
              <w:spacing w:line="268" w:lineRule="exact"/>
              <w:ind w:left="228"/>
              <w:rPr>
                <w:sz w:val="24"/>
              </w:rPr>
            </w:pPr>
            <w:r>
              <w:rPr>
                <w:spacing w:val="-2"/>
                <w:sz w:val="24"/>
              </w:rPr>
              <w:t>0.21689</w:t>
            </w:r>
          </w:p>
          <w:p>
            <w:pPr>
              <w:pStyle w:val="TableParagraph"/>
              <w:spacing w:line="264" w:lineRule="exact"/>
              <w:ind w:left="228"/>
              <w:rPr>
                <w:sz w:val="24"/>
              </w:rPr>
            </w:pPr>
            <w:r>
              <w:rPr>
                <w:spacing w:val="-10"/>
                <w:sz w:val="24"/>
              </w:rPr>
              <w:t>7</w:t>
            </w:r>
          </w:p>
        </w:tc>
        <w:tc>
          <w:tcPr>
            <w:tcW w:w="681" w:type="dxa"/>
          </w:tcPr>
          <w:p>
            <w:pPr>
              <w:pStyle w:val="TableParagraph"/>
              <w:spacing w:line="264" w:lineRule="exact" w:before="268"/>
              <w:ind w:left="122"/>
              <w:rPr>
                <w:sz w:val="24"/>
              </w:rPr>
            </w:pPr>
            <w:r>
              <w:rPr>
                <w:spacing w:val="-5"/>
                <w:sz w:val="24"/>
              </w:rPr>
              <w:t>10</w:t>
            </w:r>
          </w:p>
        </w:tc>
        <w:tc>
          <w:tcPr>
            <w:tcW w:w="1450" w:type="dxa"/>
          </w:tcPr>
          <w:p>
            <w:pPr>
              <w:pStyle w:val="TableParagraph"/>
              <w:spacing w:line="268" w:lineRule="exact"/>
              <w:ind w:left="323"/>
              <w:rPr>
                <w:sz w:val="24"/>
              </w:rPr>
            </w:pPr>
            <w:r>
              <w:rPr>
                <w:spacing w:val="-2"/>
                <w:sz w:val="24"/>
              </w:rPr>
              <w:t>1.0844827</w:t>
            </w:r>
          </w:p>
          <w:p>
            <w:pPr>
              <w:pStyle w:val="TableParagraph"/>
              <w:spacing w:line="264" w:lineRule="exact"/>
              <w:ind w:left="323"/>
              <w:rPr>
                <w:sz w:val="24"/>
              </w:rPr>
            </w:pPr>
            <w:r>
              <w:rPr>
                <w:spacing w:val="-10"/>
                <w:sz w:val="24"/>
              </w:rPr>
              <w:t>6</w:t>
            </w:r>
          </w:p>
        </w:tc>
        <w:tc>
          <w:tcPr>
            <w:tcW w:w="1021" w:type="dxa"/>
          </w:tcPr>
          <w:p>
            <w:pPr>
              <w:pStyle w:val="TableParagraph"/>
              <w:spacing w:line="268" w:lineRule="exact"/>
              <w:ind w:left="111"/>
              <w:rPr>
                <w:sz w:val="24"/>
              </w:rPr>
            </w:pPr>
            <w:r>
              <w:rPr>
                <w:spacing w:val="-2"/>
                <w:sz w:val="24"/>
              </w:rPr>
              <w:t>1.96896</w:t>
            </w:r>
          </w:p>
          <w:p>
            <w:pPr>
              <w:pStyle w:val="TableParagraph"/>
              <w:spacing w:line="264" w:lineRule="exact"/>
              <w:ind w:left="111"/>
              <w:rPr>
                <w:sz w:val="24"/>
              </w:rPr>
            </w:pPr>
            <w:r>
              <w:rPr>
                <w:spacing w:val="-10"/>
                <w:sz w:val="24"/>
              </w:rPr>
              <w:t>6</w:t>
            </w:r>
          </w:p>
        </w:tc>
        <w:tc>
          <w:tcPr>
            <w:tcW w:w="880" w:type="dxa"/>
          </w:tcPr>
          <w:p>
            <w:pPr>
              <w:pStyle w:val="TableParagraph"/>
              <w:spacing w:line="264" w:lineRule="exact" w:before="268"/>
              <w:ind w:left="110"/>
              <w:rPr>
                <w:sz w:val="24"/>
              </w:rPr>
            </w:pPr>
            <w:r>
              <w:rPr>
                <w:spacing w:val="-10"/>
                <w:sz w:val="24"/>
              </w:rPr>
              <w:t>F</w:t>
            </w:r>
          </w:p>
        </w:tc>
        <w:tc>
          <w:tcPr>
            <w:tcW w:w="882" w:type="dxa"/>
            <w:shd w:val="clear" w:color="auto" w:fill="FF0000"/>
          </w:tcPr>
          <w:p>
            <w:pPr>
              <w:pStyle w:val="TableParagraph"/>
              <w:spacing w:line="264" w:lineRule="exact" w:before="268"/>
              <w:ind w:left="114"/>
              <w:rPr>
                <w:sz w:val="24"/>
              </w:rPr>
            </w:pPr>
            <w:r>
              <w:rPr>
                <w:spacing w:val="-5"/>
                <w:sz w:val="24"/>
              </w:rPr>
              <w:t>100</w:t>
            </w:r>
          </w:p>
        </w:tc>
      </w:tr>
      <w:tr>
        <w:trPr>
          <w:trHeight w:val="549" w:hRule="atLeast"/>
        </w:trPr>
        <w:tc>
          <w:tcPr>
            <w:tcW w:w="951" w:type="dxa"/>
          </w:tcPr>
          <w:p>
            <w:pPr>
              <w:pStyle w:val="TableParagraph"/>
              <w:spacing w:line="268" w:lineRule="exact"/>
              <w:ind w:left="50"/>
              <w:rPr>
                <w:sz w:val="24"/>
              </w:rPr>
            </w:pPr>
            <w:r>
              <w:rPr>
                <w:spacing w:val="-2"/>
                <w:sz w:val="24"/>
              </w:rPr>
              <w:t>143.103</w:t>
            </w:r>
          </w:p>
          <w:p>
            <w:pPr>
              <w:pStyle w:val="TableParagraph"/>
              <w:spacing w:line="261" w:lineRule="exact"/>
              <w:ind w:left="50"/>
              <w:rPr>
                <w:sz w:val="24"/>
              </w:rPr>
            </w:pPr>
            <w:r>
              <w:rPr>
                <w:spacing w:val="-10"/>
                <w:sz w:val="24"/>
              </w:rPr>
              <w:t>4</w:t>
            </w:r>
          </w:p>
        </w:tc>
        <w:tc>
          <w:tcPr>
            <w:tcW w:w="1022" w:type="dxa"/>
          </w:tcPr>
          <w:p>
            <w:pPr>
              <w:pStyle w:val="TableParagraph"/>
              <w:spacing w:line="268" w:lineRule="exact"/>
              <w:ind w:left="121"/>
              <w:rPr>
                <w:sz w:val="24"/>
              </w:rPr>
            </w:pPr>
            <w:r>
              <w:rPr>
                <w:spacing w:val="-2"/>
                <w:sz w:val="24"/>
              </w:rPr>
              <w:t>0.14310</w:t>
            </w:r>
          </w:p>
          <w:p>
            <w:pPr>
              <w:pStyle w:val="TableParagraph"/>
              <w:spacing w:line="261" w:lineRule="exact"/>
              <w:ind w:left="121"/>
              <w:rPr>
                <w:sz w:val="24"/>
              </w:rPr>
            </w:pPr>
            <w:r>
              <w:rPr>
                <w:spacing w:val="-10"/>
                <w:sz w:val="24"/>
              </w:rPr>
              <w:t>3</w:t>
            </w:r>
          </w:p>
        </w:tc>
        <w:tc>
          <w:tcPr>
            <w:tcW w:w="777" w:type="dxa"/>
          </w:tcPr>
          <w:p>
            <w:pPr>
              <w:pStyle w:val="TableParagraph"/>
              <w:spacing w:line="261" w:lineRule="exact" w:before="268"/>
              <w:ind w:left="122"/>
              <w:rPr>
                <w:sz w:val="24"/>
              </w:rPr>
            </w:pPr>
            <w:r>
              <w:rPr>
                <w:spacing w:val="-5"/>
                <w:sz w:val="24"/>
              </w:rPr>
              <w:t>40</w:t>
            </w:r>
          </w:p>
        </w:tc>
        <w:tc>
          <w:tcPr>
            <w:tcW w:w="1128" w:type="dxa"/>
          </w:tcPr>
          <w:p>
            <w:pPr>
              <w:pStyle w:val="TableParagraph"/>
              <w:spacing w:line="268" w:lineRule="exact"/>
              <w:ind w:left="228"/>
              <w:rPr>
                <w:sz w:val="24"/>
              </w:rPr>
            </w:pPr>
            <w:r>
              <w:rPr>
                <w:spacing w:val="-2"/>
                <w:sz w:val="24"/>
              </w:rPr>
              <w:t>0.28344</w:t>
            </w:r>
          </w:p>
          <w:p>
            <w:pPr>
              <w:pStyle w:val="TableParagraph"/>
              <w:spacing w:line="261" w:lineRule="exact"/>
              <w:ind w:left="228"/>
              <w:rPr>
                <w:sz w:val="24"/>
              </w:rPr>
            </w:pPr>
            <w:r>
              <w:rPr>
                <w:spacing w:val="-10"/>
                <w:sz w:val="24"/>
              </w:rPr>
              <w:t>8</w:t>
            </w:r>
          </w:p>
        </w:tc>
        <w:tc>
          <w:tcPr>
            <w:tcW w:w="681" w:type="dxa"/>
          </w:tcPr>
          <w:p>
            <w:pPr>
              <w:pStyle w:val="TableParagraph"/>
              <w:spacing w:line="261" w:lineRule="exact" w:before="268"/>
              <w:ind w:left="122"/>
              <w:rPr>
                <w:sz w:val="24"/>
              </w:rPr>
            </w:pPr>
            <w:r>
              <w:rPr>
                <w:spacing w:val="-5"/>
                <w:sz w:val="24"/>
              </w:rPr>
              <w:t>10</w:t>
            </w:r>
          </w:p>
        </w:tc>
        <w:tc>
          <w:tcPr>
            <w:tcW w:w="1450" w:type="dxa"/>
          </w:tcPr>
          <w:p>
            <w:pPr>
              <w:pStyle w:val="TableParagraph"/>
              <w:spacing w:line="268" w:lineRule="exact"/>
              <w:ind w:left="323"/>
              <w:rPr>
                <w:sz w:val="24"/>
              </w:rPr>
            </w:pPr>
            <w:r>
              <w:rPr>
                <w:spacing w:val="-2"/>
                <w:sz w:val="24"/>
              </w:rPr>
              <w:t>1.4172413</w:t>
            </w:r>
          </w:p>
          <w:p>
            <w:pPr>
              <w:pStyle w:val="TableParagraph"/>
              <w:spacing w:line="261" w:lineRule="exact"/>
              <w:ind w:left="323"/>
              <w:rPr>
                <w:sz w:val="24"/>
              </w:rPr>
            </w:pPr>
            <w:r>
              <w:rPr>
                <w:spacing w:val="-10"/>
                <w:sz w:val="24"/>
              </w:rPr>
              <w:t>8</w:t>
            </w:r>
          </w:p>
        </w:tc>
        <w:tc>
          <w:tcPr>
            <w:tcW w:w="1021" w:type="dxa"/>
          </w:tcPr>
          <w:p>
            <w:pPr>
              <w:pStyle w:val="TableParagraph"/>
              <w:spacing w:line="268" w:lineRule="exact"/>
              <w:ind w:left="111"/>
              <w:rPr>
                <w:sz w:val="24"/>
              </w:rPr>
            </w:pPr>
            <w:r>
              <w:rPr>
                <w:spacing w:val="-2"/>
                <w:sz w:val="24"/>
              </w:rPr>
              <w:t>3.38620</w:t>
            </w:r>
          </w:p>
          <w:p>
            <w:pPr>
              <w:pStyle w:val="TableParagraph"/>
              <w:spacing w:line="261" w:lineRule="exact"/>
              <w:ind w:left="111"/>
              <w:rPr>
                <w:sz w:val="24"/>
              </w:rPr>
            </w:pPr>
            <w:r>
              <w:rPr>
                <w:spacing w:val="-10"/>
                <w:sz w:val="24"/>
              </w:rPr>
              <w:t>7</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203.448</w:t>
            </w:r>
          </w:p>
          <w:p>
            <w:pPr>
              <w:pStyle w:val="TableParagraph"/>
              <w:spacing w:line="261" w:lineRule="exact"/>
              <w:ind w:left="50"/>
              <w:rPr>
                <w:sz w:val="24"/>
              </w:rPr>
            </w:pPr>
            <w:r>
              <w:rPr>
                <w:spacing w:val="-10"/>
                <w:sz w:val="24"/>
              </w:rPr>
              <w:t>3</w:t>
            </w:r>
          </w:p>
        </w:tc>
        <w:tc>
          <w:tcPr>
            <w:tcW w:w="1022" w:type="dxa"/>
          </w:tcPr>
          <w:p>
            <w:pPr>
              <w:pStyle w:val="TableParagraph"/>
              <w:spacing w:line="271" w:lineRule="exact"/>
              <w:ind w:left="121"/>
              <w:rPr>
                <w:sz w:val="24"/>
              </w:rPr>
            </w:pPr>
            <w:r>
              <w:rPr>
                <w:spacing w:val="-2"/>
                <w:sz w:val="24"/>
              </w:rPr>
              <w:t>0.20344</w:t>
            </w:r>
          </w:p>
          <w:p>
            <w:pPr>
              <w:pStyle w:val="TableParagraph"/>
              <w:spacing w:line="261" w:lineRule="exact"/>
              <w:ind w:left="121"/>
              <w:rPr>
                <w:sz w:val="24"/>
              </w:rPr>
            </w:pPr>
            <w:r>
              <w:rPr>
                <w:spacing w:val="-10"/>
                <w:sz w:val="24"/>
              </w:rPr>
              <w:t>8</w:t>
            </w:r>
          </w:p>
        </w:tc>
        <w:tc>
          <w:tcPr>
            <w:tcW w:w="777" w:type="dxa"/>
          </w:tcPr>
          <w:p>
            <w:pPr>
              <w:pStyle w:val="TableParagraph"/>
              <w:spacing w:line="261" w:lineRule="exact" w:before="271"/>
              <w:ind w:left="122"/>
              <w:rPr>
                <w:sz w:val="24"/>
              </w:rPr>
            </w:pPr>
            <w:r>
              <w:rPr>
                <w:spacing w:val="-5"/>
                <w:sz w:val="24"/>
              </w:rPr>
              <w:t>50</w:t>
            </w:r>
          </w:p>
        </w:tc>
        <w:tc>
          <w:tcPr>
            <w:tcW w:w="1128" w:type="dxa"/>
          </w:tcPr>
          <w:p>
            <w:pPr>
              <w:pStyle w:val="TableParagraph"/>
              <w:spacing w:line="271" w:lineRule="exact"/>
              <w:ind w:left="228"/>
              <w:rPr>
                <w:sz w:val="24"/>
              </w:rPr>
            </w:pPr>
            <w:r>
              <w:rPr>
                <w:spacing w:val="-2"/>
                <w:sz w:val="24"/>
              </w:rPr>
              <w:t>0.34655</w:t>
            </w:r>
          </w:p>
          <w:p>
            <w:pPr>
              <w:pStyle w:val="TableParagraph"/>
              <w:spacing w:line="261" w:lineRule="exact"/>
              <w:ind w:left="228"/>
              <w:rPr>
                <w:sz w:val="24"/>
              </w:rPr>
            </w:pPr>
            <w:r>
              <w:rPr>
                <w:spacing w:val="-10"/>
                <w:sz w:val="24"/>
              </w:rPr>
              <w:t>2</w:t>
            </w:r>
          </w:p>
        </w:tc>
        <w:tc>
          <w:tcPr>
            <w:tcW w:w="681" w:type="dxa"/>
          </w:tcPr>
          <w:p>
            <w:pPr>
              <w:pStyle w:val="TableParagraph"/>
              <w:spacing w:line="261"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1.7327586</w:t>
            </w:r>
          </w:p>
          <w:p>
            <w:pPr>
              <w:pStyle w:val="TableParagraph"/>
              <w:spacing w:line="261" w:lineRule="exact"/>
              <w:ind w:left="323"/>
              <w:rPr>
                <w:sz w:val="24"/>
              </w:rPr>
            </w:pPr>
            <w:r>
              <w:rPr>
                <w:spacing w:val="-10"/>
                <w:sz w:val="24"/>
              </w:rPr>
              <w:t>2</w:t>
            </w:r>
          </w:p>
        </w:tc>
        <w:tc>
          <w:tcPr>
            <w:tcW w:w="1021" w:type="dxa"/>
          </w:tcPr>
          <w:p>
            <w:pPr>
              <w:pStyle w:val="TableParagraph"/>
              <w:spacing w:line="271" w:lineRule="exact"/>
              <w:ind w:left="111"/>
              <w:rPr>
                <w:sz w:val="24"/>
              </w:rPr>
            </w:pPr>
            <w:r>
              <w:rPr>
                <w:spacing w:val="-2"/>
                <w:sz w:val="24"/>
              </w:rPr>
              <w:t>5.11896</w:t>
            </w:r>
          </w:p>
          <w:p>
            <w:pPr>
              <w:pStyle w:val="TableParagraph"/>
              <w:spacing w:line="261" w:lineRule="exact"/>
              <w:ind w:left="111"/>
              <w:rPr>
                <w:sz w:val="24"/>
              </w:rPr>
            </w:pPr>
            <w:r>
              <w:rPr>
                <w:spacing w:val="-10"/>
                <w:sz w:val="24"/>
              </w:rPr>
              <w:t>6</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61" w:lineRule="exact" w:before="271"/>
              <w:ind w:left="50"/>
              <w:rPr>
                <w:sz w:val="24"/>
              </w:rPr>
            </w:pPr>
            <w:r>
              <w:rPr>
                <w:spacing w:val="-2"/>
                <w:sz w:val="24"/>
              </w:rPr>
              <w:t>247.931</w:t>
            </w:r>
          </w:p>
        </w:tc>
        <w:tc>
          <w:tcPr>
            <w:tcW w:w="1022" w:type="dxa"/>
          </w:tcPr>
          <w:p>
            <w:pPr>
              <w:pStyle w:val="TableParagraph"/>
              <w:spacing w:line="271" w:lineRule="exact"/>
              <w:ind w:left="121"/>
              <w:rPr>
                <w:sz w:val="24"/>
              </w:rPr>
            </w:pPr>
            <w:r>
              <w:rPr>
                <w:spacing w:val="-2"/>
                <w:sz w:val="24"/>
              </w:rPr>
              <w:t>0.24793</w:t>
            </w:r>
          </w:p>
          <w:p>
            <w:pPr>
              <w:pStyle w:val="TableParagraph"/>
              <w:spacing w:line="261" w:lineRule="exact"/>
              <w:ind w:left="121"/>
              <w:rPr>
                <w:sz w:val="24"/>
              </w:rPr>
            </w:pPr>
            <w:r>
              <w:rPr>
                <w:spacing w:val="-10"/>
                <w:sz w:val="24"/>
              </w:rPr>
              <w:t>1</w:t>
            </w:r>
          </w:p>
        </w:tc>
        <w:tc>
          <w:tcPr>
            <w:tcW w:w="777" w:type="dxa"/>
          </w:tcPr>
          <w:p>
            <w:pPr>
              <w:pStyle w:val="TableParagraph"/>
              <w:spacing w:line="261" w:lineRule="exact" w:before="271"/>
              <w:ind w:left="122"/>
              <w:rPr>
                <w:sz w:val="24"/>
              </w:rPr>
            </w:pPr>
            <w:r>
              <w:rPr>
                <w:spacing w:val="-5"/>
                <w:sz w:val="24"/>
              </w:rPr>
              <w:t>60</w:t>
            </w:r>
          </w:p>
        </w:tc>
        <w:tc>
          <w:tcPr>
            <w:tcW w:w="1128" w:type="dxa"/>
          </w:tcPr>
          <w:p>
            <w:pPr>
              <w:pStyle w:val="TableParagraph"/>
              <w:spacing w:line="271" w:lineRule="exact"/>
              <w:ind w:left="228"/>
              <w:rPr>
                <w:sz w:val="24"/>
              </w:rPr>
            </w:pPr>
            <w:r>
              <w:rPr>
                <w:spacing w:val="-2"/>
                <w:sz w:val="24"/>
              </w:rPr>
              <w:t>0.45137</w:t>
            </w:r>
          </w:p>
          <w:p>
            <w:pPr>
              <w:pStyle w:val="TableParagraph"/>
              <w:spacing w:line="261" w:lineRule="exact"/>
              <w:ind w:left="228"/>
              <w:rPr>
                <w:sz w:val="24"/>
              </w:rPr>
            </w:pPr>
            <w:r>
              <w:rPr>
                <w:spacing w:val="-10"/>
                <w:sz w:val="24"/>
              </w:rPr>
              <w:t>9</w:t>
            </w:r>
          </w:p>
        </w:tc>
        <w:tc>
          <w:tcPr>
            <w:tcW w:w="681" w:type="dxa"/>
          </w:tcPr>
          <w:p>
            <w:pPr>
              <w:pStyle w:val="TableParagraph"/>
              <w:spacing w:line="261"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2.2568965</w:t>
            </w:r>
          </w:p>
          <w:p>
            <w:pPr>
              <w:pStyle w:val="TableParagraph"/>
              <w:spacing w:line="261" w:lineRule="exact"/>
              <w:ind w:left="323"/>
              <w:rPr>
                <w:sz w:val="24"/>
              </w:rPr>
            </w:pPr>
            <w:r>
              <w:rPr>
                <w:spacing w:val="-10"/>
                <w:sz w:val="24"/>
              </w:rPr>
              <w:t>5</w:t>
            </w:r>
          </w:p>
        </w:tc>
        <w:tc>
          <w:tcPr>
            <w:tcW w:w="1021" w:type="dxa"/>
          </w:tcPr>
          <w:p>
            <w:pPr>
              <w:pStyle w:val="TableParagraph"/>
              <w:spacing w:line="271" w:lineRule="exact"/>
              <w:ind w:left="111"/>
              <w:rPr>
                <w:sz w:val="24"/>
              </w:rPr>
            </w:pPr>
            <w:r>
              <w:rPr>
                <w:spacing w:val="-2"/>
                <w:sz w:val="24"/>
              </w:rPr>
              <w:t>7.37586</w:t>
            </w:r>
          </w:p>
          <w:p>
            <w:pPr>
              <w:pStyle w:val="TableParagraph"/>
              <w:spacing w:line="261" w:lineRule="exact"/>
              <w:ind w:left="111"/>
              <w:rPr>
                <w:sz w:val="24"/>
              </w:rPr>
            </w:pPr>
            <w:r>
              <w:rPr>
                <w:spacing w:val="-10"/>
                <w:sz w:val="24"/>
              </w:rPr>
              <w:t>2</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71" w:lineRule="exact"/>
              <w:ind w:left="50"/>
              <w:rPr>
                <w:sz w:val="24"/>
              </w:rPr>
            </w:pPr>
            <w:r>
              <w:rPr>
                <w:spacing w:val="-2"/>
                <w:sz w:val="24"/>
              </w:rPr>
              <w:t>274.482</w:t>
            </w:r>
          </w:p>
          <w:p>
            <w:pPr>
              <w:pStyle w:val="TableParagraph"/>
              <w:spacing w:line="261"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0.27448</w:t>
            </w:r>
          </w:p>
          <w:p>
            <w:pPr>
              <w:pStyle w:val="TableParagraph"/>
              <w:spacing w:line="261" w:lineRule="exact"/>
              <w:ind w:left="121"/>
              <w:rPr>
                <w:sz w:val="24"/>
              </w:rPr>
            </w:pPr>
            <w:r>
              <w:rPr>
                <w:spacing w:val="-10"/>
                <w:sz w:val="24"/>
              </w:rPr>
              <w:t>3</w:t>
            </w:r>
          </w:p>
        </w:tc>
        <w:tc>
          <w:tcPr>
            <w:tcW w:w="777" w:type="dxa"/>
          </w:tcPr>
          <w:p>
            <w:pPr>
              <w:pStyle w:val="TableParagraph"/>
              <w:spacing w:line="261" w:lineRule="exact" w:before="271"/>
              <w:ind w:left="122"/>
              <w:rPr>
                <w:sz w:val="24"/>
              </w:rPr>
            </w:pPr>
            <w:r>
              <w:rPr>
                <w:spacing w:val="-5"/>
                <w:sz w:val="24"/>
              </w:rPr>
              <w:t>70</w:t>
            </w:r>
          </w:p>
        </w:tc>
        <w:tc>
          <w:tcPr>
            <w:tcW w:w="1128" w:type="dxa"/>
          </w:tcPr>
          <w:p>
            <w:pPr>
              <w:pStyle w:val="TableParagraph"/>
              <w:spacing w:line="271" w:lineRule="exact"/>
              <w:ind w:left="228"/>
              <w:rPr>
                <w:sz w:val="24"/>
              </w:rPr>
            </w:pPr>
            <w:r>
              <w:rPr>
                <w:spacing w:val="-2"/>
                <w:sz w:val="24"/>
              </w:rPr>
              <w:t>0.52241</w:t>
            </w:r>
          </w:p>
          <w:p>
            <w:pPr>
              <w:pStyle w:val="TableParagraph"/>
              <w:spacing w:line="261" w:lineRule="exact"/>
              <w:ind w:left="228"/>
              <w:rPr>
                <w:sz w:val="24"/>
              </w:rPr>
            </w:pPr>
            <w:r>
              <w:rPr>
                <w:spacing w:val="-10"/>
                <w:sz w:val="24"/>
              </w:rPr>
              <w:t>4</w:t>
            </w:r>
          </w:p>
        </w:tc>
        <w:tc>
          <w:tcPr>
            <w:tcW w:w="681" w:type="dxa"/>
          </w:tcPr>
          <w:p>
            <w:pPr>
              <w:pStyle w:val="TableParagraph"/>
              <w:spacing w:line="261"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2.6120689</w:t>
            </w:r>
          </w:p>
          <w:p>
            <w:pPr>
              <w:pStyle w:val="TableParagraph"/>
              <w:spacing w:line="261" w:lineRule="exact"/>
              <w:ind w:left="323"/>
              <w:rPr>
                <w:sz w:val="24"/>
              </w:rPr>
            </w:pPr>
            <w:r>
              <w:rPr>
                <w:spacing w:val="-10"/>
                <w:sz w:val="24"/>
              </w:rPr>
              <w:t>7</w:t>
            </w:r>
          </w:p>
        </w:tc>
        <w:tc>
          <w:tcPr>
            <w:tcW w:w="1021" w:type="dxa"/>
          </w:tcPr>
          <w:p>
            <w:pPr>
              <w:pStyle w:val="TableParagraph"/>
              <w:spacing w:line="271" w:lineRule="exact"/>
              <w:ind w:left="111"/>
              <w:rPr>
                <w:sz w:val="24"/>
              </w:rPr>
            </w:pPr>
            <w:r>
              <w:rPr>
                <w:spacing w:val="-2"/>
                <w:sz w:val="24"/>
              </w:rPr>
              <w:t>9.98793</w:t>
            </w:r>
          </w:p>
          <w:p>
            <w:pPr>
              <w:pStyle w:val="TableParagraph"/>
              <w:spacing w:line="261" w:lineRule="exact"/>
              <w:ind w:left="111"/>
              <w:rPr>
                <w:sz w:val="24"/>
              </w:rPr>
            </w:pPr>
            <w:r>
              <w:rPr>
                <w:spacing w:val="-10"/>
                <w:sz w:val="24"/>
              </w:rPr>
              <w:t>1</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320.689</w:t>
            </w:r>
          </w:p>
          <w:p>
            <w:pPr>
              <w:pStyle w:val="TableParagraph"/>
              <w:spacing w:line="261" w:lineRule="exact"/>
              <w:ind w:left="50"/>
              <w:rPr>
                <w:sz w:val="24"/>
              </w:rPr>
            </w:pPr>
            <w:r>
              <w:rPr>
                <w:spacing w:val="-10"/>
                <w:sz w:val="24"/>
              </w:rPr>
              <w:t>7</w:t>
            </w:r>
          </w:p>
        </w:tc>
        <w:tc>
          <w:tcPr>
            <w:tcW w:w="1022" w:type="dxa"/>
          </w:tcPr>
          <w:p>
            <w:pPr>
              <w:pStyle w:val="TableParagraph"/>
              <w:spacing w:line="261" w:lineRule="exact" w:before="271"/>
              <w:ind w:left="121"/>
              <w:rPr>
                <w:sz w:val="24"/>
              </w:rPr>
            </w:pPr>
            <w:r>
              <w:rPr>
                <w:spacing w:val="-2"/>
                <w:sz w:val="24"/>
              </w:rPr>
              <w:t>0.32069</w:t>
            </w:r>
          </w:p>
        </w:tc>
        <w:tc>
          <w:tcPr>
            <w:tcW w:w="777" w:type="dxa"/>
          </w:tcPr>
          <w:p>
            <w:pPr>
              <w:pStyle w:val="TableParagraph"/>
              <w:spacing w:line="261" w:lineRule="exact" w:before="271"/>
              <w:ind w:left="122"/>
              <w:rPr>
                <w:sz w:val="24"/>
              </w:rPr>
            </w:pPr>
            <w:r>
              <w:rPr>
                <w:spacing w:val="-5"/>
                <w:sz w:val="24"/>
              </w:rPr>
              <w:t>80</w:t>
            </w:r>
          </w:p>
        </w:tc>
        <w:tc>
          <w:tcPr>
            <w:tcW w:w="1128" w:type="dxa"/>
          </w:tcPr>
          <w:p>
            <w:pPr>
              <w:pStyle w:val="TableParagraph"/>
              <w:spacing w:line="271" w:lineRule="exact"/>
              <w:ind w:left="228"/>
              <w:rPr>
                <w:sz w:val="24"/>
              </w:rPr>
            </w:pPr>
            <w:r>
              <w:rPr>
                <w:spacing w:val="-2"/>
                <w:sz w:val="24"/>
              </w:rPr>
              <w:t>0.59517</w:t>
            </w:r>
          </w:p>
          <w:p>
            <w:pPr>
              <w:pStyle w:val="TableParagraph"/>
              <w:spacing w:line="261" w:lineRule="exact"/>
              <w:ind w:left="228"/>
              <w:rPr>
                <w:sz w:val="24"/>
              </w:rPr>
            </w:pPr>
            <w:r>
              <w:rPr>
                <w:spacing w:val="-10"/>
                <w:sz w:val="24"/>
              </w:rPr>
              <w:t>2</w:t>
            </w:r>
          </w:p>
        </w:tc>
        <w:tc>
          <w:tcPr>
            <w:tcW w:w="681" w:type="dxa"/>
          </w:tcPr>
          <w:p>
            <w:pPr>
              <w:pStyle w:val="TableParagraph"/>
              <w:spacing w:line="261"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2.9758620</w:t>
            </w:r>
          </w:p>
          <w:p>
            <w:pPr>
              <w:pStyle w:val="TableParagraph"/>
              <w:spacing w:line="261" w:lineRule="exact"/>
              <w:ind w:left="323"/>
              <w:rPr>
                <w:sz w:val="24"/>
              </w:rPr>
            </w:pPr>
            <w:r>
              <w:rPr>
                <w:spacing w:val="-10"/>
                <w:sz w:val="24"/>
              </w:rPr>
              <w:t>7</w:t>
            </w:r>
          </w:p>
        </w:tc>
        <w:tc>
          <w:tcPr>
            <w:tcW w:w="1021" w:type="dxa"/>
          </w:tcPr>
          <w:p>
            <w:pPr>
              <w:pStyle w:val="TableParagraph"/>
              <w:spacing w:line="271" w:lineRule="exact"/>
              <w:ind w:left="111"/>
              <w:rPr>
                <w:sz w:val="24"/>
              </w:rPr>
            </w:pPr>
            <w:r>
              <w:rPr>
                <w:spacing w:val="-2"/>
                <w:sz w:val="24"/>
              </w:rPr>
              <w:t>12.9637</w:t>
            </w:r>
          </w:p>
          <w:p>
            <w:pPr>
              <w:pStyle w:val="TableParagraph"/>
              <w:spacing w:line="261" w:lineRule="exact"/>
              <w:ind w:left="111"/>
              <w:rPr>
                <w:sz w:val="24"/>
              </w:rPr>
            </w:pPr>
            <w:r>
              <w:rPr>
                <w:spacing w:val="-10"/>
                <w:sz w:val="24"/>
              </w:rPr>
              <w:t>9</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324.482</w:t>
            </w:r>
          </w:p>
          <w:p>
            <w:pPr>
              <w:pStyle w:val="TableParagraph"/>
              <w:spacing w:line="261"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0.32448</w:t>
            </w:r>
          </w:p>
          <w:p>
            <w:pPr>
              <w:pStyle w:val="TableParagraph"/>
              <w:spacing w:line="261" w:lineRule="exact"/>
              <w:ind w:left="121"/>
              <w:rPr>
                <w:sz w:val="24"/>
              </w:rPr>
            </w:pPr>
            <w:r>
              <w:rPr>
                <w:spacing w:val="-10"/>
                <w:sz w:val="24"/>
              </w:rPr>
              <w:t>3</w:t>
            </w:r>
          </w:p>
        </w:tc>
        <w:tc>
          <w:tcPr>
            <w:tcW w:w="777" w:type="dxa"/>
          </w:tcPr>
          <w:p>
            <w:pPr>
              <w:pStyle w:val="TableParagraph"/>
              <w:spacing w:line="261" w:lineRule="exact" w:before="271"/>
              <w:ind w:left="122"/>
              <w:rPr>
                <w:sz w:val="24"/>
              </w:rPr>
            </w:pPr>
            <w:r>
              <w:rPr>
                <w:spacing w:val="-5"/>
                <w:sz w:val="24"/>
              </w:rPr>
              <w:t>90</w:t>
            </w:r>
          </w:p>
        </w:tc>
        <w:tc>
          <w:tcPr>
            <w:tcW w:w="1128" w:type="dxa"/>
          </w:tcPr>
          <w:p>
            <w:pPr>
              <w:pStyle w:val="TableParagraph"/>
              <w:spacing w:line="271" w:lineRule="exact"/>
              <w:ind w:left="228"/>
              <w:rPr>
                <w:sz w:val="24"/>
              </w:rPr>
            </w:pPr>
            <w:r>
              <w:rPr>
                <w:spacing w:val="-2"/>
                <w:sz w:val="24"/>
              </w:rPr>
              <w:t>0.64517</w:t>
            </w:r>
          </w:p>
          <w:p>
            <w:pPr>
              <w:pStyle w:val="TableParagraph"/>
              <w:spacing w:line="261" w:lineRule="exact"/>
              <w:ind w:left="228"/>
              <w:rPr>
                <w:sz w:val="24"/>
              </w:rPr>
            </w:pPr>
            <w:r>
              <w:rPr>
                <w:spacing w:val="-10"/>
                <w:sz w:val="24"/>
              </w:rPr>
              <w:t>2</w:t>
            </w:r>
          </w:p>
        </w:tc>
        <w:tc>
          <w:tcPr>
            <w:tcW w:w="681" w:type="dxa"/>
          </w:tcPr>
          <w:p>
            <w:pPr>
              <w:pStyle w:val="TableParagraph"/>
              <w:spacing w:line="261"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3.2258620</w:t>
            </w:r>
          </w:p>
          <w:p>
            <w:pPr>
              <w:pStyle w:val="TableParagraph"/>
              <w:spacing w:line="261" w:lineRule="exact"/>
              <w:ind w:left="323"/>
              <w:rPr>
                <w:sz w:val="24"/>
              </w:rPr>
            </w:pPr>
            <w:r>
              <w:rPr>
                <w:spacing w:val="-10"/>
                <w:sz w:val="24"/>
              </w:rPr>
              <w:t>7</w:t>
            </w:r>
          </w:p>
        </w:tc>
        <w:tc>
          <w:tcPr>
            <w:tcW w:w="1021" w:type="dxa"/>
          </w:tcPr>
          <w:p>
            <w:pPr>
              <w:pStyle w:val="TableParagraph"/>
              <w:spacing w:line="271" w:lineRule="exact"/>
              <w:ind w:left="111"/>
              <w:rPr>
                <w:sz w:val="24"/>
              </w:rPr>
            </w:pPr>
            <w:r>
              <w:rPr>
                <w:spacing w:val="-2"/>
                <w:sz w:val="24"/>
              </w:rPr>
              <w:t>16.1896</w:t>
            </w:r>
          </w:p>
          <w:p>
            <w:pPr>
              <w:pStyle w:val="TableParagraph"/>
              <w:spacing w:line="261" w:lineRule="exact"/>
              <w:ind w:left="111"/>
              <w:rPr>
                <w:sz w:val="24"/>
              </w:rPr>
            </w:pPr>
            <w:r>
              <w:rPr>
                <w:spacing w:val="-10"/>
                <w:sz w:val="24"/>
              </w:rPr>
              <w:t>6</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71" w:lineRule="exact"/>
              <w:ind w:left="50"/>
              <w:rPr>
                <w:sz w:val="24"/>
              </w:rPr>
            </w:pPr>
            <w:r>
              <w:rPr>
                <w:spacing w:val="-2"/>
                <w:sz w:val="24"/>
              </w:rPr>
              <w:t>329.310</w:t>
            </w:r>
          </w:p>
          <w:p>
            <w:pPr>
              <w:pStyle w:val="TableParagraph"/>
              <w:spacing w:line="261" w:lineRule="exact"/>
              <w:ind w:left="50"/>
              <w:rPr>
                <w:sz w:val="24"/>
              </w:rPr>
            </w:pPr>
            <w:r>
              <w:rPr>
                <w:spacing w:val="-10"/>
                <w:sz w:val="24"/>
              </w:rPr>
              <w:t>3</w:t>
            </w:r>
          </w:p>
        </w:tc>
        <w:tc>
          <w:tcPr>
            <w:tcW w:w="1022" w:type="dxa"/>
          </w:tcPr>
          <w:p>
            <w:pPr>
              <w:pStyle w:val="TableParagraph"/>
              <w:spacing w:line="261" w:lineRule="exact" w:before="271"/>
              <w:ind w:left="121"/>
              <w:rPr>
                <w:sz w:val="24"/>
              </w:rPr>
            </w:pPr>
            <w:r>
              <w:rPr>
                <w:spacing w:val="-2"/>
                <w:sz w:val="24"/>
              </w:rPr>
              <w:t>0.32931</w:t>
            </w:r>
          </w:p>
        </w:tc>
        <w:tc>
          <w:tcPr>
            <w:tcW w:w="777" w:type="dxa"/>
          </w:tcPr>
          <w:p>
            <w:pPr>
              <w:pStyle w:val="TableParagraph"/>
              <w:spacing w:line="261" w:lineRule="exact" w:before="271"/>
              <w:ind w:left="122"/>
              <w:rPr>
                <w:sz w:val="24"/>
              </w:rPr>
            </w:pPr>
            <w:r>
              <w:rPr>
                <w:spacing w:val="-5"/>
                <w:sz w:val="24"/>
              </w:rPr>
              <w:t>100</w:t>
            </w:r>
          </w:p>
        </w:tc>
        <w:tc>
          <w:tcPr>
            <w:tcW w:w="1128" w:type="dxa"/>
          </w:tcPr>
          <w:p>
            <w:pPr>
              <w:pStyle w:val="TableParagraph"/>
              <w:spacing w:line="271" w:lineRule="exact"/>
              <w:ind w:left="228"/>
              <w:rPr>
                <w:sz w:val="24"/>
              </w:rPr>
            </w:pPr>
            <w:r>
              <w:rPr>
                <w:spacing w:val="-2"/>
                <w:sz w:val="24"/>
              </w:rPr>
              <w:t>0.65379</w:t>
            </w:r>
          </w:p>
          <w:p>
            <w:pPr>
              <w:pStyle w:val="TableParagraph"/>
              <w:spacing w:line="261" w:lineRule="exact"/>
              <w:ind w:left="228"/>
              <w:rPr>
                <w:sz w:val="24"/>
              </w:rPr>
            </w:pPr>
            <w:r>
              <w:rPr>
                <w:spacing w:val="-10"/>
                <w:sz w:val="24"/>
              </w:rPr>
              <w:t>3</w:t>
            </w:r>
          </w:p>
        </w:tc>
        <w:tc>
          <w:tcPr>
            <w:tcW w:w="681" w:type="dxa"/>
          </w:tcPr>
          <w:p>
            <w:pPr>
              <w:pStyle w:val="TableParagraph"/>
              <w:spacing w:line="261"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3.2689655</w:t>
            </w:r>
          </w:p>
          <w:p>
            <w:pPr>
              <w:pStyle w:val="TableParagraph"/>
              <w:spacing w:line="261" w:lineRule="exact"/>
              <w:ind w:left="323"/>
              <w:rPr>
                <w:sz w:val="24"/>
              </w:rPr>
            </w:pPr>
            <w:r>
              <w:rPr>
                <w:spacing w:val="-10"/>
                <w:sz w:val="24"/>
              </w:rPr>
              <w:t>2</w:t>
            </w:r>
          </w:p>
        </w:tc>
        <w:tc>
          <w:tcPr>
            <w:tcW w:w="1021" w:type="dxa"/>
          </w:tcPr>
          <w:p>
            <w:pPr>
              <w:pStyle w:val="TableParagraph"/>
              <w:spacing w:line="271" w:lineRule="exact"/>
              <w:ind w:left="111"/>
              <w:rPr>
                <w:sz w:val="24"/>
              </w:rPr>
            </w:pPr>
            <w:r>
              <w:rPr>
                <w:spacing w:val="-2"/>
                <w:sz w:val="24"/>
              </w:rPr>
              <w:t>19.4586</w:t>
            </w:r>
          </w:p>
          <w:p>
            <w:pPr>
              <w:pStyle w:val="TableParagraph"/>
              <w:spacing w:line="261" w:lineRule="exact"/>
              <w:ind w:left="111"/>
              <w:rPr>
                <w:sz w:val="24"/>
              </w:rPr>
            </w:pPr>
            <w:r>
              <w:rPr>
                <w:spacing w:val="-10"/>
                <w:sz w:val="24"/>
              </w:rPr>
              <w:t>2</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4" w:hRule="atLeast"/>
        </w:trPr>
        <w:tc>
          <w:tcPr>
            <w:tcW w:w="951" w:type="dxa"/>
          </w:tcPr>
          <w:p>
            <w:pPr>
              <w:pStyle w:val="TableParagraph"/>
              <w:spacing w:line="271" w:lineRule="exact"/>
              <w:ind w:left="50"/>
              <w:rPr>
                <w:sz w:val="24"/>
              </w:rPr>
            </w:pPr>
            <w:r>
              <w:rPr>
                <w:spacing w:val="-2"/>
                <w:sz w:val="24"/>
              </w:rPr>
              <w:t>344.137</w:t>
            </w:r>
          </w:p>
          <w:p>
            <w:pPr>
              <w:pStyle w:val="TableParagraph"/>
              <w:spacing w:line="264" w:lineRule="exact"/>
              <w:ind w:left="50"/>
              <w:rPr>
                <w:sz w:val="24"/>
              </w:rPr>
            </w:pPr>
            <w:r>
              <w:rPr>
                <w:spacing w:val="-10"/>
                <w:sz w:val="24"/>
              </w:rPr>
              <w:t>9</w:t>
            </w:r>
          </w:p>
        </w:tc>
        <w:tc>
          <w:tcPr>
            <w:tcW w:w="1022" w:type="dxa"/>
          </w:tcPr>
          <w:p>
            <w:pPr>
              <w:pStyle w:val="TableParagraph"/>
              <w:spacing w:line="271" w:lineRule="exact"/>
              <w:ind w:left="121"/>
              <w:rPr>
                <w:sz w:val="24"/>
              </w:rPr>
            </w:pPr>
            <w:r>
              <w:rPr>
                <w:spacing w:val="-2"/>
                <w:sz w:val="24"/>
              </w:rPr>
              <w:t>0.34413</w:t>
            </w:r>
          </w:p>
          <w:p>
            <w:pPr>
              <w:pStyle w:val="TableParagraph"/>
              <w:spacing w:line="264" w:lineRule="exact"/>
              <w:ind w:left="121"/>
              <w:rPr>
                <w:sz w:val="24"/>
              </w:rPr>
            </w:pPr>
            <w:r>
              <w:rPr>
                <w:spacing w:val="-10"/>
                <w:sz w:val="24"/>
              </w:rPr>
              <w:t>8</w:t>
            </w:r>
          </w:p>
        </w:tc>
        <w:tc>
          <w:tcPr>
            <w:tcW w:w="777" w:type="dxa"/>
          </w:tcPr>
          <w:p>
            <w:pPr>
              <w:pStyle w:val="TableParagraph"/>
              <w:spacing w:line="264" w:lineRule="exact" w:before="271"/>
              <w:ind w:left="122"/>
              <w:rPr>
                <w:sz w:val="24"/>
              </w:rPr>
            </w:pPr>
            <w:r>
              <w:rPr>
                <w:spacing w:val="-5"/>
                <w:sz w:val="24"/>
              </w:rPr>
              <w:t>110</w:t>
            </w:r>
          </w:p>
        </w:tc>
        <w:tc>
          <w:tcPr>
            <w:tcW w:w="1128" w:type="dxa"/>
          </w:tcPr>
          <w:p>
            <w:pPr>
              <w:pStyle w:val="TableParagraph"/>
              <w:spacing w:line="271" w:lineRule="exact"/>
              <w:ind w:left="228"/>
              <w:rPr>
                <w:sz w:val="24"/>
              </w:rPr>
            </w:pPr>
            <w:r>
              <w:rPr>
                <w:spacing w:val="-2"/>
                <w:sz w:val="24"/>
              </w:rPr>
              <w:t>0.67344</w:t>
            </w:r>
          </w:p>
          <w:p>
            <w:pPr>
              <w:pStyle w:val="TableParagraph"/>
              <w:spacing w:line="264" w:lineRule="exact"/>
              <w:ind w:left="228"/>
              <w:rPr>
                <w:sz w:val="24"/>
              </w:rPr>
            </w:pPr>
            <w:r>
              <w:rPr>
                <w:spacing w:val="-10"/>
                <w:sz w:val="24"/>
              </w:rPr>
              <w:t>8</w:t>
            </w:r>
          </w:p>
        </w:tc>
        <w:tc>
          <w:tcPr>
            <w:tcW w:w="681" w:type="dxa"/>
          </w:tcPr>
          <w:p>
            <w:pPr>
              <w:pStyle w:val="TableParagraph"/>
              <w:spacing w:line="264" w:lineRule="exact" w:before="271"/>
              <w:ind w:left="122"/>
              <w:rPr>
                <w:sz w:val="24"/>
              </w:rPr>
            </w:pPr>
            <w:r>
              <w:rPr>
                <w:spacing w:val="-5"/>
                <w:sz w:val="24"/>
              </w:rPr>
              <w:t>10</w:t>
            </w:r>
          </w:p>
        </w:tc>
        <w:tc>
          <w:tcPr>
            <w:tcW w:w="1450" w:type="dxa"/>
          </w:tcPr>
          <w:p>
            <w:pPr>
              <w:pStyle w:val="TableParagraph"/>
              <w:spacing w:line="271" w:lineRule="exact"/>
              <w:ind w:left="323"/>
              <w:rPr>
                <w:sz w:val="24"/>
              </w:rPr>
            </w:pPr>
            <w:r>
              <w:rPr>
                <w:spacing w:val="-2"/>
                <w:sz w:val="24"/>
              </w:rPr>
              <w:t>3.3672413</w:t>
            </w:r>
          </w:p>
          <w:p>
            <w:pPr>
              <w:pStyle w:val="TableParagraph"/>
              <w:spacing w:line="264" w:lineRule="exact"/>
              <w:ind w:left="323"/>
              <w:rPr>
                <w:sz w:val="24"/>
              </w:rPr>
            </w:pPr>
            <w:r>
              <w:rPr>
                <w:spacing w:val="-10"/>
                <w:sz w:val="24"/>
              </w:rPr>
              <w:t>8</w:t>
            </w:r>
          </w:p>
        </w:tc>
        <w:tc>
          <w:tcPr>
            <w:tcW w:w="1021" w:type="dxa"/>
          </w:tcPr>
          <w:p>
            <w:pPr>
              <w:pStyle w:val="TableParagraph"/>
              <w:spacing w:line="271" w:lineRule="exact"/>
              <w:ind w:left="111"/>
              <w:rPr>
                <w:sz w:val="24"/>
              </w:rPr>
            </w:pPr>
            <w:r>
              <w:rPr>
                <w:spacing w:val="-2"/>
                <w:sz w:val="24"/>
              </w:rPr>
              <w:t>22.8258</w:t>
            </w:r>
          </w:p>
          <w:p>
            <w:pPr>
              <w:pStyle w:val="TableParagraph"/>
              <w:spacing w:line="264" w:lineRule="exact"/>
              <w:ind w:left="111"/>
              <w:rPr>
                <w:sz w:val="24"/>
              </w:rPr>
            </w:pPr>
            <w:r>
              <w:rPr>
                <w:spacing w:val="-10"/>
                <w:sz w:val="24"/>
              </w:rPr>
              <w:t>6</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68" w:lineRule="exact"/>
              <w:ind w:left="50"/>
              <w:rPr>
                <w:sz w:val="24"/>
              </w:rPr>
            </w:pPr>
            <w:r>
              <w:rPr>
                <w:spacing w:val="-2"/>
                <w:sz w:val="24"/>
              </w:rPr>
              <w:t>358.275</w:t>
            </w:r>
          </w:p>
          <w:p>
            <w:pPr>
              <w:pStyle w:val="TableParagraph"/>
              <w:spacing w:line="264" w:lineRule="exact"/>
              <w:ind w:left="50"/>
              <w:rPr>
                <w:sz w:val="24"/>
              </w:rPr>
            </w:pPr>
            <w:r>
              <w:rPr>
                <w:spacing w:val="-10"/>
                <w:sz w:val="24"/>
              </w:rPr>
              <w:t>9</w:t>
            </w:r>
          </w:p>
        </w:tc>
        <w:tc>
          <w:tcPr>
            <w:tcW w:w="1022" w:type="dxa"/>
          </w:tcPr>
          <w:p>
            <w:pPr>
              <w:pStyle w:val="TableParagraph"/>
              <w:spacing w:line="268" w:lineRule="exact"/>
              <w:ind w:left="121"/>
              <w:rPr>
                <w:sz w:val="24"/>
              </w:rPr>
            </w:pPr>
            <w:r>
              <w:rPr>
                <w:spacing w:val="-2"/>
                <w:sz w:val="24"/>
              </w:rPr>
              <w:t>0.35827</w:t>
            </w:r>
          </w:p>
          <w:p>
            <w:pPr>
              <w:pStyle w:val="TableParagraph"/>
              <w:spacing w:line="264" w:lineRule="exact"/>
              <w:ind w:left="121"/>
              <w:rPr>
                <w:sz w:val="24"/>
              </w:rPr>
            </w:pPr>
            <w:r>
              <w:rPr>
                <w:spacing w:val="-10"/>
                <w:sz w:val="24"/>
              </w:rPr>
              <w:t>6</w:t>
            </w:r>
          </w:p>
        </w:tc>
        <w:tc>
          <w:tcPr>
            <w:tcW w:w="777" w:type="dxa"/>
          </w:tcPr>
          <w:p>
            <w:pPr>
              <w:pStyle w:val="TableParagraph"/>
              <w:spacing w:line="264" w:lineRule="exact" w:before="268"/>
              <w:ind w:left="122"/>
              <w:rPr>
                <w:sz w:val="24"/>
              </w:rPr>
            </w:pPr>
            <w:r>
              <w:rPr>
                <w:spacing w:val="-5"/>
                <w:sz w:val="24"/>
              </w:rPr>
              <w:t>120</w:t>
            </w:r>
          </w:p>
        </w:tc>
        <w:tc>
          <w:tcPr>
            <w:tcW w:w="1128" w:type="dxa"/>
          </w:tcPr>
          <w:p>
            <w:pPr>
              <w:pStyle w:val="TableParagraph"/>
              <w:spacing w:line="268" w:lineRule="exact"/>
              <w:ind w:left="228"/>
              <w:rPr>
                <w:sz w:val="24"/>
              </w:rPr>
            </w:pPr>
            <w:r>
              <w:rPr>
                <w:spacing w:val="-2"/>
                <w:sz w:val="24"/>
              </w:rPr>
              <w:t>0.70241</w:t>
            </w:r>
          </w:p>
          <w:p>
            <w:pPr>
              <w:pStyle w:val="TableParagraph"/>
              <w:spacing w:line="264" w:lineRule="exact"/>
              <w:ind w:left="228"/>
              <w:rPr>
                <w:sz w:val="24"/>
              </w:rPr>
            </w:pPr>
            <w:r>
              <w:rPr>
                <w:spacing w:val="-10"/>
                <w:sz w:val="24"/>
              </w:rPr>
              <w:t>4</w:t>
            </w:r>
          </w:p>
        </w:tc>
        <w:tc>
          <w:tcPr>
            <w:tcW w:w="681" w:type="dxa"/>
          </w:tcPr>
          <w:p>
            <w:pPr>
              <w:pStyle w:val="TableParagraph"/>
              <w:spacing w:line="264" w:lineRule="exact" w:before="268"/>
              <w:ind w:left="122"/>
              <w:rPr>
                <w:sz w:val="24"/>
              </w:rPr>
            </w:pPr>
            <w:r>
              <w:rPr>
                <w:spacing w:val="-5"/>
                <w:sz w:val="24"/>
              </w:rPr>
              <w:t>10</w:t>
            </w:r>
          </w:p>
        </w:tc>
        <w:tc>
          <w:tcPr>
            <w:tcW w:w="1450" w:type="dxa"/>
          </w:tcPr>
          <w:p>
            <w:pPr>
              <w:pStyle w:val="TableParagraph"/>
              <w:spacing w:line="268" w:lineRule="exact"/>
              <w:ind w:left="323"/>
              <w:rPr>
                <w:sz w:val="24"/>
              </w:rPr>
            </w:pPr>
            <w:r>
              <w:rPr>
                <w:spacing w:val="-2"/>
                <w:sz w:val="24"/>
              </w:rPr>
              <w:t>3.5120689</w:t>
            </w:r>
          </w:p>
          <w:p>
            <w:pPr>
              <w:pStyle w:val="TableParagraph"/>
              <w:spacing w:line="264" w:lineRule="exact"/>
              <w:ind w:left="323"/>
              <w:rPr>
                <w:sz w:val="24"/>
              </w:rPr>
            </w:pPr>
            <w:r>
              <w:rPr>
                <w:spacing w:val="-10"/>
                <w:sz w:val="24"/>
              </w:rPr>
              <w:t>7</w:t>
            </w:r>
          </w:p>
        </w:tc>
        <w:tc>
          <w:tcPr>
            <w:tcW w:w="1021" w:type="dxa"/>
            <w:shd w:val="clear" w:color="auto" w:fill="FFFF00"/>
          </w:tcPr>
          <w:p>
            <w:pPr>
              <w:pStyle w:val="TableParagraph"/>
              <w:spacing w:line="268" w:lineRule="exact"/>
              <w:ind w:left="111"/>
              <w:rPr>
                <w:sz w:val="24"/>
              </w:rPr>
            </w:pPr>
            <w:r>
              <w:rPr>
                <w:spacing w:val="-2"/>
                <w:sz w:val="24"/>
              </w:rPr>
              <w:t>26.3379</w:t>
            </w:r>
          </w:p>
          <w:p>
            <w:pPr>
              <w:pStyle w:val="TableParagraph"/>
              <w:spacing w:line="264" w:lineRule="exact"/>
              <w:ind w:left="111"/>
              <w:rPr>
                <w:sz w:val="24"/>
              </w:rPr>
            </w:pPr>
            <w:r>
              <w:rPr>
                <w:spacing w:val="-10"/>
                <w:sz w:val="24"/>
              </w:rPr>
              <w:t>3</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bl>
    <w:p>
      <w:pPr>
        <w:spacing w:after="0" w:line="240" w:lineRule="auto"/>
        <w:rPr>
          <w:sz w:val="24"/>
        </w:rPr>
        <w:sectPr>
          <w:pgSz w:w="12240" w:h="15840"/>
          <w:pgMar w:header="0" w:footer="1068" w:top="1620" w:bottom="1260" w:left="1420" w:right="440"/>
        </w:sectPr>
      </w:pPr>
    </w:p>
    <w:p>
      <w:pPr>
        <w:pStyle w:val="BodyText"/>
        <w:spacing w:before="3"/>
        <w:rPr>
          <w:b/>
          <w:sz w:val="2"/>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1022"/>
        <w:gridCol w:w="742"/>
        <w:gridCol w:w="1162"/>
        <w:gridCol w:w="681"/>
        <w:gridCol w:w="1450"/>
        <w:gridCol w:w="1021"/>
        <w:gridCol w:w="880"/>
        <w:gridCol w:w="882"/>
      </w:tblGrid>
      <w:tr>
        <w:trPr>
          <w:trHeight w:val="282" w:hRule="atLeast"/>
        </w:trPr>
        <w:tc>
          <w:tcPr>
            <w:tcW w:w="951" w:type="dxa"/>
          </w:tcPr>
          <w:p>
            <w:pPr>
              <w:pStyle w:val="TableParagraph"/>
              <w:spacing w:line="263" w:lineRule="exact"/>
              <w:ind w:left="50"/>
              <w:rPr>
                <w:sz w:val="24"/>
              </w:rPr>
            </w:pPr>
            <w:r>
              <w:rPr>
                <w:spacing w:val="-10"/>
                <w:sz w:val="24"/>
              </w:rPr>
              <w:t>C</w:t>
            </w:r>
          </w:p>
        </w:tc>
        <w:tc>
          <w:tcPr>
            <w:tcW w:w="1022" w:type="dxa"/>
          </w:tcPr>
          <w:p>
            <w:pPr>
              <w:pStyle w:val="TableParagraph"/>
              <w:spacing w:line="240" w:lineRule="auto"/>
              <w:rPr>
                <w:sz w:val="20"/>
              </w:rPr>
            </w:pPr>
          </w:p>
        </w:tc>
        <w:tc>
          <w:tcPr>
            <w:tcW w:w="742" w:type="dxa"/>
          </w:tcPr>
          <w:p>
            <w:pPr>
              <w:pStyle w:val="TableParagraph"/>
              <w:spacing w:line="240" w:lineRule="auto"/>
              <w:rPr>
                <w:sz w:val="20"/>
              </w:rPr>
            </w:pPr>
          </w:p>
        </w:tc>
        <w:tc>
          <w:tcPr>
            <w:tcW w:w="1162" w:type="dxa"/>
          </w:tcPr>
          <w:p>
            <w:pPr>
              <w:pStyle w:val="TableParagraph"/>
              <w:spacing w:line="240" w:lineRule="auto"/>
              <w:rPr>
                <w:sz w:val="20"/>
              </w:rPr>
            </w:pPr>
          </w:p>
        </w:tc>
        <w:tc>
          <w:tcPr>
            <w:tcW w:w="681" w:type="dxa"/>
          </w:tcPr>
          <w:p>
            <w:pPr>
              <w:pStyle w:val="TableParagraph"/>
              <w:spacing w:line="240" w:lineRule="auto"/>
              <w:rPr>
                <w:sz w:val="20"/>
              </w:rPr>
            </w:pPr>
          </w:p>
        </w:tc>
        <w:tc>
          <w:tcPr>
            <w:tcW w:w="1450" w:type="dxa"/>
          </w:tcPr>
          <w:p>
            <w:pPr>
              <w:pStyle w:val="TableParagraph"/>
              <w:spacing w:line="240" w:lineRule="auto"/>
              <w:rPr>
                <w:sz w:val="20"/>
              </w:rPr>
            </w:pPr>
          </w:p>
        </w:tc>
        <w:tc>
          <w:tcPr>
            <w:tcW w:w="1021" w:type="dxa"/>
          </w:tcPr>
          <w:p>
            <w:pPr>
              <w:pStyle w:val="TableParagraph"/>
              <w:spacing w:line="240" w:lineRule="auto"/>
              <w:rPr>
                <w:sz w:val="20"/>
              </w:rPr>
            </w:pPr>
          </w:p>
        </w:tc>
        <w:tc>
          <w:tcPr>
            <w:tcW w:w="880" w:type="dxa"/>
          </w:tcPr>
          <w:p>
            <w:pPr>
              <w:pStyle w:val="TableParagraph"/>
              <w:spacing w:line="240" w:lineRule="auto"/>
              <w:rPr>
                <w:sz w:val="20"/>
              </w:rPr>
            </w:pPr>
          </w:p>
        </w:tc>
        <w:tc>
          <w:tcPr>
            <w:tcW w:w="882" w:type="dxa"/>
          </w:tcPr>
          <w:p>
            <w:pPr>
              <w:pStyle w:val="TableParagraph"/>
              <w:spacing w:line="240" w:lineRule="auto"/>
              <w:rPr>
                <w:sz w:val="20"/>
              </w:rPr>
            </w:pPr>
          </w:p>
        </w:tc>
      </w:tr>
      <w:tr>
        <w:trPr>
          <w:trHeight w:val="300" w:hRule="atLeast"/>
        </w:trPr>
        <w:tc>
          <w:tcPr>
            <w:tcW w:w="951" w:type="dxa"/>
          </w:tcPr>
          <w:p>
            <w:pPr>
              <w:pStyle w:val="TableParagraph"/>
              <w:spacing w:before="7"/>
              <w:ind w:left="50"/>
              <w:rPr>
                <w:sz w:val="24"/>
              </w:rPr>
            </w:pPr>
            <w:r>
              <w:rPr>
                <w:spacing w:val="-10"/>
                <w:sz w:val="24"/>
              </w:rPr>
              <w:t>0</w:t>
            </w:r>
          </w:p>
        </w:tc>
        <w:tc>
          <w:tcPr>
            <w:tcW w:w="1022" w:type="dxa"/>
          </w:tcPr>
          <w:p>
            <w:pPr>
              <w:pStyle w:val="TableParagraph"/>
              <w:spacing w:before="7"/>
              <w:ind w:left="121"/>
              <w:rPr>
                <w:sz w:val="24"/>
              </w:rPr>
            </w:pPr>
            <w:r>
              <w:rPr>
                <w:spacing w:val="-10"/>
                <w:sz w:val="24"/>
              </w:rPr>
              <w:t>0</w:t>
            </w:r>
          </w:p>
        </w:tc>
        <w:tc>
          <w:tcPr>
            <w:tcW w:w="742" w:type="dxa"/>
          </w:tcPr>
          <w:p>
            <w:pPr>
              <w:pStyle w:val="TableParagraph"/>
              <w:spacing w:before="7"/>
              <w:ind w:left="122"/>
              <w:rPr>
                <w:sz w:val="24"/>
              </w:rPr>
            </w:pPr>
            <w:r>
              <w:rPr>
                <w:spacing w:val="-10"/>
                <w:sz w:val="24"/>
              </w:rPr>
              <w:t>0</w:t>
            </w:r>
          </w:p>
        </w:tc>
        <w:tc>
          <w:tcPr>
            <w:tcW w:w="1162" w:type="dxa"/>
          </w:tcPr>
          <w:p>
            <w:pPr>
              <w:pStyle w:val="TableParagraph"/>
              <w:spacing w:before="7"/>
              <w:ind w:left="263"/>
              <w:rPr>
                <w:sz w:val="24"/>
              </w:rPr>
            </w:pPr>
            <w:r>
              <w:rPr>
                <w:spacing w:val="-10"/>
                <w:sz w:val="24"/>
              </w:rPr>
              <w:t>0</w:t>
            </w:r>
          </w:p>
        </w:tc>
        <w:tc>
          <w:tcPr>
            <w:tcW w:w="681" w:type="dxa"/>
          </w:tcPr>
          <w:p>
            <w:pPr>
              <w:pStyle w:val="TableParagraph"/>
              <w:spacing w:before="7"/>
              <w:ind w:left="123"/>
              <w:rPr>
                <w:sz w:val="24"/>
              </w:rPr>
            </w:pPr>
            <w:r>
              <w:rPr>
                <w:spacing w:val="-10"/>
                <w:sz w:val="24"/>
              </w:rPr>
              <w:t>0</w:t>
            </w:r>
          </w:p>
        </w:tc>
        <w:tc>
          <w:tcPr>
            <w:tcW w:w="1450" w:type="dxa"/>
          </w:tcPr>
          <w:p>
            <w:pPr>
              <w:pStyle w:val="TableParagraph"/>
              <w:spacing w:before="7"/>
              <w:ind w:left="324"/>
              <w:rPr>
                <w:sz w:val="24"/>
              </w:rPr>
            </w:pPr>
            <w:r>
              <w:rPr>
                <w:spacing w:val="-10"/>
                <w:sz w:val="24"/>
              </w:rPr>
              <w:t>0</w:t>
            </w:r>
          </w:p>
        </w:tc>
        <w:tc>
          <w:tcPr>
            <w:tcW w:w="1021" w:type="dxa"/>
          </w:tcPr>
          <w:p>
            <w:pPr>
              <w:pStyle w:val="TableParagraph"/>
              <w:spacing w:before="7"/>
              <w:ind w:left="112"/>
              <w:rPr>
                <w:sz w:val="24"/>
              </w:rPr>
            </w:pPr>
            <w:r>
              <w:rPr>
                <w:spacing w:val="-10"/>
                <w:sz w:val="24"/>
              </w:rPr>
              <w:t>0</w:t>
            </w:r>
          </w:p>
        </w:tc>
        <w:tc>
          <w:tcPr>
            <w:tcW w:w="880" w:type="dxa"/>
          </w:tcPr>
          <w:p>
            <w:pPr>
              <w:pStyle w:val="TableParagraph"/>
              <w:spacing w:line="240" w:lineRule="auto"/>
              <w:rPr>
                <w:sz w:val="22"/>
              </w:rPr>
            </w:pPr>
          </w:p>
        </w:tc>
        <w:tc>
          <w:tcPr>
            <w:tcW w:w="882" w:type="dxa"/>
          </w:tcPr>
          <w:p>
            <w:pPr>
              <w:pStyle w:val="TableParagraph"/>
              <w:spacing w:line="240" w:lineRule="auto"/>
              <w:rPr>
                <w:sz w:val="22"/>
              </w:rPr>
            </w:pPr>
          </w:p>
        </w:tc>
      </w:tr>
      <w:tr>
        <w:trPr>
          <w:trHeight w:val="288" w:hRule="atLeast"/>
        </w:trPr>
        <w:tc>
          <w:tcPr>
            <w:tcW w:w="951" w:type="dxa"/>
          </w:tcPr>
          <w:p>
            <w:pPr>
              <w:pStyle w:val="TableParagraph"/>
              <w:spacing w:line="261" w:lineRule="exact" w:before="7"/>
              <w:ind w:left="50"/>
              <w:rPr>
                <w:sz w:val="24"/>
              </w:rPr>
            </w:pPr>
            <w:r>
              <w:rPr>
                <w:spacing w:val="-5"/>
                <w:sz w:val="24"/>
              </w:rPr>
              <w:t>30</w:t>
            </w:r>
          </w:p>
        </w:tc>
        <w:tc>
          <w:tcPr>
            <w:tcW w:w="1022" w:type="dxa"/>
          </w:tcPr>
          <w:p>
            <w:pPr>
              <w:pStyle w:val="TableParagraph"/>
              <w:spacing w:line="261" w:lineRule="exact" w:before="7"/>
              <w:ind w:left="121"/>
              <w:rPr>
                <w:sz w:val="24"/>
              </w:rPr>
            </w:pPr>
            <w:r>
              <w:rPr>
                <w:spacing w:val="-4"/>
                <w:sz w:val="24"/>
              </w:rPr>
              <w:t>0.03</w:t>
            </w:r>
          </w:p>
        </w:tc>
        <w:tc>
          <w:tcPr>
            <w:tcW w:w="742" w:type="dxa"/>
          </w:tcPr>
          <w:p>
            <w:pPr>
              <w:pStyle w:val="TableParagraph"/>
              <w:spacing w:line="261" w:lineRule="exact" w:before="7"/>
              <w:ind w:left="122"/>
              <w:rPr>
                <w:sz w:val="24"/>
              </w:rPr>
            </w:pPr>
            <w:r>
              <w:rPr>
                <w:spacing w:val="-10"/>
                <w:sz w:val="24"/>
              </w:rPr>
              <w:t>5</w:t>
            </w:r>
          </w:p>
        </w:tc>
        <w:tc>
          <w:tcPr>
            <w:tcW w:w="1162" w:type="dxa"/>
          </w:tcPr>
          <w:p>
            <w:pPr>
              <w:pStyle w:val="TableParagraph"/>
              <w:spacing w:line="261" w:lineRule="exact" w:before="7"/>
              <w:ind w:left="263"/>
              <w:rPr>
                <w:sz w:val="24"/>
              </w:rPr>
            </w:pPr>
            <w:r>
              <w:rPr>
                <w:spacing w:val="-4"/>
                <w:sz w:val="24"/>
              </w:rPr>
              <w:t>0.03</w:t>
            </w:r>
          </w:p>
        </w:tc>
        <w:tc>
          <w:tcPr>
            <w:tcW w:w="681" w:type="dxa"/>
          </w:tcPr>
          <w:p>
            <w:pPr>
              <w:pStyle w:val="TableParagraph"/>
              <w:spacing w:line="261" w:lineRule="exact" w:before="7"/>
              <w:ind w:left="123"/>
              <w:rPr>
                <w:sz w:val="24"/>
              </w:rPr>
            </w:pPr>
            <w:r>
              <w:rPr>
                <w:spacing w:val="-10"/>
                <w:sz w:val="24"/>
              </w:rPr>
              <w:t>5</w:t>
            </w:r>
          </w:p>
        </w:tc>
        <w:tc>
          <w:tcPr>
            <w:tcW w:w="1450" w:type="dxa"/>
          </w:tcPr>
          <w:p>
            <w:pPr>
              <w:pStyle w:val="TableParagraph"/>
              <w:spacing w:line="261" w:lineRule="exact" w:before="7"/>
              <w:ind w:left="324"/>
              <w:rPr>
                <w:sz w:val="24"/>
              </w:rPr>
            </w:pPr>
            <w:r>
              <w:rPr>
                <w:spacing w:val="-2"/>
                <w:sz w:val="24"/>
              </w:rPr>
              <w:t>0.075</w:t>
            </w:r>
          </w:p>
        </w:tc>
        <w:tc>
          <w:tcPr>
            <w:tcW w:w="1021" w:type="dxa"/>
          </w:tcPr>
          <w:p>
            <w:pPr>
              <w:pStyle w:val="TableParagraph"/>
              <w:spacing w:line="261" w:lineRule="exact" w:before="7"/>
              <w:ind w:left="112"/>
              <w:rPr>
                <w:sz w:val="24"/>
              </w:rPr>
            </w:pPr>
            <w:r>
              <w:rPr>
                <w:spacing w:val="-2"/>
                <w:sz w:val="24"/>
              </w:rPr>
              <w:t>0.075</w:t>
            </w:r>
          </w:p>
        </w:tc>
        <w:tc>
          <w:tcPr>
            <w:tcW w:w="880" w:type="dxa"/>
          </w:tcPr>
          <w:p>
            <w:pPr>
              <w:pStyle w:val="TableParagraph"/>
              <w:spacing w:line="240" w:lineRule="auto"/>
              <w:rPr>
                <w:sz w:val="20"/>
              </w:rPr>
            </w:pPr>
          </w:p>
        </w:tc>
        <w:tc>
          <w:tcPr>
            <w:tcW w:w="882" w:type="dxa"/>
          </w:tcPr>
          <w:p>
            <w:pPr>
              <w:pStyle w:val="TableParagraph"/>
              <w:spacing w:line="240" w:lineRule="auto"/>
              <w:rPr>
                <w:sz w:val="20"/>
              </w:rPr>
            </w:pPr>
          </w:p>
        </w:tc>
      </w:tr>
      <w:tr>
        <w:trPr>
          <w:trHeight w:val="551" w:hRule="atLeast"/>
        </w:trPr>
        <w:tc>
          <w:tcPr>
            <w:tcW w:w="951" w:type="dxa"/>
          </w:tcPr>
          <w:p>
            <w:pPr>
              <w:pStyle w:val="TableParagraph"/>
              <w:spacing w:line="271" w:lineRule="exact"/>
              <w:ind w:left="50"/>
              <w:rPr>
                <w:sz w:val="24"/>
              </w:rPr>
            </w:pPr>
            <w:r>
              <w:rPr>
                <w:spacing w:val="-2"/>
                <w:sz w:val="24"/>
              </w:rPr>
              <w:t>78.9655</w:t>
            </w:r>
          </w:p>
          <w:p>
            <w:pPr>
              <w:pStyle w:val="TableParagraph"/>
              <w:spacing w:line="261" w:lineRule="exact"/>
              <w:ind w:left="50"/>
              <w:rPr>
                <w:sz w:val="24"/>
              </w:rPr>
            </w:pPr>
            <w:r>
              <w:rPr>
                <w:spacing w:val="-10"/>
                <w:sz w:val="24"/>
              </w:rPr>
              <w:t>2</w:t>
            </w:r>
          </w:p>
        </w:tc>
        <w:tc>
          <w:tcPr>
            <w:tcW w:w="1022" w:type="dxa"/>
          </w:tcPr>
          <w:p>
            <w:pPr>
              <w:pStyle w:val="TableParagraph"/>
              <w:spacing w:line="271" w:lineRule="exact"/>
              <w:ind w:left="121"/>
              <w:rPr>
                <w:sz w:val="24"/>
              </w:rPr>
            </w:pPr>
            <w:r>
              <w:rPr>
                <w:spacing w:val="-2"/>
                <w:sz w:val="24"/>
              </w:rPr>
              <w:t>0.07896</w:t>
            </w:r>
          </w:p>
          <w:p>
            <w:pPr>
              <w:pStyle w:val="TableParagraph"/>
              <w:spacing w:line="261" w:lineRule="exact"/>
              <w:ind w:left="121"/>
              <w:rPr>
                <w:sz w:val="24"/>
              </w:rPr>
            </w:pPr>
            <w:r>
              <w:rPr>
                <w:spacing w:val="-10"/>
                <w:sz w:val="24"/>
              </w:rPr>
              <w:t>6</w:t>
            </w:r>
          </w:p>
        </w:tc>
        <w:tc>
          <w:tcPr>
            <w:tcW w:w="742" w:type="dxa"/>
          </w:tcPr>
          <w:p>
            <w:pPr>
              <w:pStyle w:val="TableParagraph"/>
              <w:spacing w:line="261" w:lineRule="exact" w:before="271"/>
              <w:ind w:left="122"/>
              <w:rPr>
                <w:sz w:val="24"/>
              </w:rPr>
            </w:pPr>
            <w:r>
              <w:rPr>
                <w:spacing w:val="-5"/>
                <w:sz w:val="24"/>
              </w:rPr>
              <w:t>10</w:t>
            </w:r>
          </w:p>
        </w:tc>
        <w:tc>
          <w:tcPr>
            <w:tcW w:w="1162" w:type="dxa"/>
          </w:tcPr>
          <w:p>
            <w:pPr>
              <w:pStyle w:val="TableParagraph"/>
              <w:spacing w:line="271" w:lineRule="exact"/>
              <w:ind w:left="263"/>
              <w:rPr>
                <w:sz w:val="24"/>
              </w:rPr>
            </w:pPr>
            <w:r>
              <w:rPr>
                <w:spacing w:val="-2"/>
                <w:sz w:val="24"/>
              </w:rPr>
              <w:t>0.10896</w:t>
            </w:r>
          </w:p>
          <w:p>
            <w:pPr>
              <w:pStyle w:val="TableParagraph"/>
              <w:spacing w:line="261" w:lineRule="exact"/>
              <w:ind w:left="263"/>
              <w:rPr>
                <w:sz w:val="24"/>
              </w:rPr>
            </w:pPr>
            <w:r>
              <w:rPr>
                <w:spacing w:val="-10"/>
                <w:sz w:val="24"/>
              </w:rPr>
              <w:t>6</w:t>
            </w:r>
          </w:p>
        </w:tc>
        <w:tc>
          <w:tcPr>
            <w:tcW w:w="681" w:type="dxa"/>
          </w:tcPr>
          <w:p>
            <w:pPr>
              <w:pStyle w:val="TableParagraph"/>
              <w:spacing w:line="261" w:lineRule="exact" w:before="271"/>
              <w:ind w:left="123"/>
              <w:rPr>
                <w:sz w:val="24"/>
              </w:rPr>
            </w:pPr>
            <w:r>
              <w:rPr>
                <w:spacing w:val="-10"/>
                <w:sz w:val="24"/>
              </w:rPr>
              <w:t>5</w:t>
            </w:r>
          </w:p>
        </w:tc>
        <w:tc>
          <w:tcPr>
            <w:tcW w:w="1450" w:type="dxa"/>
          </w:tcPr>
          <w:p>
            <w:pPr>
              <w:pStyle w:val="TableParagraph"/>
              <w:spacing w:line="271" w:lineRule="exact"/>
              <w:ind w:left="324"/>
              <w:rPr>
                <w:sz w:val="24"/>
              </w:rPr>
            </w:pPr>
            <w:r>
              <w:rPr>
                <w:spacing w:val="-2"/>
                <w:sz w:val="24"/>
              </w:rPr>
              <w:t>0.2724137</w:t>
            </w:r>
          </w:p>
          <w:p>
            <w:pPr>
              <w:pStyle w:val="TableParagraph"/>
              <w:spacing w:line="261" w:lineRule="exact"/>
              <w:ind w:left="324"/>
              <w:rPr>
                <w:sz w:val="24"/>
              </w:rPr>
            </w:pPr>
            <w:r>
              <w:rPr>
                <w:spacing w:val="-10"/>
                <w:sz w:val="24"/>
              </w:rPr>
              <w:t>9</w:t>
            </w:r>
          </w:p>
        </w:tc>
        <w:tc>
          <w:tcPr>
            <w:tcW w:w="1021" w:type="dxa"/>
          </w:tcPr>
          <w:p>
            <w:pPr>
              <w:pStyle w:val="TableParagraph"/>
              <w:spacing w:line="271" w:lineRule="exact"/>
              <w:ind w:left="112"/>
              <w:rPr>
                <w:sz w:val="24"/>
              </w:rPr>
            </w:pPr>
            <w:r>
              <w:rPr>
                <w:spacing w:val="-2"/>
                <w:sz w:val="24"/>
              </w:rPr>
              <w:t>0.34741</w:t>
            </w:r>
          </w:p>
          <w:p>
            <w:pPr>
              <w:pStyle w:val="TableParagraph"/>
              <w:spacing w:line="261" w:lineRule="exact"/>
              <w:ind w:left="112"/>
              <w:rPr>
                <w:sz w:val="24"/>
              </w:rPr>
            </w:pPr>
            <w:r>
              <w:rPr>
                <w:spacing w:val="-10"/>
                <w:sz w:val="24"/>
              </w:rPr>
              <w:t>4</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87.2413</w:t>
            </w:r>
          </w:p>
          <w:p>
            <w:pPr>
              <w:pStyle w:val="TableParagraph"/>
              <w:spacing w:line="261"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0.08724</w:t>
            </w:r>
          </w:p>
          <w:p>
            <w:pPr>
              <w:pStyle w:val="TableParagraph"/>
              <w:spacing w:line="261" w:lineRule="exact"/>
              <w:ind w:left="121"/>
              <w:rPr>
                <w:sz w:val="24"/>
              </w:rPr>
            </w:pPr>
            <w:r>
              <w:rPr>
                <w:spacing w:val="-10"/>
                <w:sz w:val="24"/>
              </w:rPr>
              <w:t>1</w:t>
            </w:r>
          </w:p>
        </w:tc>
        <w:tc>
          <w:tcPr>
            <w:tcW w:w="742" w:type="dxa"/>
          </w:tcPr>
          <w:p>
            <w:pPr>
              <w:pStyle w:val="TableParagraph"/>
              <w:spacing w:line="261" w:lineRule="exact" w:before="271"/>
              <w:ind w:left="122"/>
              <w:rPr>
                <w:sz w:val="24"/>
              </w:rPr>
            </w:pPr>
            <w:r>
              <w:rPr>
                <w:spacing w:val="-5"/>
                <w:sz w:val="24"/>
              </w:rPr>
              <w:t>20</w:t>
            </w:r>
          </w:p>
        </w:tc>
        <w:tc>
          <w:tcPr>
            <w:tcW w:w="1162" w:type="dxa"/>
          </w:tcPr>
          <w:p>
            <w:pPr>
              <w:pStyle w:val="TableParagraph"/>
              <w:spacing w:line="271" w:lineRule="exact"/>
              <w:ind w:left="263"/>
              <w:rPr>
                <w:sz w:val="24"/>
              </w:rPr>
            </w:pPr>
            <w:r>
              <w:rPr>
                <w:spacing w:val="-2"/>
                <w:sz w:val="24"/>
              </w:rPr>
              <w:t>0.16620</w:t>
            </w:r>
          </w:p>
          <w:p>
            <w:pPr>
              <w:pStyle w:val="TableParagraph"/>
              <w:spacing w:line="261" w:lineRule="exact"/>
              <w:ind w:left="263"/>
              <w:rPr>
                <w:sz w:val="24"/>
              </w:rPr>
            </w:pPr>
            <w:r>
              <w:rPr>
                <w:spacing w:val="-10"/>
                <w:sz w:val="24"/>
              </w:rPr>
              <w:t>7</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0.8310344</w:t>
            </w:r>
          </w:p>
          <w:p>
            <w:pPr>
              <w:pStyle w:val="TableParagraph"/>
              <w:spacing w:line="261" w:lineRule="exact"/>
              <w:ind w:left="324"/>
              <w:rPr>
                <w:sz w:val="24"/>
              </w:rPr>
            </w:pPr>
            <w:r>
              <w:rPr>
                <w:spacing w:val="-10"/>
                <w:sz w:val="24"/>
              </w:rPr>
              <w:t>8</w:t>
            </w:r>
          </w:p>
        </w:tc>
        <w:tc>
          <w:tcPr>
            <w:tcW w:w="1021" w:type="dxa"/>
          </w:tcPr>
          <w:p>
            <w:pPr>
              <w:pStyle w:val="TableParagraph"/>
              <w:spacing w:line="271" w:lineRule="exact"/>
              <w:ind w:left="112"/>
              <w:rPr>
                <w:sz w:val="24"/>
              </w:rPr>
            </w:pPr>
            <w:r>
              <w:rPr>
                <w:spacing w:val="-2"/>
                <w:sz w:val="24"/>
              </w:rPr>
              <w:t>1.17844</w:t>
            </w:r>
          </w:p>
          <w:p>
            <w:pPr>
              <w:pStyle w:val="TableParagraph"/>
              <w:spacing w:line="261" w:lineRule="exact"/>
              <w:ind w:left="112"/>
              <w:rPr>
                <w:sz w:val="24"/>
              </w:rPr>
            </w:pPr>
            <w:r>
              <w:rPr>
                <w:spacing w:val="-10"/>
                <w:sz w:val="24"/>
              </w:rPr>
              <w:t>8</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61" w:lineRule="exact" w:before="271"/>
              <w:ind w:left="50"/>
              <w:rPr>
                <w:sz w:val="24"/>
              </w:rPr>
            </w:pPr>
            <w:r>
              <w:rPr>
                <w:spacing w:val="-5"/>
                <w:sz w:val="24"/>
              </w:rPr>
              <w:t>120</w:t>
            </w:r>
          </w:p>
        </w:tc>
        <w:tc>
          <w:tcPr>
            <w:tcW w:w="1022" w:type="dxa"/>
          </w:tcPr>
          <w:p>
            <w:pPr>
              <w:pStyle w:val="TableParagraph"/>
              <w:spacing w:line="261" w:lineRule="exact" w:before="271"/>
              <w:ind w:left="121"/>
              <w:rPr>
                <w:sz w:val="24"/>
              </w:rPr>
            </w:pPr>
            <w:r>
              <w:rPr>
                <w:spacing w:val="-4"/>
                <w:sz w:val="24"/>
              </w:rPr>
              <w:t>0.12</w:t>
            </w:r>
          </w:p>
        </w:tc>
        <w:tc>
          <w:tcPr>
            <w:tcW w:w="742" w:type="dxa"/>
          </w:tcPr>
          <w:p>
            <w:pPr>
              <w:pStyle w:val="TableParagraph"/>
              <w:spacing w:line="261" w:lineRule="exact" w:before="271"/>
              <w:ind w:left="122"/>
              <w:rPr>
                <w:sz w:val="24"/>
              </w:rPr>
            </w:pPr>
            <w:r>
              <w:rPr>
                <w:spacing w:val="-5"/>
                <w:sz w:val="24"/>
              </w:rPr>
              <w:t>30</w:t>
            </w:r>
          </w:p>
        </w:tc>
        <w:tc>
          <w:tcPr>
            <w:tcW w:w="1162" w:type="dxa"/>
          </w:tcPr>
          <w:p>
            <w:pPr>
              <w:pStyle w:val="TableParagraph"/>
              <w:spacing w:line="271" w:lineRule="exact"/>
              <w:ind w:left="263"/>
              <w:rPr>
                <w:sz w:val="24"/>
              </w:rPr>
            </w:pPr>
            <w:r>
              <w:rPr>
                <w:spacing w:val="-2"/>
                <w:sz w:val="24"/>
              </w:rPr>
              <w:t>0.20724</w:t>
            </w:r>
          </w:p>
          <w:p>
            <w:pPr>
              <w:pStyle w:val="TableParagraph"/>
              <w:spacing w:line="261" w:lineRule="exact"/>
              <w:ind w:left="263"/>
              <w:rPr>
                <w:sz w:val="24"/>
              </w:rPr>
            </w:pPr>
            <w:r>
              <w:rPr>
                <w:spacing w:val="-10"/>
                <w:sz w:val="24"/>
              </w:rPr>
              <w:t>1</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61" w:lineRule="exact" w:before="271"/>
              <w:ind w:left="324"/>
              <w:rPr>
                <w:sz w:val="24"/>
              </w:rPr>
            </w:pPr>
            <w:r>
              <w:rPr>
                <w:spacing w:val="-2"/>
                <w:sz w:val="24"/>
              </w:rPr>
              <w:t>1.0362069</w:t>
            </w:r>
          </w:p>
        </w:tc>
        <w:tc>
          <w:tcPr>
            <w:tcW w:w="1021" w:type="dxa"/>
          </w:tcPr>
          <w:p>
            <w:pPr>
              <w:pStyle w:val="TableParagraph"/>
              <w:spacing w:line="271" w:lineRule="exact"/>
              <w:ind w:left="112"/>
              <w:rPr>
                <w:sz w:val="24"/>
              </w:rPr>
            </w:pPr>
            <w:r>
              <w:rPr>
                <w:spacing w:val="-2"/>
                <w:sz w:val="24"/>
              </w:rPr>
              <w:t>2.21465</w:t>
            </w:r>
          </w:p>
          <w:p>
            <w:pPr>
              <w:pStyle w:val="TableParagraph"/>
              <w:spacing w:line="261" w:lineRule="exact"/>
              <w:ind w:left="112"/>
              <w:rPr>
                <w:sz w:val="24"/>
              </w:rPr>
            </w:pPr>
            <w:r>
              <w:rPr>
                <w:spacing w:val="-10"/>
                <w:sz w:val="24"/>
              </w:rPr>
              <w:t>5</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4" w:hRule="atLeast"/>
        </w:trPr>
        <w:tc>
          <w:tcPr>
            <w:tcW w:w="951" w:type="dxa"/>
          </w:tcPr>
          <w:p>
            <w:pPr>
              <w:pStyle w:val="TableParagraph"/>
              <w:spacing w:line="264" w:lineRule="exact" w:before="271"/>
              <w:ind w:left="50"/>
              <w:rPr>
                <w:sz w:val="24"/>
              </w:rPr>
            </w:pPr>
            <w:r>
              <w:rPr>
                <w:spacing w:val="-5"/>
                <w:sz w:val="24"/>
              </w:rPr>
              <w:t>260</w:t>
            </w:r>
          </w:p>
        </w:tc>
        <w:tc>
          <w:tcPr>
            <w:tcW w:w="1022" w:type="dxa"/>
          </w:tcPr>
          <w:p>
            <w:pPr>
              <w:pStyle w:val="TableParagraph"/>
              <w:spacing w:line="264" w:lineRule="exact" w:before="271"/>
              <w:ind w:left="121"/>
              <w:rPr>
                <w:sz w:val="24"/>
              </w:rPr>
            </w:pPr>
            <w:r>
              <w:rPr>
                <w:spacing w:val="-4"/>
                <w:sz w:val="24"/>
              </w:rPr>
              <w:t>0.26</w:t>
            </w:r>
          </w:p>
        </w:tc>
        <w:tc>
          <w:tcPr>
            <w:tcW w:w="742" w:type="dxa"/>
          </w:tcPr>
          <w:p>
            <w:pPr>
              <w:pStyle w:val="TableParagraph"/>
              <w:spacing w:line="264" w:lineRule="exact" w:before="271"/>
              <w:ind w:left="122"/>
              <w:rPr>
                <w:sz w:val="24"/>
              </w:rPr>
            </w:pPr>
            <w:r>
              <w:rPr>
                <w:spacing w:val="-5"/>
                <w:sz w:val="24"/>
              </w:rPr>
              <w:t>40</w:t>
            </w:r>
          </w:p>
        </w:tc>
        <w:tc>
          <w:tcPr>
            <w:tcW w:w="1162" w:type="dxa"/>
          </w:tcPr>
          <w:p>
            <w:pPr>
              <w:pStyle w:val="TableParagraph"/>
              <w:spacing w:line="264" w:lineRule="exact" w:before="271"/>
              <w:ind w:left="263"/>
              <w:rPr>
                <w:sz w:val="24"/>
              </w:rPr>
            </w:pPr>
            <w:r>
              <w:rPr>
                <w:spacing w:val="-4"/>
                <w:sz w:val="24"/>
              </w:rPr>
              <w:t>0.38</w:t>
            </w:r>
          </w:p>
        </w:tc>
        <w:tc>
          <w:tcPr>
            <w:tcW w:w="681" w:type="dxa"/>
          </w:tcPr>
          <w:p>
            <w:pPr>
              <w:pStyle w:val="TableParagraph"/>
              <w:spacing w:line="264" w:lineRule="exact" w:before="271"/>
              <w:ind w:left="123"/>
              <w:rPr>
                <w:sz w:val="24"/>
              </w:rPr>
            </w:pPr>
            <w:r>
              <w:rPr>
                <w:spacing w:val="-5"/>
                <w:sz w:val="24"/>
              </w:rPr>
              <w:t>10</w:t>
            </w:r>
          </w:p>
        </w:tc>
        <w:tc>
          <w:tcPr>
            <w:tcW w:w="1450" w:type="dxa"/>
          </w:tcPr>
          <w:p>
            <w:pPr>
              <w:pStyle w:val="TableParagraph"/>
              <w:spacing w:line="264" w:lineRule="exact" w:before="271"/>
              <w:ind w:left="324"/>
              <w:rPr>
                <w:sz w:val="24"/>
              </w:rPr>
            </w:pPr>
            <w:r>
              <w:rPr>
                <w:spacing w:val="-5"/>
                <w:sz w:val="24"/>
              </w:rPr>
              <w:t>1.9</w:t>
            </w:r>
          </w:p>
        </w:tc>
        <w:tc>
          <w:tcPr>
            <w:tcW w:w="1021" w:type="dxa"/>
          </w:tcPr>
          <w:p>
            <w:pPr>
              <w:pStyle w:val="TableParagraph"/>
              <w:spacing w:line="271" w:lineRule="exact"/>
              <w:ind w:left="112"/>
              <w:rPr>
                <w:sz w:val="24"/>
              </w:rPr>
            </w:pPr>
            <w:r>
              <w:rPr>
                <w:spacing w:val="-2"/>
                <w:sz w:val="24"/>
              </w:rPr>
              <w:t>4.11465</w:t>
            </w:r>
          </w:p>
          <w:p>
            <w:pPr>
              <w:pStyle w:val="TableParagraph"/>
              <w:spacing w:line="264" w:lineRule="exact"/>
              <w:ind w:left="112"/>
              <w:rPr>
                <w:sz w:val="24"/>
              </w:rPr>
            </w:pPr>
            <w:r>
              <w:rPr>
                <w:spacing w:val="-10"/>
                <w:sz w:val="24"/>
              </w:rPr>
              <w:t>5</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64" w:lineRule="exact" w:before="268"/>
              <w:ind w:left="50"/>
              <w:rPr>
                <w:sz w:val="24"/>
              </w:rPr>
            </w:pPr>
            <w:r>
              <w:rPr>
                <w:spacing w:val="-5"/>
                <w:sz w:val="24"/>
              </w:rPr>
              <w:t>290</w:t>
            </w:r>
          </w:p>
        </w:tc>
        <w:tc>
          <w:tcPr>
            <w:tcW w:w="1022" w:type="dxa"/>
          </w:tcPr>
          <w:p>
            <w:pPr>
              <w:pStyle w:val="TableParagraph"/>
              <w:spacing w:line="264" w:lineRule="exact" w:before="268"/>
              <w:ind w:left="121"/>
              <w:rPr>
                <w:sz w:val="24"/>
              </w:rPr>
            </w:pPr>
            <w:r>
              <w:rPr>
                <w:spacing w:val="-4"/>
                <w:sz w:val="24"/>
              </w:rPr>
              <w:t>0.29</w:t>
            </w:r>
          </w:p>
        </w:tc>
        <w:tc>
          <w:tcPr>
            <w:tcW w:w="742" w:type="dxa"/>
          </w:tcPr>
          <w:p>
            <w:pPr>
              <w:pStyle w:val="TableParagraph"/>
              <w:spacing w:line="264" w:lineRule="exact" w:before="268"/>
              <w:ind w:left="122"/>
              <w:rPr>
                <w:sz w:val="24"/>
              </w:rPr>
            </w:pPr>
            <w:r>
              <w:rPr>
                <w:spacing w:val="-5"/>
                <w:sz w:val="24"/>
              </w:rPr>
              <w:t>50</w:t>
            </w:r>
          </w:p>
        </w:tc>
        <w:tc>
          <w:tcPr>
            <w:tcW w:w="1162" w:type="dxa"/>
          </w:tcPr>
          <w:p>
            <w:pPr>
              <w:pStyle w:val="TableParagraph"/>
              <w:spacing w:line="264" w:lineRule="exact" w:before="268"/>
              <w:ind w:left="263"/>
              <w:rPr>
                <w:sz w:val="24"/>
              </w:rPr>
            </w:pPr>
            <w:r>
              <w:rPr>
                <w:spacing w:val="-4"/>
                <w:sz w:val="24"/>
              </w:rPr>
              <w:t>0.55</w:t>
            </w:r>
          </w:p>
        </w:tc>
        <w:tc>
          <w:tcPr>
            <w:tcW w:w="681" w:type="dxa"/>
          </w:tcPr>
          <w:p>
            <w:pPr>
              <w:pStyle w:val="TableParagraph"/>
              <w:spacing w:line="264" w:lineRule="exact" w:before="268"/>
              <w:ind w:left="123"/>
              <w:rPr>
                <w:sz w:val="24"/>
              </w:rPr>
            </w:pPr>
            <w:r>
              <w:rPr>
                <w:spacing w:val="-5"/>
                <w:sz w:val="24"/>
              </w:rPr>
              <w:t>10</w:t>
            </w:r>
          </w:p>
        </w:tc>
        <w:tc>
          <w:tcPr>
            <w:tcW w:w="1450" w:type="dxa"/>
          </w:tcPr>
          <w:p>
            <w:pPr>
              <w:pStyle w:val="TableParagraph"/>
              <w:spacing w:line="264" w:lineRule="exact" w:before="268"/>
              <w:ind w:left="324"/>
              <w:rPr>
                <w:sz w:val="24"/>
              </w:rPr>
            </w:pPr>
            <w:r>
              <w:rPr>
                <w:spacing w:val="-4"/>
                <w:sz w:val="24"/>
              </w:rPr>
              <w:t>2.75</w:t>
            </w:r>
          </w:p>
        </w:tc>
        <w:tc>
          <w:tcPr>
            <w:tcW w:w="1021" w:type="dxa"/>
          </w:tcPr>
          <w:p>
            <w:pPr>
              <w:pStyle w:val="TableParagraph"/>
              <w:spacing w:line="268" w:lineRule="exact"/>
              <w:ind w:left="112"/>
              <w:rPr>
                <w:sz w:val="24"/>
              </w:rPr>
            </w:pPr>
            <w:r>
              <w:rPr>
                <w:spacing w:val="-2"/>
                <w:sz w:val="24"/>
              </w:rPr>
              <w:t>6.86465</w:t>
            </w:r>
          </w:p>
          <w:p>
            <w:pPr>
              <w:pStyle w:val="TableParagraph"/>
              <w:spacing w:line="264" w:lineRule="exact"/>
              <w:ind w:left="112"/>
              <w:rPr>
                <w:sz w:val="24"/>
              </w:rPr>
            </w:pPr>
            <w:r>
              <w:rPr>
                <w:spacing w:val="-10"/>
                <w:sz w:val="24"/>
              </w:rPr>
              <w:t>5</w:t>
            </w:r>
          </w:p>
        </w:tc>
        <w:tc>
          <w:tcPr>
            <w:tcW w:w="880" w:type="dxa"/>
          </w:tcPr>
          <w:p>
            <w:pPr>
              <w:pStyle w:val="TableParagraph"/>
              <w:spacing w:line="264" w:lineRule="exact" w:before="268"/>
              <w:ind w:left="111"/>
              <w:rPr>
                <w:sz w:val="24"/>
              </w:rPr>
            </w:pPr>
            <w:r>
              <w:rPr>
                <w:spacing w:val="-10"/>
                <w:sz w:val="24"/>
              </w:rPr>
              <w:t>F</w:t>
            </w:r>
          </w:p>
        </w:tc>
        <w:tc>
          <w:tcPr>
            <w:tcW w:w="882" w:type="dxa"/>
            <w:shd w:val="clear" w:color="auto" w:fill="FF0000"/>
          </w:tcPr>
          <w:p>
            <w:pPr>
              <w:pStyle w:val="TableParagraph"/>
              <w:spacing w:line="264" w:lineRule="exact" w:before="268"/>
              <w:ind w:left="115"/>
              <w:rPr>
                <w:sz w:val="24"/>
              </w:rPr>
            </w:pPr>
            <w:r>
              <w:rPr>
                <w:spacing w:val="-5"/>
                <w:sz w:val="24"/>
              </w:rPr>
              <w:t>100</w:t>
            </w:r>
          </w:p>
        </w:tc>
      </w:tr>
      <w:tr>
        <w:trPr>
          <w:trHeight w:val="549" w:hRule="atLeast"/>
        </w:trPr>
        <w:tc>
          <w:tcPr>
            <w:tcW w:w="951" w:type="dxa"/>
          </w:tcPr>
          <w:p>
            <w:pPr>
              <w:pStyle w:val="TableParagraph"/>
              <w:spacing w:line="268" w:lineRule="exact"/>
              <w:ind w:left="50"/>
              <w:rPr>
                <w:sz w:val="24"/>
              </w:rPr>
            </w:pPr>
            <w:r>
              <w:rPr>
                <w:spacing w:val="-2"/>
                <w:sz w:val="24"/>
              </w:rPr>
              <w:t>338.275</w:t>
            </w:r>
          </w:p>
          <w:p>
            <w:pPr>
              <w:pStyle w:val="TableParagraph"/>
              <w:spacing w:line="261" w:lineRule="exact"/>
              <w:ind w:left="50"/>
              <w:rPr>
                <w:sz w:val="24"/>
              </w:rPr>
            </w:pPr>
            <w:r>
              <w:rPr>
                <w:spacing w:val="-10"/>
                <w:sz w:val="24"/>
              </w:rPr>
              <w:t>9</w:t>
            </w:r>
          </w:p>
        </w:tc>
        <w:tc>
          <w:tcPr>
            <w:tcW w:w="1022" w:type="dxa"/>
          </w:tcPr>
          <w:p>
            <w:pPr>
              <w:pStyle w:val="TableParagraph"/>
              <w:spacing w:line="268" w:lineRule="exact"/>
              <w:ind w:left="121"/>
              <w:rPr>
                <w:sz w:val="24"/>
              </w:rPr>
            </w:pPr>
            <w:r>
              <w:rPr>
                <w:spacing w:val="-2"/>
                <w:sz w:val="24"/>
              </w:rPr>
              <w:t>0.33827</w:t>
            </w:r>
          </w:p>
          <w:p>
            <w:pPr>
              <w:pStyle w:val="TableParagraph"/>
              <w:spacing w:line="261" w:lineRule="exact"/>
              <w:ind w:left="121"/>
              <w:rPr>
                <w:sz w:val="24"/>
              </w:rPr>
            </w:pPr>
            <w:r>
              <w:rPr>
                <w:spacing w:val="-10"/>
                <w:sz w:val="24"/>
              </w:rPr>
              <w:t>6</w:t>
            </w:r>
          </w:p>
        </w:tc>
        <w:tc>
          <w:tcPr>
            <w:tcW w:w="742" w:type="dxa"/>
          </w:tcPr>
          <w:p>
            <w:pPr>
              <w:pStyle w:val="TableParagraph"/>
              <w:spacing w:line="261" w:lineRule="exact" w:before="268"/>
              <w:ind w:left="122"/>
              <w:rPr>
                <w:sz w:val="24"/>
              </w:rPr>
            </w:pPr>
            <w:r>
              <w:rPr>
                <w:spacing w:val="-5"/>
                <w:sz w:val="24"/>
              </w:rPr>
              <w:t>60</w:t>
            </w:r>
          </w:p>
        </w:tc>
        <w:tc>
          <w:tcPr>
            <w:tcW w:w="1162" w:type="dxa"/>
          </w:tcPr>
          <w:p>
            <w:pPr>
              <w:pStyle w:val="TableParagraph"/>
              <w:spacing w:line="268" w:lineRule="exact"/>
              <w:ind w:left="263"/>
              <w:rPr>
                <w:sz w:val="24"/>
              </w:rPr>
            </w:pPr>
            <w:r>
              <w:rPr>
                <w:spacing w:val="-2"/>
                <w:sz w:val="24"/>
              </w:rPr>
              <w:t>0.62827</w:t>
            </w:r>
          </w:p>
          <w:p>
            <w:pPr>
              <w:pStyle w:val="TableParagraph"/>
              <w:spacing w:line="261" w:lineRule="exact"/>
              <w:ind w:left="263"/>
              <w:rPr>
                <w:sz w:val="24"/>
              </w:rPr>
            </w:pPr>
            <w:r>
              <w:rPr>
                <w:spacing w:val="-10"/>
                <w:sz w:val="24"/>
              </w:rPr>
              <w:t>6</w:t>
            </w:r>
          </w:p>
        </w:tc>
        <w:tc>
          <w:tcPr>
            <w:tcW w:w="681" w:type="dxa"/>
          </w:tcPr>
          <w:p>
            <w:pPr>
              <w:pStyle w:val="TableParagraph"/>
              <w:spacing w:line="261" w:lineRule="exact" w:before="268"/>
              <w:ind w:left="123"/>
              <w:rPr>
                <w:sz w:val="24"/>
              </w:rPr>
            </w:pPr>
            <w:r>
              <w:rPr>
                <w:spacing w:val="-5"/>
                <w:sz w:val="24"/>
              </w:rPr>
              <w:t>10</w:t>
            </w:r>
          </w:p>
        </w:tc>
        <w:tc>
          <w:tcPr>
            <w:tcW w:w="1450" w:type="dxa"/>
          </w:tcPr>
          <w:p>
            <w:pPr>
              <w:pStyle w:val="TableParagraph"/>
              <w:spacing w:line="268" w:lineRule="exact"/>
              <w:ind w:left="324"/>
              <w:rPr>
                <w:sz w:val="24"/>
              </w:rPr>
            </w:pPr>
            <w:r>
              <w:rPr>
                <w:spacing w:val="-2"/>
                <w:sz w:val="24"/>
              </w:rPr>
              <w:t>3.1413793</w:t>
            </w:r>
          </w:p>
          <w:p>
            <w:pPr>
              <w:pStyle w:val="TableParagraph"/>
              <w:spacing w:line="261" w:lineRule="exact"/>
              <w:ind w:left="324"/>
              <w:rPr>
                <w:sz w:val="24"/>
              </w:rPr>
            </w:pPr>
            <w:r>
              <w:rPr>
                <w:spacing w:val="-10"/>
                <w:sz w:val="24"/>
              </w:rPr>
              <w:t>1</w:t>
            </w:r>
          </w:p>
        </w:tc>
        <w:tc>
          <w:tcPr>
            <w:tcW w:w="1021" w:type="dxa"/>
          </w:tcPr>
          <w:p>
            <w:pPr>
              <w:pStyle w:val="TableParagraph"/>
              <w:spacing w:line="268" w:lineRule="exact"/>
              <w:ind w:left="112"/>
              <w:rPr>
                <w:sz w:val="24"/>
              </w:rPr>
            </w:pPr>
            <w:r>
              <w:rPr>
                <w:spacing w:val="-2"/>
                <w:sz w:val="24"/>
              </w:rPr>
              <w:t>10.0060</w:t>
            </w:r>
          </w:p>
          <w:p>
            <w:pPr>
              <w:pStyle w:val="TableParagraph"/>
              <w:spacing w:line="261" w:lineRule="exact"/>
              <w:ind w:left="112"/>
              <w:rPr>
                <w:sz w:val="24"/>
              </w:rPr>
            </w:pPr>
            <w:r>
              <w:rPr>
                <w:spacing w:val="-10"/>
                <w:sz w:val="24"/>
              </w:rPr>
              <w:t>3</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359.655</w:t>
            </w:r>
          </w:p>
          <w:p>
            <w:pPr>
              <w:pStyle w:val="TableParagraph"/>
              <w:spacing w:line="261" w:lineRule="exact"/>
              <w:ind w:left="50"/>
              <w:rPr>
                <w:sz w:val="24"/>
              </w:rPr>
            </w:pPr>
            <w:r>
              <w:rPr>
                <w:spacing w:val="-10"/>
                <w:sz w:val="24"/>
              </w:rPr>
              <w:t>2</w:t>
            </w:r>
          </w:p>
        </w:tc>
        <w:tc>
          <w:tcPr>
            <w:tcW w:w="1022" w:type="dxa"/>
          </w:tcPr>
          <w:p>
            <w:pPr>
              <w:pStyle w:val="TableParagraph"/>
              <w:spacing w:line="271" w:lineRule="exact"/>
              <w:ind w:left="121"/>
              <w:rPr>
                <w:sz w:val="24"/>
              </w:rPr>
            </w:pPr>
            <w:r>
              <w:rPr>
                <w:spacing w:val="-2"/>
                <w:sz w:val="24"/>
              </w:rPr>
              <w:t>0.35965</w:t>
            </w:r>
          </w:p>
          <w:p>
            <w:pPr>
              <w:pStyle w:val="TableParagraph"/>
              <w:spacing w:line="261" w:lineRule="exact"/>
              <w:ind w:left="121"/>
              <w:rPr>
                <w:sz w:val="24"/>
              </w:rPr>
            </w:pPr>
            <w:r>
              <w:rPr>
                <w:spacing w:val="-10"/>
                <w:sz w:val="24"/>
              </w:rPr>
              <w:t>5</w:t>
            </w:r>
          </w:p>
        </w:tc>
        <w:tc>
          <w:tcPr>
            <w:tcW w:w="742" w:type="dxa"/>
          </w:tcPr>
          <w:p>
            <w:pPr>
              <w:pStyle w:val="TableParagraph"/>
              <w:spacing w:line="261" w:lineRule="exact" w:before="271"/>
              <w:ind w:left="122"/>
              <w:rPr>
                <w:sz w:val="24"/>
              </w:rPr>
            </w:pPr>
            <w:r>
              <w:rPr>
                <w:spacing w:val="-5"/>
                <w:sz w:val="24"/>
              </w:rPr>
              <w:t>70</w:t>
            </w:r>
          </w:p>
        </w:tc>
        <w:tc>
          <w:tcPr>
            <w:tcW w:w="1162" w:type="dxa"/>
          </w:tcPr>
          <w:p>
            <w:pPr>
              <w:pStyle w:val="TableParagraph"/>
              <w:spacing w:line="271" w:lineRule="exact"/>
              <w:ind w:left="263"/>
              <w:rPr>
                <w:sz w:val="24"/>
              </w:rPr>
            </w:pPr>
            <w:r>
              <w:rPr>
                <w:spacing w:val="-2"/>
                <w:sz w:val="24"/>
              </w:rPr>
              <w:t>0.69793</w:t>
            </w:r>
          </w:p>
          <w:p>
            <w:pPr>
              <w:pStyle w:val="TableParagraph"/>
              <w:spacing w:line="261" w:lineRule="exact"/>
              <w:ind w:left="263"/>
              <w:rPr>
                <w:sz w:val="24"/>
              </w:rPr>
            </w:pPr>
            <w:r>
              <w:rPr>
                <w:spacing w:val="-10"/>
                <w:sz w:val="24"/>
              </w:rPr>
              <w:t>1</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3.4896551</w:t>
            </w:r>
          </w:p>
          <w:p>
            <w:pPr>
              <w:pStyle w:val="TableParagraph"/>
              <w:spacing w:line="261" w:lineRule="exact"/>
              <w:ind w:left="324"/>
              <w:rPr>
                <w:sz w:val="24"/>
              </w:rPr>
            </w:pPr>
            <w:r>
              <w:rPr>
                <w:spacing w:val="-10"/>
                <w:sz w:val="24"/>
              </w:rPr>
              <w:t>7</w:t>
            </w:r>
          </w:p>
        </w:tc>
        <w:tc>
          <w:tcPr>
            <w:tcW w:w="1021" w:type="dxa"/>
          </w:tcPr>
          <w:p>
            <w:pPr>
              <w:pStyle w:val="TableParagraph"/>
              <w:spacing w:line="271" w:lineRule="exact"/>
              <w:ind w:left="112"/>
              <w:rPr>
                <w:sz w:val="24"/>
              </w:rPr>
            </w:pPr>
            <w:r>
              <w:rPr>
                <w:spacing w:val="-2"/>
                <w:sz w:val="24"/>
              </w:rPr>
              <w:t>13.4956</w:t>
            </w:r>
          </w:p>
          <w:p>
            <w:pPr>
              <w:pStyle w:val="TableParagraph"/>
              <w:spacing w:line="261" w:lineRule="exact"/>
              <w:ind w:left="112"/>
              <w:rPr>
                <w:sz w:val="24"/>
              </w:rPr>
            </w:pPr>
            <w:r>
              <w:rPr>
                <w:spacing w:val="-10"/>
                <w:sz w:val="24"/>
              </w:rPr>
              <w:t>9</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368.275</w:t>
            </w:r>
          </w:p>
          <w:p>
            <w:pPr>
              <w:pStyle w:val="TableParagraph"/>
              <w:spacing w:line="261" w:lineRule="exact"/>
              <w:ind w:left="50"/>
              <w:rPr>
                <w:sz w:val="24"/>
              </w:rPr>
            </w:pPr>
            <w:r>
              <w:rPr>
                <w:spacing w:val="-10"/>
                <w:sz w:val="24"/>
              </w:rPr>
              <w:t>9</w:t>
            </w:r>
          </w:p>
        </w:tc>
        <w:tc>
          <w:tcPr>
            <w:tcW w:w="1022" w:type="dxa"/>
          </w:tcPr>
          <w:p>
            <w:pPr>
              <w:pStyle w:val="TableParagraph"/>
              <w:spacing w:line="271" w:lineRule="exact"/>
              <w:ind w:left="121"/>
              <w:rPr>
                <w:sz w:val="24"/>
              </w:rPr>
            </w:pPr>
            <w:r>
              <w:rPr>
                <w:spacing w:val="-2"/>
                <w:sz w:val="24"/>
              </w:rPr>
              <w:t>0.36827</w:t>
            </w:r>
          </w:p>
          <w:p>
            <w:pPr>
              <w:pStyle w:val="TableParagraph"/>
              <w:spacing w:line="261" w:lineRule="exact"/>
              <w:ind w:left="121"/>
              <w:rPr>
                <w:sz w:val="24"/>
              </w:rPr>
            </w:pPr>
            <w:r>
              <w:rPr>
                <w:spacing w:val="-10"/>
                <w:sz w:val="24"/>
              </w:rPr>
              <w:t>6</w:t>
            </w:r>
          </w:p>
        </w:tc>
        <w:tc>
          <w:tcPr>
            <w:tcW w:w="742" w:type="dxa"/>
          </w:tcPr>
          <w:p>
            <w:pPr>
              <w:pStyle w:val="TableParagraph"/>
              <w:spacing w:line="261" w:lineRule="exact" w:before="271"/>
              <w:ind w:left="122"/>
              <w:rPr>
                <w:sz w:val="24"/>
              </w:rPr>
            </w:pPr>
            <w:r>
              <w:rPr>
                <w:spacing w:val="-5"/>
                <w:sz w:val="24"/>
              </w:rPr>
              <w:t>80</w:t>
            </w:r>
          </w:p>
        </w:tc>
        <w:tc>
          <w:tcPr>
            <w:tcW w:w="1162" w:type="dxa"/>
          </w:tcPr>
          <w:p>
            <w:pPr>
              <w:pStyle w:val="TableParagraph"/>
              <w:spacing w:line="271" w:lineRule="exact"/>
              <w:ind w:left="263"/>
              <w:rPr>
                <w:sz w:val="24"/>
              </w:rPr>
            </w:pPr>
            <w:r>
              <w:rPr>
                <w:spacing w:val="-2"/>
                <w:sz w:val="24"/>
              </w:rPr>
              <w:t>0.72793</w:t>
            </w:r>
          </w:p>
          <w:p>
            <w:pPr>
              <w:pStyle w:val="TableParagraph"/>
              <w:spacing w:line="261" w:lineRule="exact"/>
              <w:ind w:left="263"/>
              <w:rPr>
                <w:sz w:val="24"/>
              </w:rPr>
            </w:pPr>
            <w:r>
              <w:rPr>
                <w:spacing w:val="-10"/>
                <w:sz w:val="24"/>
              </w:rPr>
              <w:t>1</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3.6396551</w:t>
            </w:r>
          </w:p>
          <w:p>
            <w:pPr>
              <w:pStyle w:val="TableParagraph"/>
              <w:spacing w:line="261" w:lineRule="exact"/>
              <w:ind w:left="324"/>
              <w:rPr>
                <w:sz w:val="24"/>
              </w:rPr>
            </w:pPr>
            <w:r>
              <w:rPr>
                <w:spacing w:val="-10"/>
                <w:sz w:val="24"/>
              </w:rPr>
              <w:t>7</w:t>
            </w:r>
          </w:p>
        </w:tc>
        <w:tc>
          <w:tcPr>
            <w:tcW w:w="1021" w:type="dxa"/>
          </w:tcPr>
          <w:p>
            <w:pPr>
              <w:pStyle w:val="TableParagraph"/>
              <w:spacing w:line="271" w:lineRule="exact"/>
              <w:ind w:left="112"/>
              <w:rPr>
                <w:sz w:val="24"/>
              </w:rPr>
            </w:pPr>
            <w:r>
              <w:rPr>
                <w:spacing w:val="-2"/>
                <w:sz w:val="24"/>
              </w:rPr>
              <w:t>17.1353</w:t>
            </w:r>
          </w:p>
          <w:p>
            <w:pPr>
              <w:pStyle w:val="TableParagraph"/>
              <w:spacing w:line="261" w:lineRule="exact"/>
              <w:ind w:left="112"/>
              <w:rPr>
                <w:sz w:val="24"/>
              </w:rPr>
            </w:pPr>
            <w:r>
              <w:rPr>
                <w:spacing w:val="-10"/>
                <w:sz w:val="24"/>
              </w:rPr>
              <w:t>4</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383.448</w:t>
            </w:r>
          </w:p>
          <w:p>
            <w:pPr>
              <w:pStyle w:val="TableParagraph"/>
              <w:spacing w:line="261" w:lineRule="exact"/>
              <w:ind w:left="50"/>
              <w:rPr>
                <w:sz w:val="24"/>
              </w:rPr>
            </w:pPr>
            <w:r>
              <w:rPr>
                <w:spacing w:val="-10"/>
                <w:sz w:val="24"/>
              </w:rPr>
              <w:t>3</w:t>
            </w:r>
          </w:p>
        </w:tc>
        <w:tc>
          <w:tcPr>
            <w:tcW w:w="1022" w:type="dxa"/>
          </w:tcPr>
          <w:p>
            <w:pPr>
              <w:pStyle w:val="TableParagraph"/>
              <w:spacing w:line="271" w:lineRule="exact"/>
              <w:ind w:left="121"/>
              <w:rPr>
                <w:sz w:val="24"/>
              </w:rPr>
            </w:pPr>
            <w:r>
              <w:rPr>
                <w:spacing w:val="-2"/>
                <w:sz w:val="24"/>
              </w:rPr>
              <w:t>0.38344</w:t>
            </w:r>
          </w:p>
          <w:p>
            <w:pPr>
              <w:pStyle w:val="TableParagraph"/>
              <w:spacing w:line="261" w:lineRule="exact"/>
              <w:ind w:left="121"/>
              <w:rPr>
                <w:sz w:val="24"/>
              </w:rPr>
            </w:pPr>
            <w:r>
              <w:rPr>
                <w:spacing w:val="-10"/>
                <w:sz w:val="24"/>
              </w:rPr>
              <w:t>8</w:t>
            </w:r>
          </w:p>
        </w:tc>
        <w:tc>
          <w:tcPr>
            <w:tcW w:w="742" w:type="dxa"/>
          </w:tcPr>
          <w:p>
            <w:pPr>
              <w:pStyle w:val="TableParagraph"/>
              <w:spacing w:line="261" w:lineRule="exact" w:before="271"/>
              <w:ind w:left="122"/>
              <w:rPr>
                <w:sz w:val="24"/>
              </w:rPr>
            </w:pPr>
            <w:r>
              <w:rPr>
                <w:spacing w:val="-5"/>
                <w:sz w:val="24"/>
              </w:rPr>
              <w:t>90</w:t>
            </w:r>
          </w:p>
        </w:tc>
        <w:tc>
          <w:tcPr>
            <w:tcW w:w="1162" w:type="dxa"/>
          </w:tcPr>
          <w:p>
            <w:pPr>
              <w:pStyle w:val="TableParagraph"/>
              <w:spacing w:line="271" w:lineRule="exact"/>
              <w:ind w:left="263"/>
              <w:rPr>
                <w:sz w:val="24"/>
              </w:rPr>
            </w:pPr>
            <w:r>
              <w:rPr>
                <w:spacing w:val="-2"/>
                <w:sz w:val="24"/>
              </w:rPr>
              <w:t>0.75172</w:t>
            </w:r>
          </w:p>
          <w:p>
            <w:pPr>
              <w:pStyle w:val="TableParagraph"/>
              <w:spacing w:line="261" w:lineRule="exact"/>
              <w:ind w:left="263"/>
              <w:rPr>
                <w:sz w:val="24"/>
              </w:rPr>
            </w:pPr>
            <w:r>
              <w:rPr>
                <w:spacing w:val="-10"/>
                <w:sz w:val="24"/>
              </w:rPr>
              <w:t>4</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3.7586206</w:t>
            </w:r>
          </w:p>
          <w:p>
            <w:pPr>
              <w:pStyle w:val="TableParagraph"/>
              <w:spacing w:line="261" w:lineRule="exact"/>
              <w:ind w:left="324"/>
              <w:rPr>
                <w:sz w:val="24"/>
              </w:rPr>
            </w:pPr>
            <w:r>
              <w:rPr>
                <w:spacing w:val="-10"/>
                <w:sz w:val="24"/>
              </w:rPr>
              <w:t>9</w:t>
            </w:r>
          </w:p>
        </w:tc>
        <w:tc>
          <w:tcPr>
            <w:tcW w:w="1021" w:type="dxa"/>
          </w:tcPr>
          <w:p>
            <w:pPr>
              <w:pStyle w:val="TableParagraph"/>
              <w:spacing w:line="271" w:lineRule="exact"/>
              <w:ind w:left="112"/>
              <w:rPr>
                <w:sz w:val="24"/>
              </w:rPr>
            </w:pPr>
            <w:r>
              <w:rPr>
                <w:spacing w:val="-2"/>
                <w:sz w:val="24"/>
              </w:rPr>
              <w:t>20.8939</w:t>
            </w:r>
          </w:p>
          <w:p>
            <w:pPr>
              <w:pStyle w:val="TableParagraph"/>
              <w:spacing w:line="261" w:lineRule="exact"/>
              <w:ind w:left="112"/>
              <w:rPr>
                <w:sz w:val="24"/>
              </w:rPr>
            </w:pPr>
            <w:r>
              <w:rPr>
                <w:spacing w:val="-10"/>
                <w:sz w:val="24"/>
              </w:rPr>
              <w:t>7</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403.103</w:t>
            </w:r>
          </w:p>
          <w:p>
            <w:pPr>
              <w:pStyle w:val="TableParagraph"/>
              <w:spacing w:line="261" w:lineRule="exact"/>
              <w:ind w:left="50"/>
              <w:rPr>
                <w:sz w:val="24"/>
              </w:rPr>
            </w:pPr>
            <w:r>
              <w:rPr>
                <w:spacing w:val="-10"/>
                <w:sz w:val="24"/>
              </w:rPr>
              <w:t>4</w:t>
            </w:r>
          </w:p>
        </w:tc>
        <w:tc>
          <w:tcPr>
            <w:tcW w:w="1022" w:type="dxa"/>
          </w:tcPr>
          <w:p>
            <w:pPr>
              <w:pStyle w:val="TableParagraph"/>
              <w:spacing w:line="271" w:lineRule="exact"/>
              <w:ind w:left="121"/>
              <w:rPr>
                <w:sz w:val="24"/>
              </w:rPr>
            </w:pPr>
            <w:r>
              <w:rPr>
                <w:spacing w:val="-2"/>
                <w:sz w:val="24"/>
              </w:rPr>
              <w:t>0.40310</w:t>
            </w:r>
          </w:p>
          <w:p>
            <w:pPr>
              <w:pStyle w:val="TableParagraph"/>
              <w:spacing w:line="261" w:lineRule="exact"/>
              <w:ind w:left="121"/>
              <w:rPr>
                <w:sz w:val="24"/>
              </w:rPr>
            </w:pPr>
            <w:r>
              <w:rPr>
                <w:spacing w:val="-10"/>
                <w:sz w:val="24"/>
              </w:rPr>
              <w:t>3</w:t>
            </w:r>
          </w:p>
        </w:tc>
        <w:tc>
          <w:tcPr>
            <w:tcW w:w="742" w:type="dxa"/>
          </w:tcPr>
          <w:p>
            <w:pPr>
              <w:pStyle w:val="TableParagraph"/>
              <w:spacing w:line="261" w:lineRule="exact" w:before="271"/>
              <w:ind w:left="122"/>
              <w:rPr>
                <w:sz w:val="24"/>
              </w:rPr>
            </w:pPr>
            <w:r>
              <w:rPr>
                <w:spacing w:val="-5"/>
                <w:sz w:val="24"/>
              </w:rPr>
              <w:t>100</w:t>
            </w:r>
          </w:p>
        </w:tc>
        <w:tc>
          <w:tcPr>
            <w:tcW w:w="1162" w:type="dxa"/>
          </w:tcPr>
          <w:p>
            <w:pPr>
              <w:pStyle w:val="TableParagraph"/>
              <w:spacing w:line="271" w:lineRule="exact"/>
              <w:ind w:left="263"/>
              <w:rPr>
                <w:sz w:val="24"/>
              </w:rPr>
            </w:pPr>
            <w:r>
              <w:rPr>
                <w:spacing w:val="-2"/>
                <w:sz w:val="24"/>
              </w:rPr>
              <w:t>0.78655</w:t>
            </w:r>
          </w:p>
          <w:p>
            <w:pPr>
              <w:pStyle w:val="TableParagraph"/>
              <w:spacing w:line="261" w:lineRule="exact"/>
              <w:ind w:left="263"/>
              <w:rPr>
                <w:sz w:val="24"/>
              </w:rPr>
            </w:pPr>
            <w:r>
              <w:rPr>
                <w:spacing w:val="-10"/>
                <w:sz w:val="24"/>
              </w:rPr>
              <w:t>2</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3.9327586</w:t>
            </w:r>
          </w:p>
          <w:p>
            <w:pPr>
              <w:pStyle w:val="TableParagraph"/>
              <w:spacing w:line="261" w:lineRule="exact"/>
              <w:ind w:left="324"/>
              <w:rPr>
                <w:sz w:val="24"/>
              </w:rPr>
            </w:pPr>
            <w:r>
              <w:rPr>
                <w:spacing w:val="-10"/>
                <w:sz w:val="24"/>
              </w:rPr>
              <w:t>2</w:t>
            </w:r>
          </w:p>
        </w:tc>
        <w:tc>
          <w:tcPr>
            <w:tcW w:w="1021" w:type="dxa"/>
          </w:tcPr>
          <w:p>
            <w:pPr>
              <w:pStyle w:val="TableParagraph"/>
              <w:spacing w:line="271" w:lineRule="exact"/>
              <w:ind w:left="112"/>
              <w:rPr>
                <w:sz w:val="24"/>
              </w:rPr>
            </w:pPr>
            <w:r>
              <w:rPr>
                <w:spacing w:val="-2"/>
                <w:sz w:val="24"/>
              </w:rPr>
              <w:t>24.8267</w:t>
            </w:r>
          </w:p>
          <w:p>
            <w:pPr>
              <w:pStyle w:val="TableParagraph"/>
              <w:spacing w:line="261" w:lineRule="exact"/>
              <w:ind w:left="112"/>
              <w:rPr>
                <w:sz w:val="24"/>
              </w:rPr>
            </w:pPr>
            <w:r>
              <w:rPr>
                <w:spacing w:val="-10"/>
                <w:sz w:val="24"/>
              </w:rPr>
              <w:t>2</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5" w:hRule="atLeast"/>
        </w:trPr>
        <w:tc>
          <w:tcPr>
            <w:tcW w:w="951" w:type="dxa"/>
          </w:tcPr>
          <w:p>
            <w:pPr>
              <w:pStyle w:val="TableParagraph"/>
              <w:spacing w:line="271" w:lineRule="exact"/>
              <w:ind w:left="50"/>
              <w:rPr>
                <w:sz w:val="24"/>
              </w:rPr>
            </w:pPr>
            <w:r>
              <w:rPr>
                <w:spacing w:val="-2"/>
                <w:sz w:val="24"/>
              </w:rPr>
              <w:t>439.655</w:t>
            </w:r>
          </w:p>
          <w:p>
            <w:pPr>
              <w:pStyle w:val="TableParagraph"/>
              <w:spacing w:line="264" w:lineRule="exact"/>
              <w:ind w:left="50"/>
              <w:rPr>
                <w:sz w:val="24"/>
              </w:rPr>
            </w:pPr>
            <w:r>
              <w:rPr>
                <w:spacing w:val="-10"/>
                <w:sz w:val="24"/>
              </w:rPr>
              <w:t>2</w:t>
            </w:r>
          </w:p>
        </w:tc>
        <w:tc>
          <w:tcPr>
            <w:tcW w:w="1022" w:type="dxa"/>
          </w:tcPr>
          <w:p>
            <w:pPr>
              <w:pStyle w:val="TableParagraph"/>
              <w:spacing w:line="271" w:lineRule="exact"/>
              <w:ind w:left="121"/>
              <w:rPr>
                <w:sz w:val="24"/>
              </w:rPr>
            </w:pPr>
            <w:r>
              <w:rPr>
                <w:spacing w:val="-2"/>
                <w:sz w:val="24"/>
              </w:rPr>
              <w:t>0.43965</w:t>
            </w:r>
          </w:p>
          <w:p>
            <w:pPr>
              <w:pStyle w:val="TableParagraph"/>
              <w:spacing w:line="264" w:lineRule="exact"/>
              <w:ind w:left="121"/>
              <w:rPr>
                <w:sz w:val="24"/>
              </w:rPr>
            </w:pPr>
            <w:r>
              <w:rPr>
                <w:spacing w:val="-10"/>
                <w:sz w:val="24"/>
              </w:rPr>
              <w:t>5</w:t>
            </w:r>
          </w:p>
        </w:tc>
        <w:tc>
          <w:tcPr>
            <w:tcW w:w="742" w:type="dxa"/>
          </w:tcPr>
          <w:p>
            <w:pPr>
              <w:pStyle w:val="TableParagraph"/>
              <w:spacing w:line="264" w:lineRule="exact" w:before="271"/>
              <w:ind w:left="122"/>
              <w:rPr>
                <w:sz w:val="24"/>
              </w:rPr>
            </w:pPr>
            <w:r>
              <w:rPr>
                <w:spacing w:val="-5"/>
                <w:sz w:val="24"/>
              </w:rPr>
              <w:t>110</w:t>
            </w:r>
          </w:p>
        </w:tc>
        <w:tc>
          <w:tcPr>
            <w:tcW w:w="1162" w:type="dxa"/>
          </w:tcPr>
          <w:p>
            <w:pPr>
              <w:pStyle w:val="TableParagraph"/>
              <w:spacing w:line="271" w:lineRule="exact"/>
              <w:ind w:left="263"/>
              <w:rPr>
                <w:sz w:val="24"/>
              </w:rPr>
            </w:pPr>
            <w:r>
              <w:rPr>
                <w:spacing w:val="-2"/>
                <w:sz w:val="24"/>
              </w:rPr>
              <w:t>0.84275</w:t>
            </w:r>
          </w:p>
          <w:p>
            <w:pPr>
              <w:pStyle w:val="TableParagraph"/>
              <w:spacing w:line="264" w:lineRule="exact"/>
              <w:ind w:left="263"/>
              <w:rPr>
                <w:sz w:val="24"/>
              </w:rPr>
            </w:pPr>
            <w:r>
              <w:rPr>
                <w:spacing w:val="-10"/>
                <w:sz w:val="24"/>
              </w:rPr>
              <w:t>9</w:t>
            </w:r>
          </w:p>
        </w:tc>
        <w:tc>
          <w:tcPr>
            <w:tcW w:w="681" w:type="dxa"/>
          </w:tcPr>
          <w:p>
            <w:pPr>
              <w:pStyle w:val="TableParagraph"/>
              <w:spacing w:line="264" w:lineRule="exact" w:before="271"/>
              <w:ind w:left="123"/>
              <w:rPr>
                <w:sz w:val="24"/>
              </w:rPr>
            </w:pPr>
            <w:r>
              <w:rPr>
                <w:spacing w:val="-5"/>
                <w:sz w:val="24"/>
              </w:rPr>
              <w:t>10</w:t>
            </w:r>
          </w:p>
        </w:tc>
        <w:tc>
          <w:tcPr>
            <w:tcW w:w="1450" w:type="dxa"/>
          </w:tcPr>
          <w:p>
            <w:pPr>
              <w:pStyle w:val="TableParagraph"/>
              <w:spacing w:line="264" w:lineRule="exact" w:before="271"/>
              <w:ind w:left="324"/>
              <w:rPr>
                <w:sz w:val="24"/>
              </w:rPr>
            </w:pPr>
            <w:r>
              <w:rPr>
                <w:spacing w:val="-2"/>
                <w:sz w:val="24"/>
              </w:rPr>
              <w:t>4.2137931</w:t>
            </w:r>
          </w:p>
        </w:tc>
        <w:tc>
          <w:tcPr>
            <w:tcW w:w="1021" w:type="dxa"/>
          </w:tcPr>
          <w:p>
            <w:pPr>
              <w:pStyle w:val="TableParagraph"/>
              <w:spacing w:line="271" w:lineRule="exact"/>
              <w:ind w:left="112"/>
              <w:rPr>
                <w:sz w:val="24"/>
              </w:rPr>
            </w:pPr>
            <w:r>
              <w:rPr>
                <w:spacing w:val="-2"/>
                <w:sz w:val="24"/>
              </w:rPr>
              <w:t>29.0405</w:t>
            </w:r>
          </w:p>
          <w:p>
            <w:pPr>
              <w:pStyle w:val="TableParagraph"/>
              <w:spacing w:line="264" w:lineRule="exact"/>
              <w:ind w:left="112"/>
              <w:rPr>
                <w:sz w:val="24"/>
              </w:rPr>
            </w:pPr>
            <w:r>
              <w:rPr>
                <w:spacing w:val="-10"/>
                <w:sz w:val="24"/>
              </w:rPr>
              <w:t>2</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68" w:lineRule="exact"/>
              <w:ind w:left="50"/>
              <w:rPr>
                <w:sz w:val="24"/>
              </w:rPr>
            </w:pPr>
            <w:r>
              <w:rPr>
                <w:spacing w:val="-2"/>
                <w:sz w:val="24"/>
              </w:rPr>
              <w:t>452.758</w:t>
            </w:r>
          </w:p>
          <w:p>
            <w:pPr>
              <w:pStyle w:val="TableParagraph"/>
              <w:spacing w:line="264" w:lineRule="exact"/>
              <w:ind w:left="50"/>
              <w:rPr>
                <w:sz w:val="24"/>
              </w:rPr>
            </w:pPr>
            <w:r>
              <w:rPr>
                <w:spacing w:val="-10"/>
                <w:sz w:val="24"/>
              </w:rPr>
              <w:t>6</w:t>
            </w:r>
          </w:p>
        </w:tc>
        <w:tc>
          <w:tcPr>
            <w:tcW w:w="1022" w:type="dxa"/>
          </w:tcPr>
          <w:p>
            <w:pPr>
              <w:pStyle w:val="TableParagraph"/>
              <w:spacing w:line="268" w:lineRule="exact"/>
              <w:ind w:left="121"/>
              <w:rPr>
                <w:sz w:val="24"/>
              </w:rPr>
            </w:pPr>
            <w:r>
              <w:rPr>
                <w:spacing w:val="-2"/>
                <w:sz w:val="24"/>
              </w:rPr>
              <w:t>0.45275</w:t>
            </w:r>
          </w:p>
          <w:p>
            <w:pPr>
              <w:pStyle w:val="TableParagraph"/>
              <w:spacing w:line="264" w:lineRule="exact"/>
              <w:ind w:left="121"/>
              <w:rPr>
                <w:sz w:val="24"/>
              </w:rPr>
            </w:pPr>
            <w:r>
              <w:rPr>
                <w:spacing w:val="-10"/>
                <w:sz w:val="24"/>
              </w:rPr>
              <w:t>9</w:t>
            </w:r>
          </w:p>
        </w:tc>
        <w:tc>
          <w:tcPr>
            <w:tcW w:w="742" w:type="dxa"/>
          </w:tcPr>
          <w:p>
            <w:pPr>
              <w:pStyle w:val="TableParagraph"/>
              <w:spacing w:line="264" w:lineRule="exact" w:before="268"/>
              <w:ind w:left="122"/>
              <w:rPr>
                <w:sz w:val="24"/>
              </w:rPr>
            </w:pPr>
            <w:r>
              <w:rPr>
                <w:spacing w:val="-5"/>
                <w:sz w:val="24"/>
              </w:rPr>
              <w:t>120</w:t>
            </w:r>
          </w:p>
        </w:tc>
        <w:tc>
          <w:tcPr>
            <w:tcW w:w="1162" w:type="dxa"/>
          </w:tcPr>
          <w:p>
            <w:pPr>
              <w:pStyle w:val="TableParagraph"/>
              <w:spacing w:line="268" w:lineRule="exact"/>
              <w:ind w:left="263"/>
              <w:rPr>
                <w:sz w:val="24"/>
              </w:rPr>
            </w:pPr>
            <w:r>
              <w:rPr>
                <w:spacing w:val="-2"/>
                <w:sz w:val="24"/>
              </w:rPr>
              <w:t>0.89241</w:t>
            </w:r>
          </w:p>
          <w:p>
            <w:pPr>
              <w:pStyle w:val="TableParagraph"/>
              <w:spacing w:line="264" w:lineRule="exact"/>
              <w:ind w:left="263"/>
              <w:rPr>
                <w:sz w:val="24"/>
              </w:rPr>
            </w:pPr>
            <w:r>
              <w:rPr>
                <w:spacing w:val="-10"/>
                <w:sz w:val="24"/>
              </w:rPr>
              <w:t>4</w:t>
            </w:r>
          </w:p>
        </w:tc>
        <w:tc>
          <w:tcPr>
            <w:tcW w:w="681" w:type="dxa"/>
          </w:tcPr>
          <w:p>
            <w:pPr>
              <w:pStyle w:val="TableParagraph"/>
              <w:spacing w:line="264" w:lineRule="exact" w:before="268"/>
              <w:ind w:left="123"/>
              <w:rPr>
                <w:sz w:val="24"/>
              </w:rPr>
            </w:pPr>
            <w:r>
              <w:rPr>
                <w:spacing w:val="-5"/>
                <w:sz w:val="24"/>
              </w:rPr>
              <w:t>10</w:t>
            </w:r>
          </w:p>
        </w:tc>
        <w:tc>
          <w:tcPr>
            <w:tcW w:w="1450" w:type="dxa"/>
          </w:tcPr>
          <w:p>
            <w:pPr>
              <w:pStyle w:val="TableParagraph"/>
              <w:spacing w:line="268" w:lineRule="exact"/>
              <w:ind w:left="324"/>
              <w:rPr>
                <w:sz w:val="24"/>
              </w:rPr>
            </w:pPr>
            <w:r>
              <w:rPr>
                <w:spacing w:val="-2"/>
                <w:sz w:val="24"/>
              </w:rPr>
              <w:t>4.4620689</w:t>
            </w:r>
          </w:p>
          <w:p>
            <w:pPr>
              <w:pStyle w:val="TableParagraph"/>
              <w:spacing w:line="264" w:lineRule="exact"/>
              <w:ind w:left="324"/>
              <w:rPr>
                <w:sz w:val="24"/>
              </w:rPr>
            </w:pPr>
            <w:r>
              <w:rPr>
                <w:spacing w:val="-10"/>
                <w:sz w:val="24"/>
              </w:rPr>
              <w:t>7</w:t>
            </w:r>
          </w:p>
        </w:tc>
        <w:tc>
          <w:tcPr>
            <w:tcW w:w="1021" w:type="dxa"/>
            <w:shd w:val="clear" w:color="auto" w:fill="FFFF00"/>
          </w:tcPr>
          <w:p>
            <w:pPr>
              <w:pStyle w:val="TableParagraph"/>
              <w:spacing w:line="268" w:lineRule="exact"/>
              <w:ind w:left="112"/>
              <w:rPr>
                <w:sz w:val="24"/>
              </w:rPr>
            </w:pPr>
            <w:r>
              <w:rPr>
                <w:spacing w:val="-2"/>
                <w:sz w:val="24"/>
              </w:rPr>
              <w:t>33.5025</w:t>
            </w:r>
          </w:p>
          <w:p>
            <w:pPr>
              <w:pStyle w:val="TableParagraph"/>
              <w:spacing w:line="264" w:lineRule="exact"/>
              <w:ind w:left="112"/>
              <w:rPr>
                <w:sz w:val="24"/>
              </w:rPr>
            </w:pPr>
            <w:r>
              <w:rPr>
                <w:spacing w:val="-10"/>
                <w:sz w:val="24"/>
              </w:rPr>
              <w:t>9</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609" w:hRule="atLeast"/>
        </w:trPr>
        <w:tc>
          <w:tcPr>
            <w:tcW w:w="951" w:type="dxa"/>
          </w:tcPr>
          <w:p>
            <w:pPr>
              <w:pStyle w:val="TableParagraph"/>
              <w:spacing w:line="240" w:lineRule="auto" w:before="39"/>
              <w:rPr>
                <w:b/>
                <w:sz w:val="24"/>
              </w:rPr>
            </w:pPr>
          </w:p>
          <w:p>
            <w:pPr>
              <w:pStyle w:val="TableParagraph"/>
              <w:spacing w:before="1"/>
              <w:ind w:left="50"/>
              <w:rPr>
                <w:sz w:val="24"/>
              </w:rPr>
            </w:pPr>
            <w:r>
              <w:rPr>
                <w:spacing w:val="-10"/>
                <w:sz w:val="24"/>
              </w:rPr>
              <w:t>B</w:t>
            </w:r>
          </w:p>
        </w:tc>
        <w:tc>
          <w:tcPr>
            <w:tcW w:w="1022" w:type="dxa"/>
          </w:tcPr>
          <w:p>
            <w:pPr>
              <w:pStyle w:val="TableParagraph"/>
              <w:spacing w:line="240" w:lineRule="auto"/>
              <w:rPr>
                <w:sz w:val="24"/>
              </w:rPr>
            </w:pPr>
          </w:p>
        </w:tc>
        <w:tc>
          <w:tcPr>
            <w:tcW w:w="742" w:type="dxa"/>
          </w:tcPr>
          <w:p>
            <w:pPr>
              <w:pStyle w:val="TableParagraph"/>
              <w:spacing w:line="240" w:lineRule="auto"/>
              <w:rPr>
                <w:sz w:val="24"/>
              </w:rPr>
            </w:pPr>
          </w:p>
        </w:tc>
        <w:tc>
          <w:tcPr>
            <w:tcW w:w="1162" w:type="dxa"/>
          </w:tcPr>
          <w:p>
            <w:pPr>
              <w:pStyle w:val="TableParagraph"/>
              <w:spacing w:line="240" w:lineRule="auto"/>
              <w:rPr>
                <w:sz w:val="24"/>
              </w:rPr>
            </w:pPr>
          </w:p>
        </w:tc>
        <w:tc>
          <w:tcPr>
            <w:tcW w:w="681" w:type="dxa"/>
          </w:tcPr>
          <w:p>
            <w:pPr>
              <w:pStyle w:val="TableParagraph"/>
              <w:spacing w:line="240" w:lineRule="auto"/>
              <w:rPr>
                <w:sz w:val="24"/>
              </w:rPr>
            </w:pPr>
          </w:p>
        </w:tc>
        <w:tc>
          <w:tcPr>
            <w:tcW w:w="1450" w:type="dxa"/>
          </w:tcPr>
          <w:p>
            <w:pPr>
              <w:pStyle w:val="TableParagraph"/>
              <w:spacing w:line="240" w:lineRule="auto"/>
              <w:rPr>
                <w:sz w:val="24"/>
              </w:rPr>
            </w:pPr>
          </w:p>
        </w:tc>
        <w:tc>
          <w:tcPr>
            <w:tcW w:w="1021" w:type="dxa"/>
          </w:tcPr>
          <w:p>
            <w:pPr>
              <w:pStyle w:val="TableParagraph"/>
              <w:spacing w:line="240" w:lineRule="auto"/>
              <w:rPr>
                <w:sz w:val="24"/>
              </w:rPr>
            </w:pP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287" w:hRule="atLeast"/>
        </w:trPr>
        <w:tc>
          <w:tcPr>
            <w:tcW w:w="951" w:type="dxa"/>
          </w:tcPr>
          <w:p>
            <w:pPr>
              <w:pStyle w:val="TableParagraph"/>
              <w:spacing w:line="261" w:lineRule="exact" w:before="7"/>
              <w:ind w:left="50"/>
              <w:rPr>
                <w:sz w:val="24"/>
              </w:rPr>
            </w:pPr>
            <w:r>
              <w:rPr>
                <w:spacing w:val="-10"/>
                <w:sz w:val="24"/>
              </w:rPr>
              <w:t>0</w:t>
            </w:r>
          </w:p>
        </w:tc>
        <w:tc>
          <w:tcPr>
            <w:tcW w:w="1022" w:type="dxa"/>
          </w:tcPr>
          <w:p>
            <w:pPr>
              <w:pStyle w:val="TableParagraph"/>
              <w:spacing w:line="261" w:lineRule="exact" w:before="7"/>
              <w:ind w:left="121"/>
              <w:rPr>
                <w:sz w:val="24"/>
              </w:rPr>
            </w:pPr>
            <w:r>
              <w:rPr>
                <w:spacing w:val="-10"/>
                <w:sz w:val="24"/>
              </w:rPr>
              <w:t>0</w:t>
            </w:r>
          </w:p>
        </w:tc>
        <w:tc>
          <w:tcPr>
            <w:tcW w:w="742" w:type="dxa"/>
          </w:tcPr>
          <w:p>
            <w:pPr>
              <w:pStyle w:val="TableParagraph"/>
              <w:spacing w:line="261" w:lineRule="exact" w:before="7"/>
              <w:ind w:left="122"/>
              <w:rPr>
                <w:sz w:val="24"/>
              </w:rPr>
            </w:pPr>
            <w:r>
              <w:rPr>
                <w:spacing w:val="-10"/>
                <w:sz w:val="24"/>
              </w:rPr>
              <w:t>0</w:t>
            </w:r>
          </w:p>
        </w:tc>
        <w:tc>
          <w:tcPr>
            <w:tcW w:w="1162" w:type="dxa"/>
          </w:tcPr>
          <w:p>
            <w:pPr>
              <w:pStyle w:val="TableParagraph"/>
              <w:spacing w:line="261" w:lineRule="exact" w:before="7"/>
              <w:ind w:left="263"/>
              <w:rPr>
                <w:sz w:val="24"/>
              </w:rPr>
            </w:pPr>
            <w:r>
              <w:rPr>
                <w:spacing w:val="-10"/>
                <w:sz w:val="24"/>
              </w:rPr>
              <w:t>0</w:t>
            </w:r>
          </w:p>
        </w:tc>
        <w:tc>
          <w:tcPr>
            <w:tcW w:w="681" w:type="dxa"/>
          </w:tcPr>
          <w:p>
            <w:pPr>
              <w:pStyle w:val="TableParagraph"/>
              <w:spacing w:line="261" w:lineRule="exact" w:before="7"/>
              <w:ind w:left="123"/>
              <w:rPr>
                <w:sz w:val="24"/>
              </w:rPr>
            </w:pPr>
            <w:r>
              <w:rPr>
                <w:spacing w:val="-10"/>
                <w:sz w:val="24"/>
              </w:rPr>
              <w:t>0</w:t>
            </w:r>
          </w:p>
        </w:tc>
        <w:tc>
          <w:tcPr>
            <w:tcW w:w="1450" w:type="dxa"/>
          </w:tcPr>
          <w:p>
            <w:pPr>
              <w:pStyle w:val="TableParagraph"/>
              <w:spacing w:line="261" w:lineRule="exact" w:before="7"/>
              <w:ind w:left="324"/>
              <w:rPr>
                <w:sz w:val="24"/>
              </w:rPr>
            </w:pPr>
            <w:r>
              <w:rPr>
                <w:spacing w:val="-10"/>
                <w:sz w:val="24"/>
              </w:rPr>
              <w:t>0</w:t>
            </w:r>
          </w:p>
        </w:tc>
        <w:tc>
          <w:tcPr>
            <w:tcW w:w="1021" w:type="dxa"/>
          </w:tcPr>
          <w:p>
            <w:pPr>
              <w:pStyle w:val="TableParagraph"/>
              <w:spacing w:line="261" w:lineRule="exact" w:before="7"/>
              <w:ind w:left="112"/>
              <w:rPr>
                <w:sz w:val="24"/>
              </w:rPr>
            </w:pPr>
            <w:r>
              <w:rPr>
                <w:spacing w:val="-10"/>
                <w:sz w:val="24"/>
              </w:rPr>
              <w:t>0</w:t>
            </w:r>
          </w:p>
        </w:tc>
        <w:tc>
          <w:tcPr>
            <w:tcW w:w="880" w:type="dxa"/>
          </w:tcPr>
          <w:p>
            <w:pPr>
              <w:pStyle w:val="TableParagraph"/>
              <w:spacing w:line="240" w:lineRule="auto"/>
              <w:rPr>
                <w:sz w:val="20"/>
              </w:rPr>
            </w:pPr>
          </w:p>
        </w:tc>
        <w:tc>
          <w:tcPr>
            <w:tcW w:w="882" w:type="dxa"/>
          </w:tcPr>
          <w:p>
            <w:pPr>
              <w:pStyle w:val="TableParagraph"/>
              <w:spacing w:line="240" w:lineRule="auto"/>
              <w:rPr>
                <w:sz w:val="20"/>
              </w:rPr>
            </w:pPr>
          </w:p>
        </w:tc>
      </w:tr>
      <w:tr>
        <w:trPr>
          <w:trHeight w:val="552" w:hRule="atLeast"/>
        </w:trPr>
        <w:tc>
          <w:tcPr>
            <w:tcW w:w="951" w:type="dxa"/>
          </w:tcPr>
          <w:p>
            <w:pPr>
              <w:pStyle w:val="TableParagraph"/>
              <w:spacing w:line="271" w:lineRule="exact"/>
              <w:ind w:left="50"/>
              <w:rPr>
                <w:sz w:val="24"/>
              </w:rPr>
            </w:pPr>
            <w:r>
              <w:rPr>
                <w:spacing w:val="-2"/>
                <w:sz w:val="24"/>
              </w:rPr>
              <w:t>262.413</w:t>
            </w:r>
          </w:p>
          <w:p>
            <w:pPr>
              <w:pStyle w:val="TableParagraph"/>
              <w:spacing w:line="261"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0.26241</w:t>
            </w:r>
          </w:p>
          <w:p>
            <w:pPr>
              <w:pStyle w:val="TableParagraph"/>
              <w:spacing w:line="261" w:lineRule="exact"/>
              <w:ind w:left="121"/>
              <w:rPr>
                <w:sz w:val="24"/>
              </w:rPr>
            </w:pPr>
            <w:r>
              <w:rPr>
                <w:spacing w:val="-10"/>
                <w:sz w:val="24"/>
              </w:rPr>
              <w:t>4</w:t>
            </w:r>
          </w:p>
        </w:tc>
        <w:tc>
          <w:tcPr>
            <w:tcW w:w="742" w:type="dxa"/>
          </w:tcPr>
          <w:p>
            <w:pPr>
              <w:pStyle w:val="TableParagraph"/>
              <w:spacing w:line="261" w:lineRule="exact" w:before="271"/>
              <w:ind w:left="122"/>
              <w:rPr>
                <w:sz w:val="24"/>
              </w:rPr>
            </w:pPr>
            <w:r>
              <w:rPr>
                <w:spacing w:val="-10"/>
                <w:sz w:val="24"/>
              </w:rPr>
              <w:t>5</w:t>
            </w:r>
          </w:p>
        </w:tc>
        <w:tc>
          <w:tcPr>
            <w:tcW w:w="1162" w:type="dxa"/>
          </w:tcPr>
          <w:p>
            <w:pPr>
              <w:pStyle w:val="TableParagraph"/>
              <w:spacing w:line="271" w:lineRule="exact"/>
              <w:ind w:left="263"/>
              <w:rPr>
                <w:sz w:val="24"/>
              </w:rPr>
            </w:pPr>
            <w:r>
              <w:rPr>
                <w:spacing w:val="-2"/>
                <w:sz w:val="24"/>
              </w:rPr>
              <w:t>0.26241</w:t>
            </w:r>
          </w:p>
          <w:p>
            <w:pPr>
              <w:pStyle w:val="TableParagraph"/>
              <w:spacing w:line="261" w:lineRule="exact"/>
              <w:ind w:left="263"/>
              <w:rPr>
                <w:sz w:val="24"/>
              </w:rPr>
            </w:pPr>
            <w:r>
              <w:rPr>
                <w:spacing w:val="-10"/>
                <w:sz w:val="24"/>
              </w:rPr>
              <w:t>4</w:t>
            </w:r>
          </w:p>
        </w:tc>
        <w:tc>
          <w:tcPr>
            <w:tcW w:w="681" w:type="dxa"/>
          </w:tcPr>
          <w:p>
            <w:pPr>
              <w:pStyle w:val="TableParagraph"/>
              <w:spacing w:line="261" w:lineRule="exact" w:before="271"/>
              <w:ind w:left="123"/>
              <w:rPr>
                <w:sz w:val="24"/>
              </w:rPr>
            </w:pPr>
            <w:r>
              <w:rPr>
                <w:spacing w:val="-10"/>
                <w:sz w:val="24"/>
              </w:rPr>
              <w:t>5</w:t>
            </w:r>
          </w:p>
        </w:tc>
        <w:tc>
          <w:tcPr>
            <w:tcW w:w="1450" w:type="dxa"/>
          </w:tcPr>
          <w:p>
            <w:pPr>
              <w:pStyle w:val="TableParagraph"/>
              <w:spacing w:line="271" w:lineRule="exact"/>
              <w:ind w:left="324"/>
              <w:rPr>
                <w:sz w:val="24"/>
              </w:rPr>
            </w:pPr>
            <w:r>
              <w:rPr>
                <w:spacing w:val="-2"/>
                <w:sz w:val="24"/>
              </w:rPr>
              <w:t>0.6560344</w:t>
            </w:r>
          </w:p>
          <w:p>
            <w:pPr>
              <w:pStyle w:val="TableParagraph"/>
              <w:spacing w:line="261" w:lineRule="exact"/>
              <w:ind w:left="324"/>
              <w:rPr>
                <w:sz w:val="24"/>
              </w:rPr>
            </w:pPr>
            <w:r>
              <w:rPr>
                <w:spacing w:val="-10"/>
                <w:sz w:val="24"/>
              </w:rPr>
              <w:t>8</w:t>
            </w:r>
          </w:p>
        </w:tc>
        <w:tc>
          <w:tcPr>
            <w:tcW w:w="1021" w:type="dxa"/>
          </w:tcPr>
          <w:p>
            <w:pPr>
              <w:pStyle w:val="TableParagraph"/>
              <w:spacing w:line="271" w:lineRule="exact"/>
              <w:ind w:left="112"/>
              <w:rPr>
                <w:sz w:val="24"/>
              </w:rPr>
            </w:pPr>
            <w:r>
              <w:rPr>
                <w:spacing w:val="-2"/>
                <w:sz w:val="24"/>
              </w:rPr>
              <w:t>0.65603</w:t>
            </w:r>
          </w:p>
          <w:p>
            <w:pPr>
              <w:pStyle w:val="TableParagraph"/>
              <w:spacing w:line="261" w:lineRule="exact"/>
              <w:ind w:left="112"/>
              <w:rPr>
                <w:sz w:val="24"/>
              </w:rPr>
            </w:pPr>
            <w:r>
              <w:rPr>
                <w:spacing w:val="-10"/>
                <w:sz w:val="24"/>
              </w:rPr>
              <w:t>4</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286.896</w:t>
            </w:r>
          </w:p>
          <w:p>
            <w:pPr>
              <w:pStyle w:val="TableParagraph"/>
              <w:spacing w:line="261" w:lineRule="exact"/>
              <w:ind w:left="50"/>
              <w:rPr>
                <w:sz w:val="24"/>
              </w:rPr>
            </w:pPr>
            <w:r>
              <w:rPr>
                <w:spacing w:val="-10"/>
                <w:sz w:val="24"/>
              </w:rPr>
              <w:t>6</w:t>
            </w:r>
          </w:p>
        </w:tc>
        <w:tc>
          <w:tcPr>
            <w:tcW w:w="1022" w:type="dxa"/>
          </w:tcPr>
          <w:p>
            <w:pPr>
              <w:pStyle w:val="TableParagraph"/>
              <w:spacing w:line="271" w:lineRule="exact"/>
              <w:ind w:left="121"/>
              <w:rPr>
                <w:sz w:val="24"/>
              </w:rPr>
            </w:pPr>
            <w:r>
              <w:rPr>
                <w:spacing w:val="-2"/>
                <w:sz w:val="24"/>
              </w:rPr>
              <w:t>0.28689</w:t>
            </w:r>
          </w:p>
          <w:p>
            <w:pPr>
              <w:pStyle w:val="TableParagraph"/>
              <w:spacing w:line="261" w:lineRule="exact"/>
              <w:ind w:left="121"/>
              <w:rPr>
                <w:sz w:val="24"/>
              </w:rPr>
            </w:pPr>
            <w:r>
              <w:rPr>
                <w:spacing w:val="-10"/>
                <w:sz w:val="24"/>
              </w:rPr>
              <w:t>7</w:t>
            </w:r>
          </w:p>
        </w:tc>
        <w:tc>
          <w:tcPr>
            <w:tcW w:w="742" w:type="dxa"/>
          </w:tcPr>
          <w:p>
            <w:pPr>
              <w:pStyle w:val="TableParagraph"/>
              <w:spacing w:line="261" w:lineRule="exact" w:before="271"/>
              <w:ind w:left="122"/>
              <w:rPr>
                <w:sz w:val="24"/>
              </w:rPr>
            </w:pPr>
            <w:r>
              <w:rPr>
                <w:spacing w:val="-5"/>
                <w:sz w:val="24"/>
              </w:rPr>
              <w:t>10</w:t>
            </w:r>
          </w:p>
        </w:tc>
        <w:tc>
          <w:tcPr>
            <w:tcW w:w="1162" w:type="dxa"/>
          </w:tcPr>
          <w:p>
            <w:pPr>
              <w:pStyle w:val="TableParagraph"/>
              <w:spacing w:line="261" w:lineRule="exact" w:before="271"/>
              <w:ind w:left="263"/>
              <w:rPr>
                <w:sz w:val="24"/>
              </w:rPr>
            </w:pPr>
            <w:r>
              <w:rPr>
                <w:spacing w:val="-2"/>
                <w:sz w:val="24"/>
              </w:rPr>
              <w:t>0.54931</w:t>
            </w:r>
          </w:p>
        </w:tc>
        <w:tc>
          <w:tcPr>
            <w:tcW w:w="681" w:type="dxa"/>
          </w:tcPr>
          <w:p>
            <w:pPr>
              <w:pStyle w:val="TableParagraph"/>
              <w:spacing w:line="261" w:lineRule="exact" w:before="271"/>
              <w:ind w:left="123"/>
              <w:rPr>
                <w:sz w:val="24"/>
              </w:rPr>
            </w:pPr>
            <w:r>
              <w:rPr>
                <w:spacing w:val="-10"/>
                <w:sz w:val="24"/>
              </w:rPr>
              <w:t>5</w:t>
            </w:r>
          </w:p>
        </w:tc>
        <w:tc>
          <w:tcPr>
            <w:tcW w:w="1450" w:type="dxa"/>
          </w:tcPr>
          <w:p>
            <w:pPr>
              <w:pStyle w:val="TableParagraph"/>
              <w:spacing w:line="271" w:lineRule="exact"/>
              <w:ind w:left="324"/>
              <w:rPr>
                <w:sz w:val="24"/>
              </w:rPr>
            </w:pPr>
            <w:r>
              <w:rPr>
                <w:spacing w:val="-2"/>
                <w:sz w:val="24"/>
              </w:rPr>
              <w:t>1.3732758</w:t>
            </w:r>
          </w:p>
          <w:p>
            <w:pPr>
              <w:pStyle w:val="TableParagraph"/>
              <w:spacing w:line="261" w:lineRule="exact"/>
              <w:ind w:left="324"/>
              <w:rPr>
                <w:sz w:val="24"/>
              </w:rPr>
            </w:pPr>
            <w:r>
              <w:rPr>
                <w:spacing w:val="-10"/>
                <w:sz w:val="24"/>
              </w:rPr>
              <w:t>6</w:t>
            </w:r>
          </w:p>
        </w:tc>
        <w:tc>
          <w:tcPr>
            <w:tcW w:w="1021" w:type="dxa"/>
          </w:tcPr>
          <w:p>
            <w:pPr>
              <w:pStyle w:val="TableParagraph"/>
              <w:spacing w:line="261" w:lineRule="exact" w:before="271"/>
              <w:ind w:left="112"/>
              <w:rPr>
                <w:sz w:val="24"/>
              </w:rPr>
            </w:pPr>
            <w:r>
              <w:rPr>
                <w:spacing w:val="-2"/>
                <w:sz w:val="24"/>
              </w:rPr>
              <w:t>2.02931</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61" w:lineRule="exact" w:before="271"/>
              <w:ind w:left="50"/>
              <w:rPr>
                <w:sz w:val="24"/>
              </w:rPr>
            </w:pPr>
            <w:r>
              <w:rPr>
                <w:spacing w:val="-2"/>
                <w:sz w:val="24"/>
              </w:rPr>
              <w:t>287.931</w:t>
            </w:r>
          </w:p>
        </w:tc>
        <w:tc>
          <w:tcPr>
            <w:tcW w:w="1022" w:type="dxa"/>
          </w:tcPr>
          <w:p>
            <w:pPr>
              <w:pStyle w:val="TableParagraph"/>
              <w:spacing w:line="271" w:lineRule="exact"/>
              <w:ind w:left="121"/>
              <w:rPr>
                <w:sz w:val="24"/>
              </w:rPr>
            </w:pPr>
            <w:r>
              <w:rPr>
                <w:spacing w:val="-2"/>
                <w:sz w:val="24"/>
              </w:rPr>
              <w:t>0.28793</w:t>
            </w:r>
          </w:p>
          <w:p>
            <w:pPr>
              <w:pStyle w:val="TableParagraph"/>
              <w:spacing w:line="261" w:lineRule="exact"/>
              <w:ind w:left="121"/>
              <w:rPr>
                <w:sz w:val="24"/>
              </w:rPr>
            </w:pPr>
            <w:r>
              <w:rPr>
                <w:spacing w:val="-10"/>
                <w:sz w:val="24"/>
              </w:rPr>
              <w:t>1</w:t>
            </w:r>
          </w:p>
        </w:tc>
        <w:tc>
          <w:tcPr>
            <w:tcW w:w="742" w:type="dxa"/>
          </w:tcPr>
          <w:p>
            <w:pPr>
              <w:pStyle w:val="TableParagraph"/>
              <w:spacing w:line="261" w:lineRule="exact" w:before="271"/>
              <w:ind w:left="122"/>
              <w:rPr>
                <w:sz w:val="24"/>
              </w:rPr>
            </w:pPr>
            <w:r>
              <w:rPr>
                <w:spacing w:val="-5"/>
                <w:sz w:val="24"/>
              </w:rPr>
              <w:t>20</w:t>
            </w:r>
          </w:p>
        </w:tc>
        <w:tc>
          <w:tcPr>
            <w:tcW w:w="1162" w:type="dxa"/>
          </w:tcPr>
          <w:p>
            <w:pPr>
              <w:pStyle w:val="TableParagraph"/>
              <w:spacing w:line="271" w:lineRule="exact"/>
              <w:ind w:left="263"/>
              <w:rPr>
                <w:sz w:val="24"/>
              </w:rPr>
            </w:pPr>
            <w:r>
              <w:rPr>
                <w:spacing w:val="-2"/>
                <w:sz w:val="24"/>
              </w:rPr>
              <w:t>0.57482</w:t>
            </w:r>
          </w:p>
          <w:p>
            <w:pPr>
              <w:pStyle w:val="TableParagraph"/>
              <w:spacing w:line="261" w:lineRule="exact"/>
              <w:ind w:left="263"/>
              <w:rPr>
                <w:sz w:val="24"/>
              </w:rPr>
            </w:pPr>
            <w:r>
              <w:rPr>
                <w:spacing w:val="-10"/>
                <w:sz w:val="24"/>
              </w:rPr>
              <w:t>8</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2.8741379</w:t>
            </w:r>
          </w:p>
          <w:p>
            <w:pPr>
              <w:pStyle w:val="TableParagraph"/>
              <w:spacing w:line="261" w:lineRule="exact"/>
              <w:ind w:left="324"/>
              <w:rPr>
                <w:sz w:val="24"/>
              </w:rPr>
            </w:pPr>
            <w:r>
              <w:rPr>
                <w:spacing w:val="-10"/>
                <w:sz w:val="24"/>
              </w:rPr>
              <w:t>3</w:t>
            </w:r>
          </w:p>
        </w:tc>
        <w:tc>
          <w:tcPr>
            <w:tcW w:w="1021" w:type="dxa"/>
          </w:tcPr>
          <w:p>
            <w:pPr>
              <w:pStyle w:val="TableParagraph"/>
              <w:spacing w:line="271" w:lineRule="exact"/>
              <w:ind w:left="112"/>
              <w:rPr>
                <w:sz w:val="24"/>
              </w:rPr>
            </w:pPr>
            <w:r>
              <w:rPr>
                <w:spacing w:val="-2"/>
                <w:sz w:val="24"/>
              </w:rPr>
              <w:t>4.90344</w:t>
            </w:r>
          </w:p>
          <w:p>
            <w:pPr>
              <w:pStyle w:val="TableParagraph"/>
              <w:spacing w:line="261" w:lineRule="exact"/>
              <w:ind w:left="112"/>
              <w:rPr>
                <w:sz w:val="24"/>
              </w:rPr>
            </w:pPr>
            <w:r>
              <w:rPr>
                <w:spacing w:val="-10"/>
                <w:sz w:val="24"/>
              </w:rPr>
              <w:t>8</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340.689</w:t>
            </w:r>
          </w:p>
          <w:p>
            <w:pPr>
              <w:pStyle w:val="TableParagraph"/>
              <w:spacing w:line="261" w:lineRule="exact"/>
              <w:ind w:left="50"/>
              <w:rPr>
                <w:sz w:val="24"/>
              </w:rPr>
            </w:pPr>
            <w:r>
              <w:rPr>
                <w:spacing w:val="-10"/>
                <w:sz w:val="24"/>
              </w:rPr>
              <w:t>7</w:t>
            </w:r>
          </w:p>
        </w:tc>
        <w:tc>
          <w:tcPr>
            <w:tcW w:w="1022" w:type="dxa"/>
          </w:tcPr>
          <w:p>
            <w:pPr>
              <w:pStyle w:val="TableParagraph"/>
              <w:spacing w:line="261" w:lineRule="exact" w:before="271"/>
              <w:ind w:left="121"/>
              <w:rPr>
                <w:sz w:val="24"/>
              </w:rPr>
            </w:pPr>
            <w:r>
              <w:rPr>
                <w:spacing w:val="-2"/>
                <w:sz w:val="24"/>
              </w:rPr>
              <w:t>0.34069</w:t>
            </w:r>
          </w:p>
        </w:tc>
        <w:tc>
          <w:tcPr>
            <w:tcW w:w="742" w:type="dxa"/>
          </w:tcPr>
          <w:p>
            <w:pPr>
              <w:pStyle w:val="TableParagraph"/>
              <w:spacing w:line="261" w:lineRule="exact" w:before="271"/>
              <w:ind w:left="122"/>
              <w:rPr>
                <w:sz w:val="24"/>
              </w:rPr>
            </w:pPr>
            <w:r>
              <w:rPr>
                <w:spacing w:val="-5"/>
                <w:sz w:val="24"/>
              </w:rPr>
              <w:t>30</w:t>
            </w:r>
          </w:p>
        </w:tc>
        <w:tc>
          <w:tcPr>
            <w:tcW w:w="1162" w:type="dxa"/>
          </w:tcPr>
          <w:p>
            <w:pPr>
              <w:pStyle w:val="TableParagraph"/>
              <w:spacing w:line="271" w:lineRule="exact"/>
              <w:ind w:left="263"/>
              <w:rPr>
                <w:sz w:val="24"/>
              </w:rPr>
            </w:pPr>
            <w:r>
              <w:rPr>
                <w:spacing w:val="-2"/>
                <w:sz w:val="24"/>
              </w:rPr>
              <w:t>0.62862</w:t>
            </w:r>
          </w:p>
          <w:p>
            <w:pPr>
              <w:pStyle w:val="TableParagraph"/>
              <w:spacing w:line="261" w:lineRule="exact"/>
              <w:ind w:left="263"/>
              <w:rPr>
                <w:sz w:val="24"/>
              </w:rPr>
            </w:pPr>
            <w:r>
              <w:rPr>
                <w:spacing w:val="-10"/>
                <w:sz w:val="24"/>
              </w:rPr>
              <w:t>1</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3.1431034</w:t>
            </w:r>
          </w:p>
          <w:p>
            <w:pPr>
              <w:pStyle w:val="TableParagraph"/>
              <w:spacing w:line="261" w:lineRule="exact"/>
              <w:ind w:left="324"/>
              <w:rPr>
                <w:sz w:val="24"/>
              </w:rPr>
            </w:pPr>
            <w:r>
              <w:rPr>
                <w:spacing w:val="-10"/>
                <w:sz w:val="24"/>
              </w:rPr>
              <w:t>5</w:t>
            </w:r>
          </w:p>
        </w:tc>
        <w:tc>
          <w:tcPr>
            <w:tcW w:w="1021" w:type="dxa"/>
          </w:tcPr>
          <w:p>
            <w:pPr>
              <w:pStyle w:val="TableParagraph"/>
              <w:spacing w:line="271" w:lineRule="exact"/>
              <w:ind w:left="112"/>
              <w:rPr>
                <w:sz w:val="24"/>
              </w:rPr>
            </w:pPr>
            <w:r>
              <w:rPr>
                <w:spacing w:val="-2"/>
                <w:sz w:val="24"/>
              </w:rPr>
              <w:t>8.04655</w:t>
            </w:r>
          </w:p>
          <w:p>
            <w:pPr>
              <w:pStyle w:val="TableParagraph"/>
              <w:spacing w:line="261" w:lineRule="exact"/>
              <w:ind w:left="112"/>
              <w:rPr>
                <w:sz w:val="24"/>
              </w:rPr>
            </w:pPr>
            <w:r>
              <w:rPr>
                <w:spacing w:val="-10"/>
                <w:sz w:val="24"/>
              </w:rPr>
              <w:t>2</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4" w:hRule="atLeast"/>
        </w:trPr>
        <w:tc>
          <w:tcPr>
            <w:tcW w:w="951" w:type="dxa"/>
          </w:tcPr>
          <w:p>
            <w:pPr>
              <w:pStyle w:val="TableParagraph"/>
              <w:spacing w:line="271" w:lineRule="exact"/>
              <w:ind w:left="50"/>
              <w:rPr>
                <w:sz w:val="24"/>
              </w:rPr>
            </w:pPr>
            <w:r>
              <w:rPr>
                <w:spacing w:val="-2"/>
                <w:sz w:val="24"/>
              </w:rPr>
              <w:t>357.241</w:t>
            </w:r>
          </w:p>
          <w:p>
            <w:pPr>
              <w:pStyle w:val="TableParagraph"/>
              <w:spacing w:line="264" w:lineRule="exact"/>
              <w:ind w:left="50"/>
              <w:rPr>
                <w:sz w:val="24"/>
              </w:rPr>
            </w:pPr>
            <w:r>
              <w:rPr>
                <w:spacing w:val="-10"/>
                <w:sz w:val="24"/>
              </w:rPr>
              <w:t>4</w:t>
            </w:r>
          </w:p>
        </w:tc>
        <w:tc>
          <w:tcPr>
            <w:tcW w:w="1022" w:type="dxa"/>
          </w:tcPr>
          <w:p>
            <w:pPr>
              <w:pStyle w:val="TableParagraph"/>
              <w:spacing w:line="271" w:lineRule="exact"/>
              <w:ind w:left="121"/>
              <w:rPr>
                <w:sz w:val="24"/>
              </w:rPr>
            </w:pPr>
            <w:r>
              <w:rPr>
                <w:spacing w:val="-2"/>
                <w:sz w:val="24"/>
              </w:rPr>
              <w:t>0.35724</w:t>
            </w:r>
          </w:p>
          <w:p>
            <w:pPr>
              <w:pStyle w:val="TableParagraph"/>
              <w:spacing w:line="264" w:lineRule="exact"/>
              <w:ind w:left="121"/>
              <w:rPr>
                <w:sz w:val="24"/>
              </w:rPr>
            </w:pPr>
            <w:r>
              <w:rPr>
                <w:spacing w:val="-10"/>
                <w:sz w:val="24"/>
              </w:rPr>
              <w:t>1</w:t>
            </w:r>
          </w:p>
        </w:tc>
        <w:tc>
          <w:tcPr>
            <w:tcW w:w="742" w:type="dxa"/>
          </w:tcPr>
          <w:p>
            <w:pPr>
              <w:pStyle w:val="TableParagraph"/>
              <w:spacing w:line="264" w:lineRule="exact" w:before="271"/>
              <w:ind w:left="122"/>
              <w:rPr>
                <w:sz w:val="24"/>
              </w:rPr>
            </w:pPr>
            <w:r>
              <w:rPr>
                <w:spacing w:val="-5"/>
                <w:sz w:val="24"/>
              </w:rPr>
              <w:t>40</w:t>
            </w:r>
          </w:p>
        </w:tc>
        <w:tc>
          <w:tcPr>
            <w:tcW w:w="1162" w:type="dxa"/>
          </w:tcPr>
          <w:p>
            <w:pPr>
              <w:pStyle w:val="TableParagraph"/>
              <w:spacing w:line="271" w:lineRule="exact"/>
              <w:ind w:left="263"/>
              <w:rPr>
                <w:sz w:val="24"/>
              </w:rPr>
            </w:pPr>
            <w:r>
              <w:rPr>
                <w:spacing w:val="-2"/>
                <w:sz w:val="24"/>
              </w:rPr>
              <w:t>0.69793</w:t>
            </w:r>
          </w:p>
          <w:p>
            <w:pPr>
              <w:pStyle w:val="TableParagraph"/>
              <w:spacing w:line="264" w:lineRule="exact"/>
              <w:ind w:left="263"/>
              <w:rPr>
                <w:sz w:val="24"/>
              </w:rPr>
            </w:pPr>
            <w:r>
              <w:rPr>
                <w:spacing w:val="-10"/>
                <w:sz w:val="24"/>
              </w:rPr>
              <w:t>1</w:t>
            </w:r>
          </w:p>
        </w:tc>
        <w:tc>
          <w:tcPr>
            <w:tcW w:w="681" w:type="dxa"/>
          </w:tcPr>
          <w:p>
            <w:pPr>
              <w:pStyle w:val="TableParagraph"/>
              <w:spacing w:line="264"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3.4896551</w:t>
            </w:r>
          </w:p>
          <w:p>
            <w:pPr>
              <w:pStyle w:val="TableParagraph"/>
              <w:spacing w:line="264" w:lineRule="exact"/>
              <w:ind w:left="324"/>
              <w:rPr>
                <w:sz w:val="24"/>
              </w:rPr>
            </w:pPr>
            <w:r>
              <w:rPr>
                <w:spacing w:val="-10"/>
                <w:sz w:val="24"/>
              </w:rPr>
              <w:t>7</w:t>
            </w:r>
          </w:p>
        </w:tc>
        <w:tc>
          <w:tcPr>
            <w:tcW w:w="1021" w:type="dxa"/>
          </w:tcPr>
          <w:p>
            <w:pPr>
              <w:pStyle w:val="TableParagraph"/>
              <w:spacing w:line="271" w:lineRule="exact"/>
              <w:ind w:left="112"/>
              <w:rPr>
                <w:sz w:val="24"/>
              </w:rPr>
            </w:pPr>
            <w:r>
              <w:rPr>
                <w:spacing w:val="-2"/>
                <w:sz w:val="24"/>
              </w:rPr>
              <w:t>11.5362</w:t>
            </w:r>
          </w:p>
          <w:p>
            <w:pPr>
              <w:pStyle w:val="TableParagraph"/>
              <w:spacing w:line="264" w:lineRule="exact"/>
              <w:ind w:left="112"/>
              <w:rPr>
                <w:sz w:val="24"/>
              </w:rPr>
            </w:pPr>
            <w:r>
              <w:rPr>
                <w:spacing w:val="-10"/>
                <w:sz w:val="24"/>
              </w:rPr>
              <w:t>1</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68" w:lineRule="exact"/>
              <w:ind w:left="50"/>
              <w:rPr>
                <w:sz w:val="24"/>
              </w:rPr>
            </w:pPr>
            <w:r>
              <w:rPr>
                <w:spacing w:val="-2"/>
                <w:sz w:val="24"/>
              </w:rPr>
              <w:t>360.344</w:t>
            </w:r>
          </w:p>
          <w:p>
            <w:pPr>
              <w:pStyle w:val="TableParagraph"/>
              <w:spacing w:line="264" w:lineRule="exact"/>
              <w:ind w:left="50"/>
              <w:rPr>
                <w:sz w:val="24"/>
              </w:rPr>
            </w:pPr>
            <w:r>
              <w:rPr>
                <w:spacing w:val="-10"/>
                <w:sz w:val="24"/>
              </w:rPr>
              <w:t>8</w:t>
            </w:r>
          </w:p>
        </w:tc>
        <w:tc>
          <w:tcPr>
            <w:tcW w:w="1022" w:type="dxa"/>
          </w:tcPr>
          <w:p>
            <w:pPr>
              <w:pStyle w:val="TableParagraph"/>
              <w:spacing w:line="268" w:lineRule="exact"/>
              <w:ind w:left="121"/>
              <w:rPr>
                <w:sz w:val="24"/>
              </w:rPr>
            </w:pPr>
            <w:r>
              <w:rPr>
                <w:spacing w:val="-2"/>
                <w:sz w:val="24"/>
              </w:rPr>
              <w:t>0.36034</w:t>
            </w:r>
          </w:p>
          <w:p>
            <w:pPr>
              <w:pStyle w:val="TableParagraph"/>
              <w:spacing w:line="264" w:lineRule="exact"/>
              <w:ind w:left="121"/>
              <w:rPr>
                <w:sz w:val="24"/>
              </w:rPr>
            </w:pPr>
            <w:r>
              <w:rPr>
                <w:spacing w:val="-10"/>
                <w:sz w:val="24"/>
              </w:rPr>
              <w:t>5</w:t>
            </w:r>
          </w:p>
        </w:tc>
        <w:tc>
          <w:tcPr>
            <w:tcW w:w="742" w:type="dxa"/>
          </w:tcPr>
          <w:p>
            <w:pPr>
              <w:pStyle w:val="TableParagraph"/>
              <w:spacing w:line="264" w:lineRule="exact" w:before="268"/>
              <w:ind w:left="122"/>
              <w:rPr>
                <w:sz w:val="24"/>
              </w:rPr>
            </w:pPr>
            <w:r>
              <w:rPr>
                <w:spacing w:val="-5"/>
                <w:sz w:val="24"/>
              </w:rPr>
              <w:t>50</w:t>
            </w:r>
          </w:p>
        </w:tc>
        <w:tc>
          <w:tcPr>
            <w:tcW w:w="1162" w:type="dxa"/>
          </w:tcPr>
          <w:p>
            <w:pPr>
              <w:pStyle w:val="TableParagraph"/>
              <w:spacing w:line="268" w:lineRule="exact"/>
              <w:ind w:left="263"/>
              <w:rPr>
                <w:sz w:val="24"/>
              </w:rPr>
            </w:pPr>
            <w:r>
              <w:rPr>
                <w:spacing w:val="-2"/>
                <w:sz w:val="24"/>
              </w:rPr>
              <w:t>0.71758</w:t>
            </w:r>
          </w:p>
          <w:p>
            <w:pPr>
              <w:pStyle w:val="TableParagraph"/>
              <w:spacing w:line="264" w:lineRule="exact"/>
              <w:ind w:left="263"/>
              <w:rPr>
                <w:sz w:val="24"/>
              </w:rPr>
            </w:pPr>
            <w:r>
              <w:rPr>
                <w:spacing w:val="-10"/>
                <w:sz w:val="24"/>
              </w:rPr>
              <w:t>6</w:t>
            </w:r>
          </w:p>
        </w:tc>
        <w:tc>
          <w:tcPr>
            <w:tcW w:w="681" w:type="dxa"/>
          </w:tcPr>
          <w:p>
            <w:pPr>
              <w:pStyle w:val="TableParagraph"/>
              <w:spacing w:line="264" w:lineRule="exact" w:before="268"/>
              <w:ind w:left="123"/>
              <w:rPr>
                <w:sz w:val="24"/>
              </w:rPr>
            </w:pPr>
            <w:r>
              <w:rPr>
                <w:spacing w:val="-5"/>
                <w:sz w:val="24"/>
              </w:rPr>
              <w:t>10</w:t>
            </w:r>
          </w:p>
        </w:tc>
        <w:tc>
          <w:tcPr>
            <w:tcW w:w="1450" w:type="dxa"/>
          </w:tcPr>
          <w:p>
            <w:pPr>
              <w:pStyle w:val="TableParagraph"/>
              <w:spacing w:line="268" w:lineRule="exact"/>
              <w:ind w:left="324"/>
              <w:rPr>
                <w:sz w:val="24"/>
              </w:rPr>
            </w:pPr>
            <w:r>
              <w:rPr>
                <w:spacing w:val="-2"/>
                <w:sz w:val="24"/>
              </w:rPr>
              <w:t>3.5879310</w:t>
            </w:r>
          </w:p>
          <w:p>
            <w:pPr>
              <w:pStyle w:val="TableParagraph"/>
              <w:spacing w:line="264" w:lineRule="exact"/>
              <w:ind w:left="324"/>
              <w:rPr>
                <w:sz w:val="24"/>
              </w:rPr>
            </w:pPr>
            <w:r>
              <w:rPr>
                <w:spacing w:val="-10"/>
                <w:sz w:val="24"/>
              </w:rPr>
              <w:t>3</w:t>
            </w:r>
          </w:p>
        </w:tc>
        <w:tc>
          <w:tcPr>
            <w:tcW w:w="1021" w:type="dxa"/>
          </w:tcPr>
          <w:p>
            <w:pPr>
              <w:pStyle w:val="TableParagraph"/>
              <w:spacing w:line="268" w:lineRule="exact"/>
              <w:ind w:left="112"/>
              <w:rPr>
                <w:sz w:val="24"/>
              </w:rPr>
            </w:pPr>
            <w:r>
              <w:rPr>
                <w:spacing w:val="-2"/>
                <w:sz w:val="24"/>
              </w:rPr>
              <w:t>15.1241</w:t>
            </w:r>
          </w:p>
          <w:p>
            <w:pPr>
              <w:pStyle w:val="TableParagraph"/>
              <w:spacing w:line="264" w:lineRule="exact"/>
              <w:ind w:left="112"/>
              <w:rPr>
                <w:sz w:val="24"/>
              </w:rPr>
            </w:pPr>
            <w:r>
              <w:rPr>
                <w:spacing w:val="-10"/>
                <w:sz w:val="24"/>
              </w:rPr>
              <w:t>4</w:t>
            </w:r>
          </w:p>
        </w:tc>
        <w:tc>
          <w:tcPr>
            <w:tcW w:w="880" w:type="dxa"/>
          </w:tcPr>
          <w:p>
            <w:pPr>
              <w:pStyle w:val="TableParagraph"/>
              <w:spacing w:line="264" w:lineRule="exact" w:before="268"/>
              <w:ind w:left="111"/>
              <w:rPr>
                <w:sz w:val="24"/>
              </w:rPr>
            </w:pPr>
            <w:r>
              <w:rPr>
                <w:spacing w:val="-10"/>
                <w:sz w:val="24"/>
              </w:rPr>
              <w:t>F</w:t>
            </w:r>
          </w:p>
        </w:tc>
        <w:tc>
          <w:tcPr>
            <w:tcW w:w="882" w:type="dxa"/>
            <w:shd w:val="clear" w:color="auto" w:fill="FF0000"/>
          </w:tcPr>
          <w:p>
            <w:pPr>
              <w:pStyle w:val="TableParagraph"/>
              <w:spacing w:line="264" w:lineRule="exact" w:before="268"/>
              <w:ind w:left="115"/>
              <w:rPr>
                <w:sz w:val="24"/>
              </w:rPr>
            </w:pPr>
            <w:r>
              <w:rPr>
                <w:spacing w:val="-5"/>
                <w:sz w:val="24"/>
              </w:rPr>
              <w:t>100</w:t>
            </w:r>
          </w:p>
        </w:tc>
      </w:tr>
      <w:tr>
        <w:trPr>
          <w:trHeight w:val="560" w:hRule="atLeast"/>
        </w:trPr>
        <w:tc>
          <w:tcPr>
            <w:tcW w:w="951" w:type="dxa"/>
          </w:tcPr>
          <w:p>
            <w:pPr>
              <w:pStyle w:val="TableParagraph"/>
              <w:spacing w:line="268" w:lineRule="exact"/>
              <w:ind w:left="50"/>
              <w:rPr>
                <w:sz w:val="24"/>
              </w:rPr>
            </w:pPr>
            <w:r>
              <w:rPr>
                <w:spacing w:val="-2"/>
                <w:sz w:val="24"/>
              </w:rPr>
              <w:t>418.965</w:t>
            </w:r>
          </w:p>
          <w:p>
            <w:pPr>
              <w:pStyle w:val="TableParagraph"/>
              <w:ind w:left="50"/>
              <w:rPr>
                <w:sz w:val="24"/>
              </w:rPr>
            </w:pPr>
            <w:r>
              <w:rPr>
                <w:spacing w:val="-10"/>
                <w:sz w:val="24"/>
              </w:rPr>
              <w:t>5</w:t>
            </w:r>
          </w:p>
        </w:tc>
        <w:tc>
          <w:tcPr>
            <w:tcW w:w="1022" w:type="dxa"/>
          </w:tcPr>
          <w:p>
            <w:pPr>
              <w:pStyle w:val="TableParagraph"/>
              <w:spacing w:line="268" w:lineRule="exact"/>
              <w:ind w:left="121"/>
              <w:rPr>
                <w:sz w:val="24"/>
              </w:rPr>
            </w:pPr>
            <w:r>
              <w:rPr>
                <w:spacing w:val="-2"/>
                <w:sz w:val="24"/>
              </w:rPr>
              <w:t>0.41896</w:t>
            </w:r>
          </w:p>
          <w:p>
            <w:pPr>
              <w:pStyle w:val="TableParagraph"/>
              <w:ind w:left="121"/>
              <w:rPr>
                <w:sz w:val="24"/>
              </w:rPr>
            </w:pPr>
            <w:r>
              <w:rPr>
                <w:spacing w:val="-10"/>
                <w:sz w:val="24"/>
              </w:rPr>
              <w:t>6</w:t>
            </w:r>
          </w:p>
        </w:tc>
        <w:tc>
          <w:tcPr>
            <w:tcW w:w="742" w:type="dxa"/>
          </w:tcPr>
          <w:p>
            <w:pPr>
              <w:pStyle w:val="TableParagraph"/>
              <w:spacing w:before="268"/>
              <w:ind w:left="122"/>
              <w:rPr>
                <w:sz w:val="24"/>
              </w:rPr>
            </w:pPr>
            <w:r>
              <w:rPr>
                <w:spacing w:val="-5"/>
                <w:sz w:val="24"/>
              </w:rPr>
              <w:t>60</w:t>
            </w:r>
          </w:p>
        </w:tc>
        <w:tc>
          <w:tcPr>
            <w:tcW w:w="1162" w:type="dxa"/>
          </w:tcPr>
          <w:p>
            <w:pPr>
              <w:pStyle w:val="TableParagraph"/>
              <w:spacing w:before="268"/>
              <w:ind w:left="263"/>
              <w:rPr>
                <w:sz w:val="24"/>
              </w:rPr>
            </w:pPr>
            <w:r>
              <w:rPr>
                <w:spacing w:val="-2"/>
                <w:sz w:val="24"/>
              </w:rPr>
              <w:t>0.77931</w:t>
            </w:r>
          </w:p>
        </w:tc>
        <w:tc>
          <w:tcPr>
            <w:tcW w:w="681" w:type="dxa"/>
          </w:tcPr>
          <w:p>
            <w:pPr>
              <w:pStyle w:val="TableParagraph"/>
              <w:spacing w:before="268"/>
              <w:ind w:left="123"/>
              <w:rPr>
                <w:sz w:val="24"/>
              </w:rPr>
            </w:pPr>
            <w:r>
              <w:rPr>
                <w:spacing w:val="-5"/>
                <w:sz w:val="24"/>
              </w:rPr>
              <w:t>10</w:t>
            </w:r>
          </w:p>
        </w:tc>
        <w:tc>
          <w:tcPr>
            <w:tcW w:w="1450" w:type="dxa"/>
          </w:tcPr>
          <w:p>
            <w:pPr>
              <w:pStyle w:val="TableParagraph"/>
              <w:spacing w:line="268" w:lineRule="exact"/>
              <w:ind w:left="324"/>
              <w:rPr>
                <w:sz w:val="24"/>
              </w:rPr>
            </w:pPr>
            <w:r>
              <w:rPr>
                <w:spacing w:val="-2"/>
                <w:sz w:val="24"/>
              </w:rPr>
              <w:t>3.8965517</w:t>
            </w:r>
          </w:p>
          <w:p>
            <w:pPr>
              <w:pStyle w:val="TableParagraph"/>
              <w:ind w:left="324"/>
              <w:rPr>
                <w:sz w:val="24"/>
              </w:rPr>
            </w:pPr>
            <w:r>
              <w:rPr>
                <w:spacing w:val="-10"/>
                <w:sz w:val="24"/>
              </w:rPr>
              <w:t>2</w:t>
            </w:r>
          </w:p>
        </w:tc>
        <w:tc>
          <w:tcPr>
            <w:tcW w:w="1021" w:type="dxa"/>
          </w:tcPr>
          <w:p>
            <w:pPr>
              <w:pStyle w:val="TableParagraph"/>
              <w:spacing w:line="268" w:lineRule="exact"/>
              <w:ind w:left="112"/>
              <w:rPr>
                <w:sz w:val="24"/>
              </w:rPr>
            </w:pPr>
            <w:r>
              <w:rPr>
                <w:spacing w:val="-2"/>
                <w:sz w:val="24"/>
              </w:rPr>
              <w:t>19.0206</w:t>
            </w:r>
          </w:p>
          <w:p>
            <w:pPr>
              <w:pStyle w:val="TableParagraph"/>
              <w:ind w:left="112"/>
              <w:rPr>
                <w:sz w:val="24"/>
              </w:rPr>
            </w:pPr>
            <w:r>
              <w:rPr>
                <w:spacing w:val="-10"/>
                <w:sz w:val="24"/>
              </w:rPr>
              <w:t>9</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282" w:hRule="atLeast"/>
        </w:trPr>
        <w:tc>
          <w:tcPr>
            <w:tcW w:w="951" w:type="dxa"/>
          </w:tcPr>
          <w:p>
            <w:pPr>
              <w:pStyle w:val="TableParagraph"/>
              <w:spacing w:line="256" w:lineRule="exact" w:before="7"/>
              <w:ind w:left="50"/>
              <w:rPr>
                <w:sz w:val="24"/>
              </w:rPr>
            </w:pPr>
            <w:r>
              <w:rPr>
                <w:spacing w:val="-2"/>
                <w:sz w:val="24"/>
              </w:rPr>
              <w:t>425.862</w:t>
            </w:r>
          </w:p>
        </w:tc>
        <w:tc>
          <w:tcPr>
            <w:tcW w:w="1022" w:type="dxa"/>
          </w:tcPr>
          <w:p>
            <w:pPr>
              <w:pStyle w:val="TableParagraph"/>
              <w:spacing w:line="256" w:lineRule="exact" w:before="7"/>
              <w:ind w:left="121"/>
              <w:rPr>
                <w:sz w:val="24"/>
              </w:rPr>
            </w:pPr>
            <w:r>
              <w:rPr>
                <w:spacing w:val="-2"/>
                <w:sz w:val="24"/>
              </w:rPr>
              <w:t>0.42586</w:t>
            </w:r>
          </w:p>
        </w:tc>
        <w:tc>
          <w:tcPr>
            <w:tcW w:w="742" w:type="dxa"/>
          </w:tcPr>
          <w:p>
            <w:pPr>
              <w:pStyle w:val="TableParagraph"/>
              <w:spacing w:line="256" w:lineRule="exact" w:before="7"/>
              <w:ind w:left="122"/>
              <w:rPr>
                <w:sz w:val="24"/>
              </w:rPr>
            </w:pPr>
            <w:r>
              <w:rPr>
                <w:spacing w:val="-5"/>
                <w:sz w:val="24"/>
              </w:rPr>
              <w:t>70</w:t>
            </w:r>
          </w:p>
        </w:tc>
        <w:tc>
          <w:tcPr>
            <w:tcW w:w="1162" w:type="dxa"/>
          </w:tcPr>
          <w:p>
            <w:pPr>
              <w:pStyle w:val="TableParagraph"/>
              <w:spacing w:line="256" w:lineRule="exact" w:before="7"/>
              <w:ind w:left="263"/>
              <w:rPr>
                <w:sz w:val="24"/>
              </w:rPr>
            </w:pPr>
            <w:r>
              <w:rPr>
                <w:spacing w:val="-2"/>
                <w:sz w:val="24"/>
              </w:rPr>
              <w:t>0.84482</w:t>
            </w:r>
          </w:p>
        </w:tc>
        <w:tc>
          <w:tcPr>
            <w:tcW w:w="681" w:type="dxa"/>
          </w:tcPr>
          <w:p>
            <w:pPr>
              <w:pStyle w:val="TableParagraph"/>
              <w:spacing w:line="256" w:lineRule="exact" w:before="7"/>
              <w:ind w:left="123"/>
              <w:rPr>
                <w:sz w:val="24"/>
              </w:rPr>
            </w:pPr>
            <w:r>
              <w:rPr>
                <w:spacing w:val="-5"/>
                <w:sz w:val="24"/>
              </w:rPr>
              <w:t>10</w:t>
            </w:r>
          </w:p>
        </w:tc>
        <w:tc>
          <w:tcPr>
            <w:tcW w:w="1450" w:type="dxa"/>
          </w:tcPr>
          <w:p>
            <w:pPr>
              <w:pStyle w:val="TableParagraph"/>
              <w:spacing w:line="256" w:lineRule="exact" w:before="7"/>
              <w:ind w:left="324"/>
              <w:rPr>
                <w:sz w:val="24"/>
              </w:rPr>
            </w:pPr>
            <w:r>
              <w:rPr>
                <w:spacing w:val="-2"/>
                <w:sz w:val="24"/>
              </w:rPr>
              <w:t>4.2241379</w:t>
            </w:r>
          </w:p>
        </w:tc>
        <w:tc>
          <w:tcPr>
            <w:tcW w:w="1021" w:type="dxa"/>
          </w:tcPr>
          <w:p>
            <w:pPr>
              <w:pStyle w:val="TableParagraph"/>
              <w:spacing w:line="256" w:lineRule="exact" w:before="7"/>
              <w:ind w:left="112"/>
              <w:rPr>
                <w:sz w:val="24"/>
              </w:rPr>
            </w:pPr>
            <w:r>
              <w:rPr>
                <w:spacing w:val="-2"/>
                <w:sz w:val="24"/>
              </w:rPr>
              <w:t>23.2448</w:t>
            </w:r>
          </w:p>
        </w:tc>
        <w:tc>
          <w:tcPr>
            <w:tcW w:w="880" w:type="dxa"/>
          </w:tcPr>
          <w:p>
            <w:pPr>
              <w:pStyle w:val="TableParagraph"/>
              <w:spacing w:line="240" w:lineRule="auto"/>
              <w:rPr>
                <w:sz w:val="20"/>
              </w:rPr>
            </w:pPr>
          </w:p>
        </w:tc>
        <w:tc>
          <w:tcPr>
            <w:tcW w:w="882" w:type="dxa"/>
          </w:tcPr>
          <w:p>
            <w:pPr>
              <w:pStyle w:val="TableParagraph"/>
              <w:spacing w:line="240" w:lineRule="auto"/>
              <w:rPr>
                <w:sz w:val="20"/>
              </w:rPr>
            </w:pPr>
          </w:p>
        </w:tc>
      </w:tr>
    </w:tbl>
    <w:p>
      <w:pPr>
        <w:spacing w:after="0" w:line="240" w:lineRule="auto"/>
        <w:rPr>
          <w:sz w:val="20"/>
        </w:rPr>
        <w:sectPr>
          <w:pgSz w:w="12240" w:h="15840"/>
          <w:pgMar w:header="0" w:footer="1068" w:top="1620" w:bottom="1506" w:left="1420" w:right="440"/>
        </w:sect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1022"/>
        <w:gridCol w:w="742"/>
        <w:gridCol w:w="1162"/>
        <w:gridCol w:w="681"/>
        <w:gridCol w:w="1450"/>
        <w:gridCol w:w="1021"/>
        <w:gridCol w:w="880"/>
        <w:gridCol w:w="882"/>
      </w:tblGrid>
      <w:tr>
        <w:trPr>
          <w:trHeight w:val="282" w:hRule="atLeast"/>
        </w:trPr>
        <w:tc>
          <w:tcPr>
            <w:tcW w:w="951" w:type="dxa"/>
          </w:tcPr>
          <w:p>
            <w:pPr>
              <w:pStyle w:val="TableParagraph"/>
              <w:spacing w:line="263" w:lineRule="exact"/>
              <w:ind w:left="50"/>
              <w:rPr>
                <w:sz w:val="24"/>
              </w:rPr>
            </w:pPr>
            <w:r>
              <w:rPr>
                <w:spacing w:val="-10"/>
                <w:sz w:val="24"/>
              </w:rPr>
              <w:t>1</w:t>
            </w:r>
          </w:p>
        </w:tc>
        <w:tc>
          <w:tcPr>
            <w:tcW w:w="1022" w:type="dxa"/>
          </w:tcPr>
          <w:p>
            <w:pPr>
              <w:pStyle w:val="TableParagraph"/>
              <w:spacing w:line="263" w:lineRule="exact"/>
              <w:ind w:left="121"/>
              <w:rPr>
                <w:sz w:val="24"/>
              </w:rPr>
            </w:pPr>
            <w:r>
              <w:rPr>
                <w:spacing w:val="-10"/>
                <w:sz w:val="24"/>
              </w:rPr>
              <w:t>2</w:t>
            </w:r>
          </w:p>
        </w:tc>
        <w:tc>
          <w:tcPr>
            <w:tcW w:w="742" w:type="dxa"/>
          </w:tcPr>
          <w:p>
            <w:pPr>
              <w:pStyle w:val="TableParagraph"/>
              <w:spacing w:line="240" w:lineRule="auto"/>
              <w:rPr>
                <w:sz w:val="20"/>
              </w:rPr>
            </w:pPr>
          </w:p>
        </w:tc>
        <w:tc>
          <w:tcPr>
            <w:tcW w:w="1162" w:type="dxa"/>
          </w:tcPr>
          <w:p>
            <w:pPr>
              <w:pStyle w:val="TableParagraph"/>
              <w:spacing w:line="263" w:lineRule="exact"/>
              <w:ind w:left="263"/>
              <w:rPr>
                <w:sz w:val="24"/>
              </w:rPr>
            </w:pPr>
            <w:r>
              <w:rPr>
                <w:spacing w:val="-10"/>
                <w:sz w:val="24"/>
              </w:rPr>
              <w:t>8</w:t>
            </w:r>
          </w:p>
        </w:tc>
        <w:tc>
          <w:tcPr>
            <w:tcW w:w="681" w:type="dxa"/>
          </w:tcPr>
          <w:p>
            <w:pPr>
              <w:pStyle w:val="TableParagraph"/>
              <w:spacing w:line="240" w:lineRule="auto"/>
              <w:rPr>
                <w:sz w:val="20"/>
              </w:rPr>
            </w:pPr>
          </w:p>
        </w:tc>
        <w:tc>
          <w:tcPr>
            <w:tcW w:w="1450" w:type="dxa"/>
          </w:tcPr>
          <w:p>
            <w:pPr>
              <w:pStyle w:val="TableParagraph"/>
              <w:spacing w:line="263" w:lineRule="exact"/>
              <w:ind w:left="324"/>
              <w:rPr>
                <w:sz w:val="24"/>
              </w:rPr>
            </w:pPr>
            <w:r>
              <w:rPr>
                <w:spacing w:val="-10"/>
                <w:sz w:val="24"/>
              </w:rPr>
              <w:t>3</w:t>
            </w:r>
          </w:p>
        </w:tc>
        <w:tc>
          <w:tcPr>
            <w:tcW w:w="1021" w:type="dxa"/>
          </w:tcPr>
          <w:p>
            <w:pPr>
              <w:pStyle w:val="TableParagraph"/>
              <w:spacing w:line="263" w:lineRule="exact"/>
              <w:ind w:left="112"/>
              <w:rPr>
                <w:sz w:val="24"/>
              </w:rPr>
            </w:pPr>
            <w:r>
              <w:rPr>
                <w:spacing w:val="-10"/>
                <w:sz w:val="24"/>
              </w:rPr>
              <w:t>3</w:t>
            </w:r>
          </w:p>
        </w:tc>
        <w:tc>
          <w:tcPr>
            <w:tcW w:w="880" w:type="dxa"/>
          </w:tcPr>
          <w:p>
            <w:pPr>
              <w:pStyle w:val="TableParagraph"/>
              <w:spacing w:line="240" w:lineRule="auto"/>
              <w:rPr>
                <w:sz w:val="20"/>
              </w:rPr>
            </w:pPr>
          </w:p>
        </w:tc>
        <w:tc>
          <w:tcPr>
            <w:tcW w:w="882" w:type="dxa"/>
          </w:tcPr>
          <w:p>
            <w:pPr>
              <w:pStyle w:val="TableParagraph"/>
              <w:spacing w:line="240" w:lineRule="auto"/>
              <w:rPr>
                <w:sz w:val="20"/>
              </w:rPr>
            </w:pPr>
          </w:p>
        </w:tc>
      </w:tr>
      <w:tr>
        <w:trPr>
          <w:trHeight w:val="563" w:hRule="atLeast"/>
        </w:trPr>
        <w:tc>
          <w:tcPr>
            <w:tcW w:w="951" w:type="dxa"/>
          </w:tcPr>
          <w:p>
            <w:pPr>
              <w:pStyle w:val="TableParagraph"/>
              <w:spacing w:line="240" w:lineRule="auto" w:before="7"/>
              <w:ind w:left="50"/>
              <w:rPr>
                <w:sz w:val="24"/>
              </w:rPr>
            </w:pPr>
            <w:r>
              <w:rPr>
                <w:spacing w:val="-2"/>
                <w:sz w:val="24"/>
              </w:rPr>
              <w:t>428.275</w:t>
            </w:r>
          </w:p>
          <w:p>
            <w:pPr>
              <w:pStyle w:val="TableParagraph"/>
              <w:spacing w:line="261" w:lineRule="exact"/>
              <w:ind w:left="50"/>
              <w:rPr>
                <w:sz w:val="24"/>
              </w:rPr>
            </w:pPr>
            <w:r>
              <w:rPr>
                <w:spacing w:val="-10"/>
                <w:sz w:val="24"/>
              </w:rPr>
              <w:t>9</w:t>
            </w:r>
          </w:p>
        </w:tc>
        <w:tc>
          <w:tcPr>
            <w:tcW w:w="1022" w:type="dxa"/>
          </w:tcPr>
          <w:p>
            <w:pPr>
              <w:pStyle w:val="TableParagraph"/>
              <w:spacing w:line="240" w:lineRule="auto" w:before="7"/>
              <w:ind w:left="121"/>
              <w:rPr>
                <w:sz w:val="24"/>
              </w:rPr>
            </w:pPr>
            <w:r>
              <w:rPr>
                <w:spacing w:val="-2"/>
                <w:sz w:val="24"/>
              </w:rPr>
              <w:t>0.42827</w:t>
            </w:r>
          </w:p>
          <w:p>
            <w:pPr>
              <w:pStyle w:val="TableParagraph"/>
              <w:spacing w:line="261" w:lineRule="exact"/>
              <w:ind w:left="121"/>
              <w:rPr>
                <w:sz w:val="24"/>
              </w:rPr>
            </w:pPr>
            <w:r>
              <w:rPr>
                <w:spacing w:val="-10"/>
                <w:sz w:val="24"/>
              </w:rPr>
              <w:t>6</w:t>
            </w:r>
          </w:p>
        </w:tc>
        <w:tc>
          <w:tcPr>
            <w:tcW w:w="742" w:type="dxa"/>
          </w:tcPr>
          <w:p>
            <w:pPr>
              <w:pStyle w:val="TableParagraph"/>
              <w:spacing w:line="240" w:lineRule="auto" w:before="6"/>
              <w:rPr>
                <w:b/>
                <w:sz w:val="24"/>
              </w:rPr>
            </w:pPr>
          </w:p>
          <w:p>
            <w:pPr>
              <w:pStyle w:val="TableParagraph"/>
              <w:spacing w:line="261" w:lineRule="exact" w:before="1"/>
              <w:ind w:left="122"/>
              <w:rPr>
                <w:sz w:val="24"/>
              </w:rPr>
            </w:pPr>
            <w:r>
              <w:rPr>
                <w:spacing w:val="-5"/>
                <w:sz w:val="24"/>
              </w:rPr>
              <w:t>80</w:t>
            </w:r>
          </w:p>
        </w:tc>
        <w:tc>
          <w:tcPr>
            <w:tcW w:w="1162" w:type="dxa"/>
          </w:tcPr>
          <w:p>
            <w:pPr>
              <w:pStyle w:val="TableParagraph"/>
              <w:spacing w:line="240" w:lineRule="auto" w:before="7"/>
              <w:ind w:left="263"/>
              <w:rPr>
                <w:sz w:val="24"/>
              </w:rPr>
            </w:pPr>
            <w:r>
              <w:rPr>
                <w:spacing w:val="-2"/>
                <w:sz w:val="24"/>
              </w:rPr>
              <w:t>0.85413</w:t>
            </w:r>
          </w:p>
          <w:p>
            <w:pPr>
              <w:pStyle w:val="TableParagraph"/>
              <w:spacing w:line="261" w:lineRule="exact"/>
              <w:ind w:left="263"/>
              <w:rPr>
                <w:sz w:val="24"/>
              </w:rPr>
            </w:pPr>
            <w:r>
              <w:rPr>
                <w:spacing w:val="-10"/>
                <w:sz w:val="24"/>
              </w:rPr>
              <w:t>8</w:t>
            </w:r>
          </w:p>
        </w:tc>
        <w:tc>
          <w:tcPr>
            <w:tcW w:w="681" w:type="dxa"/>
          </w:tcPr>
          <w:p>
            <w:pPr>
              <w:pStyle w:val="TableParagraph"/>
              <w:spacing w:line="240" w:lineRule="auto" w:before="6"/>
              <w:rPr>
                <w:b/>
                <w:sz w:val="24"/>
              </w:rPr>
            </w:pPr>
          </w:p>
          <w:p>
            <w:pPr>
              <w:pStyle w:val="TableParagraph"/>
              <w:spacing w:line="261" w:lineRule="exact" w:before="1"/>
              <w:ind w:left="123"/>
              <w:rPr>
                <w:sz w:val="24"/>
              </w:rPr>
            </w:pPr>
            <w:r>
              <w:rPr>
                <w:spacing w:val="-5"/>
                <w:sz w:val="24"/>
              </w:rPr>
              <w:t>10</w:t>
            </w:r>
          </w:p>
        </w:tc>
        <w:tc>
          <w:tcPr>
            <w:tcW w:w="1450" w:type="dxa"/>
          </w:tcPr>
          <w:p>
            <w:pPr>
              <w:pStyle w:val="TableParagraph"/>
              <w:spacing w:line="240" w:lineRule="auto" w:before="7"/>
              <w:ind w:left="324"/>
              <w:rPr>
                <w:sz w:val="24"/>
              </w:rPr>
            </w:pPr>
            <w:r>
              <w:rPr>
                <w:spacing w:val="-2"/>
                <w:sz w:val="24"/>
              </w:rPr>
              <w:t>4.2706896</w:t>
            </w:r>
          </w:p>
          <w:p>
            <w:pPr>
              <w:pStyle w:val="TableParagraph"/>
              <w:spacing w:line="261" w:lineRule="exact"/>
              <w:ind w:left="324"/>
              <w:rPr>
                <w:sz w:val="24"/>
              </w:rPr>
            </w:pPr>
            <w:r>
              <w:rPr>
                <w:spacing w:val="-10"/>
                <w:sz w:val="24"/>
              </w:rPr>
              <w:t>6</w:t>
            </w:r>
          </w:p>
        </w:tc>
        <w:tc>
          <w:tcPr>
            <w:tcW w:w="1021" w:type="dxa"/>
          </w:tcPr>
          <w:p>
            <w:pPr>
              <w:pStyle w:val="TableParagraph"/>
              <w:spacing w:line="240" w:lineRule="auto" w:before="7"/>
              <w:ind w:left="112"/>
              <w:rPr>
                <w:sz w:val="24"/>
              </w:rPr>
            </w:pPr>
            <w:r>
              <w:rPr>
                <w:spacing w:val="-2"/>
                <w:sz w:val="24"/>
              </w:rPr>
              <w:t>27.5155</w:t>
            </w:r>
          </w:p>
          <w:p>
            <w:pPr>
              <w:pStyle w:val="TableParagraph"/>
              <w:spacing w:line="261" w:lineRule="exact"/>
              <w:ind w:left="112"/>
              <w:rPr>
                <w:sz w:val="24"/>
              </w:rPr>
            </w:pPr>
            <w:r>
              <w:rPr>
                <w:spacing w:val="-10"/>
                <w:sz w:val="24"/>
              </w:rPr>
              <w:t>2</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429.655</w:t>
            </w:r>
          </w:p>
          <w:p>
            <w:pPr>
              <w:pStyle w:val="TableParagraph"/>
              <w:spacing w:line="261" w:lineRule="exact"/>
              <w:ind w:left="50"/>
              <w:rPr>
                <w:sz w:val="24"/>
              </w:rPr>
            </w:pPr>
            <w:r>
              <w:rPr>
                <w:spacing w:val="-10"/>
                <w:sz w:val="24"/>
              </w:rPr>
              <w:t>2</w:t>
            </w:r>
          </w:p>
        </w:tc>
        <w:tc>
          <w:tcPr>
            <w:tcW w:w="1022" w:type="dxa"/>
          </w:tcPr>
          <w:p>
            <w:pPr>
              <w:pStyle w:val="TableParagraph"/>
              <w:spacing w:line="271" w:lineRule="exact"/>
              <w:ind w:left="121"/>
              <w:rPr>
                <w:sz w:val="24"/>
              </w:rPr>
            </w:pPr>
            <w:r>
              <w:rPr>
                <w:spacing w:val="-2"/>
                <w:sz w:val="24"/>
              </w:rPr>
              <w:t>0.42965</w:t>
            </w:r>
          </w:p>
          <w:p>
            <w:pPr>
              <w:pStyle w:val="TableParagraph"/>
              <w:spacing w:line="261" w:lineRule="exact"/>
              <w:ind w:left="121"/>
              <w:rPr>
                <w:sz w:val="24"/>
              </w:rPr>
            </w:pPr>
            <w:r>
              <w:rPr>
                <w:spacing w:val="-10"/>
                <w:sz w:val="24"/>
              </w:rPr>
              <w:t>5</w:t>
            </w:r>
          </w:p>
        </w:tc>
        <w:tc>
          <w:tcPr>
            <w:tcW w:w="742" w:type="dxa"/>
          </w:tcPr>
          <w:p>
            <w:pPr>
              <w:pStyle w:val="TableParagraph"/>
              <w:spacing w:line="261" w:lineRule="exact" w:before="271"/>
              <w:ind w:left="122"/>
              <w:rPr>
                <w:sz w:val="24"/>
              </w:rPr>
            </w:pPr>
            <w:r>
              <w:rPr>
                <w:spacing w:val="-5"/>
                <w:sz w:val="24"/>
              </w:rPr>
              <w:t>90</w:t>
            </w:r>
          </w:p>
        </w:tc>
        <w:tc>
          <w:tcPr>
            <w:tcW w:w="1162" w:type="dxa"/>
          </w:tcPr>
          <w:p>
            <w:pPr>
              <w:pStyle w:val="TableParagraph"/>
              <w:spacing w:line="271" w:lineRule="exact"/>
              <w:ind w:left="263"/>
              <w:rPr>
                <w:sz w:val="24"/>
              </w:rPr>
            </w:pPr>
            <w:r>
              <w:rPr>
                <w:spacing w:val="-2"/>
                <w:sz w:val="24"/>
              </w:rPr>
              <w:t>0.85793</w:t>
            </w:r>
          </w:p>
          <w:p>
            <w:pPr>
              <w:pStyle w:val="TableParagraph"/>
              <w:spacing w:line="261" w:lineRule="exact"/>
              <w:ind w:left="263"/>
              <w:rPr>
                <w:sz w:val="24"/>
              </w:rPr>
            </w:pPr>
            <w:r>
              <w:rPr>
                <w:spacing w:val="-10"/>
                <w:sz w:val="24"/>
              </w:rPr>
              <w:t>1</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4.2896551</w:t>
            </w:r>
          </w:p>
          <w:p>
            <w:pPr>
              <w:pStyle w:val="TableParagraph"/>
              <w:spacing w:line="261" w:lineRule="exact"/>
              <w:ind w:left="324"/>
              <w:rPr>
                <w:sz w:val="24"/>
              </w:rPr>
            </w:pPr>
            <w:r>
              <w:rPr>
                <w:spacing w:val="-10"/>
                <w:sz w:val="24"/>
              </w:rPr>
              <w:t>7</w:t>
            </w:r>
          </w:p>
        </w:tc>
        <w:tc>
          <w:tcPr>
            <w:tcW w:w="1021" w:type="dxa"/>
          </w:tcPr>
          <w:p>
            <w:pPr>
              <w:pStyle w:val="TableParagraph"/>
              <w:spacing w:line="271" w:lineRule="exact"/>
              <w:ind w:left="112"/>
              <w:rPr>
                <w:sz w:val="24"/>
              </w:rPr>
            </w:pPr>
            <w:r>
              <w:rPr>
                <w:spacing w:val="-2"/>
                <w:sz w:val="24"/>
              </w:rPr>
              <w:t>31.8051</w:t>
            </w:r>
          </w:p>
          <w:p>
            <w:pPr>
              <w:pStyle w:val="TableParagraph"/>
              <w:spacing w:line="261" w:lineRule="exact"/>
              <w:ind w:left="112"/>
              <w:rPr>
                <w:sz w:val="24"/>
              </w:rPr>
            </w:pPr>
            <w:r>
              <w:rPr>
                <w:spacing w:val="-10"/>
                <w:sz w:val="24"/>
              </w:rPr>
              <w:t>7</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441.724</w:t>
            </w:r>
          </w:p>
          <w:p>
            <w:pPr>
              <w:pStyle w:val="TableParagraph"/>
              <w:spacing w:line="261" w:lineRule="exact"/>
              <w:ind w:left="50"/>
              <w:rPr>
                <w:sz w:val="24"/>
              </w:rPr>
            </w:pPr>
            <w:r>
              <w:rPr>
                <w:spacing w:val="-10"/>
                <w:sz w:val="24"/>
              </w:rPr>
              <w:t>1</w:t>
            </w:r>
          </w:p>
        </w:tc>
        <w:tc>
          <w:tcPr>
            <w:tcW w:w="1022" w:type="dxa"/>
          </w:tcPr>
          <w:p>
            <w:pPr>
              <w:pStyle w:val="TableParagraph"/>
              <w:spacing w:line="271" w:lineRule="exact"/>
              <w:ind w:left="121"/>
              <w:rPr>
                <w:sz w:val="24"/>
              </w:rPr>
            </w:pPr>
            <w:r>
              <w:rPr>
                <w:spacing w:val="-2"/>
                <w:sz w:val="24"/>
              </w:rPr>
              <w:t>0.44172</w:t>
            </w:r>
          </w:p>
          <w:p>
            <w:pPr>
              <w:pStyle w:val="TableParagraph"/>
              <w:spacing w:line="261" w:lineRule="exact"/>
              <w:ind w:left="121"/>
              <w:rPr>
                <w:sz w:val="24"/>
              </w:rPr>
            </w:pPr>
            <w:r>
              <w:rPr>
                <w:spacing w:val="-10"/>
                <w:sz w:val="24"/>
              </w:rPr>
              <w:t>4</w:t>
            </w:r>
          </w:p>
        </w:tc>
        <w:tc>
          <w:tcPr>
            <w:tcW w:w="742" w:type="dxa"/>
          </w:tcPr>
          <w:p>
            <w:pPr>
              <w:pStyle w:val="TableParagraph"/>
              <w:spacing w:line="261" w:lineRule="exact" w:before="271"/>
              <w:ind w:left="122"/>
              <w:rPr>
                <w:sz w:val="24"/>
              </w:rPr>
            </w:pPr>
            <w:r>
              <w:rPr>
                <w:spacing w:val="-5"/>
                <w:sz w:val="24"/>
              </w:rPr>
              <w:t>100</w:t>
            </w:r>
          </w:p>
        </w:tc>
        <w:tc>
          <w:tcPr>
            <w:tcW w:w="1162" w:type="dxa"/>
          </w:tcPr>
          <w:p>
            <w:pPr>
              <w:pStyle w:val="TableParagraph"/>
              <w:spacing w:line="271" w:lineRule="exact"/>
              <w:ind w:left="263"/>
              <w:rPr>
                <w:sz w:val="24"/>
              </w:rPr>
            </w:pPr>
            <w:r>
              <w:rPr>
                <w:spacing w:val="-2"/>
                <w:sz w:val="24"/>
              </w:rPr>
              <w:t>0.87137</w:t>
            </w:r>
          </w:p>
          <w:p>
            <w:pPr>
              <w:pStyle w:val="TableParagraph"/>
              <w:spacing w:line="261" w:lineRule="exact"/>
              <w:ind w:left="263"/>
              <w:rPr>
                <w:sz w:val="24"/>
              </w:rPr>
            </w:pPr>
            <w:r>
              <w:rPr>
                <w:spacing w:val="-10"/>
                <w:sz w:val="24"/>
              </w:rPr>
              <w:t>9</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4.3568965</w:t>
            </w:r>
          </w:p>
          <w:p>
            <w:pPr>
              <w:pStyle w:val="TableParagraph"/>
              <w:spacing w:line="261" w:lineRule="exact"/>
              <w:ind w:left="324"/>
              <w:rPr>
                <w:sz w:val="24"/>
              </w:rPr>
            </w:pPr>
            <w:r>
              <w:rPr>
                <w:spacing w:val="-10"/>
                <w:sz w:val="24"/>
              </w:rPr>
              <w:t>5</w:t>
            </w:r>
          </w:p>
        </w:tc>
        <w:tc>
          <w:tcPr>
            <w:tcW w:w="1021" w:type="dxa"/>
          </w:tcPr>
          <w:p>
            <w:pPr>
              <w:pStyle w:val="TableParagraph"/>
              <w:spacing w:line="271" w:lineRule="exact"/>
              <w:ind w:left="112"/>
              <w:rPr>
                <w:sz w:val="24"/>
              </w:rPr>
            </w:pPr>
            <w:r>
              <w:rPr>
                <w:spacing w:val="-2"/>
                <w:sz w:val="24"/>
              </w:rPr>
              <w:t>36.1620</w:t>
            </w:r>
          </w:p>
          <w:p>
            <w:pPr>
              <w:pStyle w:val="TableParagraph"/>
              <w:spacing w:line="261" w:lineRule="exact"/>
              <w:ind w:left="112"/>
              <w:rPr>
                <w:sz w:val="24"/>
              </w:rPr>
            </w:pPr>
            <w:r>
              <w:rPr>
                <w:spacing w:val="-10"/>
                <w:sz w:val="24"/>
              </w:rPr>
              <w:t>7</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4" w:hRule="atLeast"/>
        </w:trPr>
        <w:tc>
          <w:tcPr>
            <w:tcW w:w="951" w:type="dxa"/>
          </w:tcPr>
          <w:p>
            <w:pPr>
              <w:pStyle w:val="TableParagraph"/>
              <w:spacing w:line="271" w:lineRule="exact"/>
              <w:ind w:left="50"/>
              <w:rPr>
                <w:sz w:val="24"/>
              </w:rPr>
            </w:pPr>
            <w:r>
              <w:rPr>
                <w:spacing w:val="-2"/>
                <w:sz w:val="24"/>
              </w:rPr>
              <w:t>454.827</w:t>
            </w:r>
          </w:p>
          <w:p>
            <w:pPr>
              <w:pStyle w:val="TableParagraph"/>
              <w:spacing w:line="264" w:lineRule="exact"/>
              <w:ind w:left="50"/>
              <w:rPr>
                <w:sz w:val="24"/>
              </w:rPr>
            </w:pPr>
            <w:r>
              <w:rPr>
                <w:spacing w:val="-10"/>
                <w:sz w:val="24"/>
              </w:rPr>
              <w:t>6</w:t>
            </w:r>
          </w:p>
        </w:tc>
        <w:tc>
          <w:tcPr>
            <w:tcW w:w="1022" w:type="dxa"/>
          </w:tcPr>
          <w:p>
            <w:pPr>
              <w:pStyle w:val="TableParagraph"/>
              <w:spacing w:line="271" w:lineRule="exact"/>
              <w:ind w:left="121"/>
              <w:rPr>
                <w:sz w:val="24"/>
              </w:rPr>
            </w:pPr>
            <w:r>
              <w:rPr>
                <w:spacing w:val="-2"/>
                <w:sz w:val="24"/>
              </w:rPr>
              <w:t>0.45482</w:t>
            </w:r>
          </w:p>
          <w:p>
            <w:pPr>
              <w:pStyle w:val="TableParagraph"/>
              <w:spacing w:line="264" w:lineRule="exact"/>
              <w:ind w:left="121"/>
              <w:rPr>
                <w:sz w:val="24"/>
              </w:rPr>
            </w:pPr>
            <w:r>
              <w:rPr>
                <w:spacing w:val="-10"/>
                <w:sz w:val="24"/>
              </w:rPr>
              <w:t>8</w:t>
            </w:r>
          </w:p>
        </w:tc>
        <w:tc>
          <w:tcPr>
            <w:tcW w:w="742" w:type="dxa"/>
          </w:tcPr>
          <w:p>
            <w:pPr>
              <w:pStyle w:val="TableParagraph"/>
              <w:spacing w:line="264" w:lineRule="exact" w:before="271"/>
              <w:ind w:left="122"/>
              <w:rPr>
                <w:sz w:val="24"/>
              </w:rPr>
            </w:pPr>
            <w:r>
              <w:rPr>
                <w:spacing w:val="-5"/>
                <w:sz w:val="24"/>
              </w:rPr>
              <w:t>110</w:t>
            </w:r>
          </w:p>
        </w:tc>
        <w:tc>
          <w:tcPr>
            <w:tcW w:w="1162" w:type="dxa"/>
          </w:tcPr>
          <w:p>
            <w:pPr>
              <w:pStyle w:val="TableParagraph"/>
              <w:spacing w:line="271" w:lineRule="exact"/>
              <w:ind w:left="263"/>
              <w:rPr>
                <w:sz w:val="24"/>
              </w:rPr>
            </w:pPr>
            <w:r>
              <w:rPr>
                <w:spacing w:val="-2"/>
                <w:sz w:val="24"/>
              </w:rPr>
              <w:t>0.89655</w:t>
            </w:r>
          </w:p>
          <w:p>
            <w:pPr>
              <w:pStyle w:val="TableParagraph"/>
              <w:spacing w:line="264" w:lineRule="exact"/>
              <w:ind w:left="263"/>
              <w:rPr>
                <w:sz w:val="24"/>
              </w:rPr>
            </w:pPr>
            <w:r>
              <w:rPr>
                <w:spacing w:val="-10"/>
                <w:sz w:val="24"/>
              </w:rPr>
              <w:t>2</w:t>
            </w:r>
          </w:p>
        </w:tc>
        <w:tc>
          <w:tcPr>
            <w:tcW w:w="681" w:type="dxa"/>
          </w:tcPr>
          <w:p>
            <w:pPr>
              <w:pStyle w:val="TableParagraph"/>
              <w:spacing w:line="264"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4.4827586</w:t>
            </w:r>
          </w:p>
          <w:p>
            <w:pPr>
              <w:pStyle w:val="TableParagraph"/>
              <w:spacing w:line="264" w:lineRule="exact"/>
              <w:ind w:left="324"/>
              <w:rPr>
                <w:sz w:val="24"/>
              </w:rPr>
            </w:pPr>
            <w:r>
              <w:rPr>
                <w:spacing w:val="-10"/>
                <w:sz w:val="24"/>
              </w:rPr>
              <w:t>2</w:t>
            </w:r>
          </w:p>
        </w:tc>
        <w:tc>
          <w:tcPr>
            <w:tcW w:w="1021" w:type="dxa"/>
          </w:tcPr>
          <w:p>
            <w:pPr>
              <w:pStyle w:val="TableParagraph"/>
              <w:spacing w:line="271" w:lineRule="exact"/>
              <w:ind w:left="112"/>
              <w:rPr>
                <w:sz w:val="24"/>
              </w:rPr>
            </w:pPr>
            <w:r>
              <w:rPr>
                <w:spacing w:val="-2"/>
                <w:sz w:val="24"/>
              </w:rPr>
              <w:t>40.6448</w:t>
            </w:r>
          </w:p>
          <w:p>
            <w:pPr>
              <w:pStyle w:val="TableParagraph"/>
              <w:spacing w:line="264" w:lineRule="exact"/>
              <w:ind w:left="112"/>
              <w:rPr>
                <w:sz w:val="24"/>
              </w:rPr>
            </w:pPr>
            <w:r>
              <w:rPr>
                <w:spacing w:val="-10"/>
                <w:sz w:val="24"/>
              </w:rPr>
              <w:t>3</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68" w:lineRule="exact"/>
              <w:ind w:left="50"/>
              <w:rPr>
                <w:sz w:val="24"/>
              </w:rPr>
            </w:pPr>
            <w:r>
              <w:rPr>
                <w:spacing w:val="-2"/>
                <w:sz w:val="24"/>
              </w:rPr>
              <w:t>463.103</w:t>
            </w:r>
          </w:p>
          <w:p>
            <w:pPr>
              <w:pStyle w:val="TableParagraph"/>
              <w:spacing w:line="264" w:lineRule="exact"/>
              <w:ind w:left="50"/>
              <w:rPr>
                <w:sz w:val="24"/>
              </w:rPr>
            </w:pPr>
            <w:r>
              <w:rPr>
                <w:spacing w:val="-10"/>
                <w:sz w:val="24"/>
              </w:rPr>
              <w:t>4</w:t>
            </w:r>
          </w:p>
        </w:tc>
        <w:tc>
          <w:tcPr>
            <w:tcW w:w="1022" w:type="dxa"/>
          </w:tcPr>
          <w:p>
            <w:pPr>
              <w:pStyle w:val="TableParagraph"/>
              <w:spacing w:line="268" w:lineRule="exact"/>
              <w:ind w:left="121"/>
              <w:rPr>
                <w:sz w:val="24"/>
              </w:rPr>
            </w:pPr>
            <w:r>
              <w:rPr>
                <w:spacing w:val="-2"/>
                <w:sz w:val="24"/>
              </w:rPr>
              <w:t>0.46310</w:t>
            </w:r>
          </w:p>
          <w:p>
            <w:pPr>
              <w:pStyle w:val="TableParagraph"/>
              <w:spacing w:line="264" w:lineRule="exact"/>
              <w:ind w:left="121"/>
              <w:rPr>
                <w:sz w:val="24"/>
              </w:rPr>
            </w:pPr>
            <w:r>
              <w:rPr>
                <w:spacing w:val="-10"/>
                <w:sz w:val="24"/>
              </w:rPr>
              <w:t>3</w:t>
            </w:r>
          </w:p>
        </w:tc>
        <w:tc>
          <w:tcPr>
            <w:tcW w:w="742" w:type="dxa"/>
          </w:tcPr>
          <w:p>
            <w:pPr>
              <w:pStyle w:val="TableParagraph"/>
              <w:spacing w:line="264" w:lineRule="exact" w:before="268"/>
              <w:ind w:left="122"/>
              <w:rPr>
                <w:sz w:val="24"/>
              </w:rPr>
            </w:pPr>
            <w:r>
              <w:rPr>
                <w:spacing w:val="-5"/>
                <w:sz w:val="24"/>
              </w:rPr>
              <w:t>120</w:t>
            </w:r>
          </w:p>
        </w:tc>
        <w:tc>
          <w:tcPr>
            <w:tcW w:w="1162" w:type="dxa"/>
          </w:tcPr>
          <w:p>
            <w:pPr>
              <w:pStyle w:val="TableParagraph"/>
              <w:spacing w:line="268" w:lineRule="exact"/>
              <w:ind w:left="263"/>
              <w:rPr>
                <w:sz w:val="24"/>
              </w:rPr>
            </w:pPr>
            <w:r>
              <w:rPr>
                <w:spacing w:val="-2"/>
                <w:sz w:val="24"/>
              </w:rPr>
              <w:t>0.91793</w:t>
            </w:r>
          </w:p>
          <w:p>
            <w:pPr>
              <w:pStyle w:val="TableParagraph"/>
              <w:spacing w:line="264" w:lineRule="exact"/>
              <w:ind w:left="263"/>
              <w:rPr>
                <w:sz w:val="24"/>
              </w:rPr>
            </w:pPr>
            <w:r>
              <w:rPr>
                <w:spacing w:val="-10"/>
                <w:sz w:val="24"/>
              </w:rPr>
              <w:t>1</w:t>
            </w:r>
          </w:p>
        </w:tc>
        <w:tc>
          <w:tcPr>
            <w:tcW w:w="681" w:type="dxa"/>
          </w:tcPr>
          <w:p>
            <w:pPr>
              <w:pStyle w:val="TableParagraph"/>
              <w:spacing w:line="264" w:lineRule="exact" w:before="268"/>
              <w:ind w:left="123"/>
              <w:rPr>
                <w:sz w:val="24"/>
              </w:rPr>
            </w:pPr>
            <w:r>
              <w:rPr>
                <w:spacing w:val="-5"/>
                <w:sz w:val="24"/>
              </w:rPr>
              <w:t>10</w:t>
            </w:r>
          </w:p>
        </w:tc>
        <w:tc>
          <w:tcPr>
            <w:tcW w:w="1450" w:type="dxa"/>
          </w:tcPr>
          <w:p>
            <w:pPr>
              <w:pStyle w:val="TableParagraph"/>
              <w:spacing w:line="268" w:lineRule="exact"/>
              <w:ind w:left="324"/>
              <w:rPr>
                <w:sz w:val="24"/>
              </w:rPr>
            </w:pPr>
            <w:r>
              <w:rPr>
                <w:spacing w:val="-2"/>
                <w:sz w:val="24"/>
              </w:rPr>
              <w:t>4.5896551</w:t>
            </w:r>
          </w:p>
          <w:p>
            <w:pPr>
              <w:pStyle w:val="TableParagraph"/>
              <w:spacing w:line="264" w:lineRule="exact"/>
              <w:ind w:left="324"/>
              <w:rPr>
                <w:sz w:val="24"/>
              </w:rPr>
            </w:pPr>
            <w:r>
              <w:rPr>
                <w:spacing w:val="-10"/>
                <w:sz w:val="24"/>
              </w:rPr>
              <w:t>7</w:t>
            </w:r>
          </w:p>
        </w:tc>
        <w:tc>
          <w:tcPr>
            <w:tcW w:w="1021" w:type="dxa"/>
            <w:shd w:val="clear" w:color="auto" w:fill="FFFF00"/>
          </w:tcPr>
          <w:p>
            <w:pPr>
              <w:pStyle w:val="TableParagraph"/>
              <w:spacing w:line="268" w:lineRule="exact"/>
              <w:ind w:left="112"/>
              <w:rPr>
                <w:sz w:val="24"/>
              </w:rPr>
            </w:pPr>
            <w:r>
              <w:rPr>
                <w:spacing w:val="-2"/>
                <w:sz w:val="24"/>
              </w:rPr>
              <w:t>45.2344</w:t>
            </w:r>
          </w:p>
          <w:p>
            <w:pPr>
              <w:pStyle w:val="TableParagraph"/>
              <w:spacing w:line="264" w:lineRule="exact"/>
              <w:ind w:left="112"/>
              <w:rPr>
                <w:sz w:val="24"/>
              </w:rPr>
            </w:pPr>
            <w:r>
              <w:rPr>
                <w:spacing w:val="-10"/>
                <w:sz w:val="24"/>
              </w:rPr>
              <w:t>8</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909" w:hRule="atLeast"/>
        </w:trPr>
        <w:tc>
          <w:tcPr>
            <w:tcW w:w="951" w:type="dxa"/>
          </w:tcPr>
          <w:p>
            <w:pPr>
              <w:pStyle w:val="TableParagraph"/>
              <w:spacing w:line="240" w:lineRule="auto"/>
              <w:rPr>
                <w:b/>
                <w:sz w:val="24"/>
              </w:rPr>
            </w:pPr>
          </w:p>
          <w:p>
            <w:pPr>
              <w:pStyle w:val="TableParagraph"/>
              <w:spacing w:line="240" w:lineRule="auto" w:before="64"/>
              <w:rPr>
                <w:b/>
                <w:sz w:val="24"/>
              </w:rPr>
            </w:pPr>
          </w:p>
          <w:p>
            <w:pPr>
              <w:pStyle w:val="TableParagraph"/>
              <w:ind w:left="50"/>
              <w:rPr>
                <w:sz w:val="24"/>
              </w:rPr>
            </w:pPr>
            <w:r>
              <w:rPr>
                <w:spacing w:val="-10"/>
                <w:sz w:val="24"/>
              </w:rPr>
              <w:t>D</w:t>
            </w:r>
          </w:p>
        </w:tc>
        <w:tc>
          <w:tcPr>
            <w:tcW w:w="1022" w:type="dxa"/>
          </w:tcPr>
          <w:p>
            <w:pPr>
              <w:pStyle w:val="TableParagraph"/>
              <w:spacing w:line="240" w:lineRule="auto"/>
              <w:rPr>
                <w:sz w:val="24"/>
              </w:rPr>
            </w:pPr>
          </w:p>
        </w:tc>
        <w:tc>
          <w:tcPr>
            <w:tcW w:w="742" w:type="dxa"/>
          </w:tcPr>
          <w:p>
            <w:pPr>
              <w:pStyle w:val="TableParagraph"/>
              <w:spacing w:line="240" w:lineRule="auto"/>
              <w:rPr>
                <w:sz w:val="24"/>
              </w:rPr>
            </w:pPr>
          </w:p>
        </w:tc>
        <w:tc>
          <w:tcPr>
            <w:tcW w:w="1162" w:type="dxa"/>
          </w:tcPr>
          <w:p>
            <w:pPr>
              <w:pStyle w:val="TableParagraph"/>
              <w:spacing w:line="240" w:lineRule="auto"/>
              <w:rPr>
                <w:sz w:val="24"/>
              </w:rPr>
            </w:pPr>
          </w:p>
        </w:tc>
        <w:tc>
          <w:tcPr>
            <w:tcW w:w="681" w:type="dxa"/>
          </w:tcPr>
          <w:p>
            <w:pPr>
              <w:pStyle w:val="TableParagraph"/>
              <w:spacing w:line="240" w:lineRule="auto"/>
              <w:rPr>
                <w:sz w:val="24"/>
              </w:rPr>
            </w:pPr>
          </w:p>
        </w:tc>
        <w:tc>
          <w:tcPr>
            <w:tcW w:w="1450" w:type="dxa"/>
          </w:tcPr>
          <w:p>
            <w:pPr>
              <w:pStyle w:val="TableParagraph"/>
              <w:spacing w:line="240" w:lineRule="auto"/>
              <w:rPr>
                <w:sz w:val="24"/>
              </w:rPr>
            </w:pPr>
          </w:p>
        </w:tc>
        <w:tc>
          <w:tcPr>
            <w:tcW w:w="1021" w:type="dxa"/>
          </w:tcPr>
          <w:p>
            <w:pPr>
              <w:pStyle w:val="TableParagraph"/>
              <w:spacing w:line="240" w:lineRule="auto"/>
              <w:rPr>
                <w:sz w:val="24"/>
              </w:rPr>
            </w:pP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288" w:hRule="atLeast"/>
        </w:trPr>
        <w:tc>
          <w:tcPr>
            <w:tcW w:w="951" w:type="dxa"/>
          </w:tcPr>
          <w:p>
            <w:pPr>
              <w:pStyle w:val="TableParagraph"/>
              <w:spacing w:line="261" w:lineRule="exact" w:before="7"/>
              <w:ind w:left="50"/>
              <w:rPr>
                <w:sz w:val="24"/>
              </w:rPr>
            </w:pPr>
            <w:r>
              <w:rPr>
                <w:spacing w:val="-10"/>
                <w:sz w:val="24"/>
              </w:rPr>
              <w:t>0</w:t>
            </w:r>
          </w:p>
        </w:tc>
        <w:tc>
          <w:tcPr>
            <w:tcW w:w="1022" w:type="dxa"/>
          </w:tcPr>
          <w:p>
            <w:pPr>
              <w:pStyle w:val="TableParagraph"/>
              <w:spacing w:line="261" w:lineRule="exact" w:before="7"/>
              <w:ind w:left="121"/>
              <w:rPr>
                <w:sz w:val="24"/>
              </w:rPr>
            </w:pPr>
            <w:r>
              <w:rPr>
                <w:spacing w:val="-10"/>
                <w:sz w:val="24"/>
              </w:rPr>
              <w:t>0</w:t>
            </w:r>
          </w:p>
        </w:tc>
        <w:tc>
          <w:tcPr>
            <w:tcW w:w="742" w:type="dxa"/>
          </w:tcPr>
          <w:p>
            <w:pPr>
              <w:pStyle w:val="TableParagraph"/>
              <w:spacing w:line="261" w:lineRule="exact" w:before="7"/>
              <w:ind w:left="122"/>
              <w:rPr>
                <w:sz w:val="24"/>
              </w:rPr>
            </w:pPr>
            <w:r>
              <w:rPr>
                <w:spacing w:val="-10"/>
                <w:sz w:val="24"/>
              </w:rPr>
              <w:t>0</w:t>
            </w:r>
          </w:p>
        </w:tc>
        <w:tc>
          <w:tcPr>
            <w:tcW w:w="1162" w:type="dxa"/>
          </w:tcPr>
          <w:p>
            <w:pPr>
              <w:pStyle w:val="TableParagraph"/>
              <w:spacing w:line="261" w:lineRule="exact" w:before="7"/>
              <w:ind w:left="263"/>
              <w:rPr>
                <w:sz w:val="24"/>
              </w:rPr>
            </w:pPr>
            <w:r>
              <w:rPr>
                <w:spacing w:val="-10"/>
                <w:sz w:val="24"/>
              </w:rPr>
              <w:t>0</w:t>
            </w:r>
          </w:p>
        </w:tc>
        <w:tc>
          <w:tcPr>
            <w:tcW w:w="681" w:type="dxa"/>
          </w:tcPr>
          <w:p>
            <w:pPr>
              <w:pStyle w:val="TableParagraph"/>
              <w:spacing w:line="261" w:lineRule="exact" w:before="7"/>
              <w:ind w:left="123"/>
              <w:rPr>
                <w:sz w:val="24"/>
              </w:rPr>
            </w:pPr>
            <w:r>
              <w:rPr>
                <w:spacing w:val="-10"/>
                <w:sz w:val="24"/>
              </w:rPr>
              <w:t>0</w:t>
            </w:r>
          </w:p>
        </w:tc>
        <w:tc>
          <w:tcPr>
            <w:tcW w:w="1450" w:type="dxa"/>
          </w:tcPr>
          <w:p>
            <w:pPr>
              <w:pStyle w:val="TableParagraph"/>
              <w:spacing w:line="261" w:lineRule="exact" w:before="7"/>
              <w:ind w:left="324"/>
              <w:rPr>
                <w:sz w:val="24"/>
              </w:rPr>
            </w:pPr>
            <w:r>
              <w:rPr>
                <w:spacing w:val="-10"/>
                <w:sz w:val="24"/>
              </w:rPr>
              <w:t>0</w:t>
            </w:r>
          </w:p>
        </w:tc>
        <w:tc>
          <w:tcPr>
            <w:tcW w:w="1021" w:type="dxa"/>
          </w:tcPr>
          <w:p>
            <w:pPr>
              <w:pStyle w:val="TableParagraph"/>
              <w:spacing w:line="261" w:lineRule="exact" w:before="7"/>
              <w:ind w:left="112"/>
              <w:rPr>
                <w:sz w:val="24"/>
              </w:rPr>
            </w:pPr>
            <w:r>
              <w:rPr>
                <w:spacing w:val="-10"/>
                <w:sz w:val="24"/>
              </w:rPr>
              <w:t>0</w:t>
            </w:r>
          </w:p>
        </w:tc>
        <w:tc>
          <w:tcPr>
            <w:tcW w:w="880" w:type="dxa"/>
          </w:tcPr>
          <w:p>
            <w:pPr>
              <w:pStyle w:val="TableParagraph"/>
              <w:spacing w:line="240" w:lineRule="auto"/>
              <w:rPr>
                <w:sz w:val="20"/>
              </w:rPr>
            </w:pPr>
          </w:p>
        </w:tc>
        <w:tc>
          <w:tcPr>
            <w:tcW w:w="882" w:type="dxa"/>
          </w:tcPr>
          <w:p>
            <w:pPr>
              <w:pStyle w:val="TableParagraph"/>
              <w:spacing w:line="240" w:lineRule="auto"/>
              <w:rPr>
                <w:sz w:val="20"/>
              </w:rPr>
            </w:pPr>
          </w:p>
        </w:tc>
      </w:tr>
      <w:tr>
        <w:trPr>
          <w:trHeight w:val="551" w:hRule="atLeast"/>
        </w:trPr>
        <w:tc>
          <w:tcPr>
            <w:tcW w:w="951" w:type="dxa"/>
          </w:tcPr>
          <w:p>
            <w:pPr>
              <w:pStyle w:val="TableParagraph"/>
              <w:spacing w:line="271" w:lineRule="exact"/>
              <w:ind w:left="50"/>
              <w:rPr>
                <w:sz w:val="24"/>
              </w:rPr>
            </w:pPr>
            <w:r>
              <w:rPr>
                <w:spacing w:val="-2"/>
                <w:sz w:val="24"/>
              </w:rPr>
              <w:t>229.310</w:t>
            </w:r>
          </w:p>
          <w:p>
            <w:pPr>
              <w:pStyle w:val="TableParagraph"/>
              <w:spacing w:line="261" w:lineRule="exact"/>
              <w:ind w:left="50"/>
              <w:rPr>
                <w:sz w:val="24"/>
              </w:rPr>
            </w:pPr>
            <w:r>
              <w:rPr>
                <w:spacing w:val="-10"/>
                <w:sz w:val="24"/>
              </w:rPr>
              <w:t>3</w:t>
            </w:r>
          </w:p>
        </w:tc>
        <w:tc>
          <w:tcPr>
            <w:tcW w:w="1022" w:type="dxa"/>
          </w:tcPr>
          <w:p>
            <w:pPr>
              <w:pStyle w:val="TableParagraph"/>
              <w:spacing w:line="261" w:lineRule="exact" w:before="271"/>
              <w:ind w:left="121"/>
              <w:rPr>
                <w:sz w:val="24"/>
              </w:rPr>
            </w:pPr>
            <w:r>
              <w:rPr>
                <w:spacing w:val="-2"/>
                <w:sz w:val="24"/>
              </w:rPr>
              <w:t>0.22931</w:t>
            </w:r>
          </w:p>
        </w:tc>
        <w:tc>
          <w:tcPr>
            <w:tcW w:w="742" w:type="dxa"/>
          </w:tcPr>
          <w:p>
            <w:pPr>
              <w:pStyle w:val="TableParagraph"/>
              <w:spacing w:line="261" w:lineRule="exact" w:before="271"/>
              <w:ind w:left="122"/>
              <w:rPr>
                <w:sz w:val="24"/>
              </w:rPr>
            </w:pPr>
            <w:r>
              <w:rPr>
                <w:spacing w:val="-10"/>
                <w:sz w:val="24"/>
              </w:rPr>
              <w:t>5</w:t>
            </w:r>
          </w:p>
        </w:tc>
        <w:tc>
          <w:tcPr>
            <w:tcW w:w="1162" w:type="dxa"/>
          </w:tcPr>
          <w:p>
            <w:pPr>
              <w:pStyle w:val="TableParagraph"/>
              <w:spacing w:line="261" w:lineRule="exact" w:before="271"/>
              <w:ind w:left="263"/>
              <w:rPr>
                <w:sz w:val="24"/>
              </w:rPr>
            </w:pPr>
            <w:r>
              <w:rPr>
                <w:spacing w:val="-2"/>
                <w:sz w:val="24"/>
              </w:rPr>
              <w:t>0.22931</w:t>
            </w:r>
          </w:p>
        </w:tc>
        <w:tc>
          <w:tcPr>
            <w:tcW w:w="681" w:type="dxa"/>
          </w:tcPr>
          <w:p>
            <w:pPr>
              <w:pStyle w:val="TableParagraph"/>
              <w:spacing w:line="261" w:lineRule="exact" w:before="271"/>
              <w:ind w:left="123"/>
              <w:rPr>
                <w:sz w:val="24"/>
              </w:rPr>
            </w:pPr>
            <w:r>
              <w:rPr>
                <w:spacing w:val="-10"/>
                <w:sz w:val="24"/>
              </w:rPr>
              <w:t>5</w:t>
            </w:r>
          </w:p>
        </w:tc>
        <w:tc>
          <w:tcPr>
            <w:tcW w:w="1450" w:type="dxa"/>
          </w:tcPr>
          <w:p>
            <w:pPr>
              <w:pStyle w:val="TableParagraph"/>
              <w:spacing w:line="271" w:lineRule="exact"/>
              <w:ind w:left="324"/>
              <w:rPr>
                <w:sz w:val="24"/>
              </w:rPr>
            </w:pPr>
            <w:r>
              <w:rPr>
                <w:spacing w:val="-2"/>
                <w:sz w:val="24"/>
              </w:rPr>
              <w:t>0.5732758</w:t>
            </w:r>
          </w:p>
          <w:p>
            <w:pPr>
              <w:pStyle w:val="TableParagraph"/>
              <w:spacing w:line="261" w:lineRule="exact"/>
              <w:ind w:left="324"/>
              <w:rPr>
                <w:sz w:val="24"/>
              </w:rPr>
            </w:pPr>
            <w:r>
              <w:rPr>
                <w:spacing w:val="-10"/>
                <w:sz w:val="24"/>
              </w:rPr>
              <w:t>6</w:t>
            </w:r>
          </w:p>
        </w:tc>
        <w:tc>
          <w:tcPr>
            <w:tcW w:w="1021" w:type="dxa"/>
          </w:tcPr>
          <w:p>
            <w:pPr>
              <w:pStyle w:val="TableParagraph"/>
              <w:spacing w:line="271" w:lineRule="exact"/>
              <w:ind w:left="112"/>
              <w:rPr>
                <w:sz w:val="24"/>
              </w:rPr>
            </w:pPr>
            <w:r>
              <w:rPr>
                <w:spacing w:val="-2"/>
                <w:sz w:val="24"/>
              </w:rPr>
              <w:t>0.57327</w:t>
            </w:r>
          </w:p>
          <w:p>
            <w:pPr>
              <w:pStyle w:val="TableParagraph"/>
              <w:spacing w:line="261" w:lineRule="exact"/>
              <w:ind w:left="112"/>
              <w:rPr>
                <w:sz w:val="24"/>
              </w:rPr>
            </w:pPr>
            <w:r>
              <w:rPr>
                <w:spacing w:val="-10"/>
                <w:sz w:val="24"/>
              </w:rPr>
              <w:t>6</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235.172</w:t>
            </w:r>
          </w:p>
          <w:p>
            <w:pPr>
              <w:pStyle w:val="TableParagraph"/>
              <w:spacing w:line="261" w:lineRule="exact"/>
              <w:ind w:left="50"/>
              <w:rPr>
                <w:sz w:val="24"/>
              </w:rPr>
            </w:pPr>
            <w:r>
              <w:rPr>
                <w:spacing w:val="-10"/>
                <w:sz w:val="24"/>
              </w:rPr>
              <w:t>4</w:t>
            </w:r>
          </w:p>
        </w:tc>
        <w:tc>
          <w:tcPr>
            <w:tcW w:w="1022" w:type="dxa"/>
          </w:tcPr>
          <w:p>
            <w:pPr>
              <w:pStyle w:val="TableParagraph"/>
              <w:spacing w:line="271" w:lineRule="exact"/>
              <w:ind w:left="121"/>
              <w:rPr>
                <w:sz w:val="24"/>
              </w:rPr>
            </w:pPr>
            <w:r>
              <w:rPr>
                <w:spacing w:val="-2"/>
                <w:sz w:val="24"/>
              </w:rPr>
              <w:t>0.23517</w:t>
            </w:r>
          </w:p>
          <w:p>
            <w:pPr>
              <w:pStyle w:val="TableParagraph"/>
              <w:spacing w:line="261" w:lineRule="exact"/>
              <w:ind w:left="121"/>
              <w:rPr>
                <w:sz w:val="24"/>
              </w:rPr>
            </w:pPr>
            <w:r>
              <w:rPr>
                <w:spacing w:val="-10"/>
                <w:sz w:val="24"/>
              </w:rPr>
              <w:t>2</w:t>
            </w:r>
          </w:p>
        </w:tc>
        <w:tc>
          <w:tcPr>
            <w:tcW w:w="742" w:type="dxa"/>
          </w:tcPr>
          <w:p>
            <w:pPr>
              <w:pStyle w:val="TableParagraph"/>
              <w:spacing w:line="261" w:lineRule="exact" w:before="271"/>
              <w:ind w:left="122"/>
              <w:rPr>
                <w:sz w:val="24"/>
              </w:rPr>
            </w:pPr>
            <w:r>
              <w:rPr>
                <w:spacing w:val="-5"/>
                <w:sz w:val="24"/>
              </w:rPr>
              <w:t>10</w:t>
            </w:r>
          </w:p>
        </w:tc>
        <w:tc>
          <w:tcPr>
            <w:tcW w:w="1162" w:type="dxa"/>
          </w:tcPr>
          <w:p>
            <w:pPr>
              <w:pStyle w:val="TableParagraph"/>
              <w:spacing w:line="271" w:lineRule="exact"/>
              <w:ind w:left="263"/>
              <w:rPr>
                <w:sz w:val="24"/>
              </w:rPr>
            </w:pPr>
            <w:r>
              <w:rPr>
                <w:spacing w:val="-2"/>
                <w:sz w:val="24"/>
              </w:rPr>
              <w:t>0.46448</w:t>
            </w:r>
          </w:p>
          <w:p>
            <w:pPr>
              <w:pStyle w:val="TableParagraph"/>
              <w:spacing w:line="261" w:lineRule="exact"/>
              <w:ind w:left="263"/>
              <w:rPr>
                <w:sz w:val="24"/>
              </w:rPr>
            </w:pPr>
            <w:r>
              <w:rPr>
                <w:spacing w:val="-10"/>
                <w:sz w:val="24"/>
              </w:rPr>
              <w:t>3</w:t>
            </w:r>
          </w:p>
        </w:tc>
        <w:tc>
          <w:tcPr>
            <w:tcW w:w="681" w:type="dxa"/>
          </w:tcPr>
          <w:p>
            <w:pPr>
              <w:pStyle w:val="TableParagraph"/>
              <w:spacing w:line="261" w:lineRule="exact" w:before="271"/>
              <w:ind w:left="123"/>
              <w:rPr>
                <w:sz w:val="24"/>
              </w:rPr>
            </w:pPr>
            <w:r>
              <w:rPr>
                <w:spacing w:val="-10"/>
                <w:sz w:val="24"/>
              </w:rPr>
              <w:t>5</w:t>
            </w:r>
          </w:p>
        </w:tc>
        <w:tc>
          <w:tcPr>
            <w:tcW w:w="1450" w:type="dxa"/>
          </w:tcPr>
          <w:p>
            <w:pPr>
              <w:pStyle w:val="TableParagraph"/>
              <w:spacing w:line="261" w:lineRule="exact" w:before="271"/>
              <w:ind w:left="324"/>
              <w:rPr>
                <w:sz w:val="24"/>
              </w:rPr>
            </w:pPr>
            <w:r>
              <w:rPr>
                <w:spacing w:val="-2"/>
                <w:sz w:val="24"/>
              </w:rPr>
              <w:t>1.1612069</w:t>
            </w:r>
          </w:p>
        </w:tc>
        <w:tc>
          <w:tcPr>
            <w:tcW w:w="1021" w:type="dxa"/>
          </w:tcPr>
          <w:p>
            <w:pPr>
              <w:pStyle w:val="TableParagraph"/>
              <w:spacing w:line="271" w:lineRule="exact"/>
              <w:ind w:left="112"/>
              <w:rPr>
                <w:sz w:val="24"/>
              </w:rPr>
            </w:pPr>
            <w:r>
              <w:rPr>
                <w:spacing w:val="-2"/>
                <w:sz w:val="24"/>
              </w:rPr>
              <w:t>1.73448</w:t>
            </w:r>
          </w:p>
          <w:p>
            <w:pPr>
              <w:pStyle w:val="TableParagraph"/>
              <w:spacing w:line="261" w:lineRule="exact"/>
              <w:ind w:left="112"/>
              <w:rPr>
                <w:sz w:val="24"/>
              </w:rPr>
            </w:pPr>
            <w:r>
              <w:rPr>
                <w:spacing w:val="-10"/>
                <w:sz w:val="24"/>
              </w:rPr>
              <w:t>3</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284.482</w:t>
            </w:r>
          </w:p>
          <w:p>
            <w:pPr>
              <w:pStyle w:val="TableParagraph"/>
              <w:spacing w:line="261"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0.28448</w:t>
            </w:r>
          </w:p>
          <w:p>
            <w:pPr>
              <w:pStyle w:val="TableParagraph"/>
              <w:spacing w:line="261" w:lineRule="exact"/>
              <w:ind w:left="121"/>
              <w:rPr>
                <w:sz w:val="24"/>
              </w:rPr>
            </w:pPr>
            <w:r>
              <w:rPr>
                <w:spacing w:val="-10"/>
                <w:sz w:val="24"/>
              </w:rPr>
              <w:t>3</w:t>
            </w:r>
          </w:p>
        </w:tc>
        <w:tc>
          <w:tcPr>
            <w:tcW w:w="742" w:type="dxa"/>
          </w:tcPr>
          <w:p>
            <w:pPr>
              <w:pStyle w:val="TableParagraph"/>
              <w:spacing w:line="261" w:lineRule="exact" w:before="271"/>
              <w:ind w:left="122"/>
              <w:rPr>
                <w:sz w:val="24"/>
              </w:rPr>
            </w:pPr>
            <w:r>
              <w:rPr>
                <w:spacing w:val="-5"/>
                <w:sz w:val="24"/>
              </w:rPr>
              <w:t>20</w:t>
            </w:r>
          </w:p>
        </w:tc>
        <w:tc>
          <w:tcPr>
            <w:tcW w:w="1162" w:type="dxa"/>
          </w:tcPr>
          <w:p>
            <w:pPr>
              <w:pStyle w:val="TableParagraph"/>
              <w:spacing w:line="271" w:lineRule="exact"/>
              <w:ind w:left="263"/>
              <w:rPr>
                <w:sz w:val="24"/>
              </w:rPr>
            </w:pPr>
            <w:r>
              <w:rPr>
                <w:spacing w:val="-2"/>
                <w:sz w:val="24"/>
              </w:rPr>
              <w:t>0.51965</w:t>
            </w:r>
          </w:p>
          <w:p>
            <w:pPr>
              <w:pStyle w:val="TableParagraph"/>
              <w:spacing w:line="261" w:lineRule="exact"/>
              <w:ind w:left="263"/>
              <w:rPr>
                <w:sz w:val="24"/>
              </w:rPr>
            </w:pPr>
            <w:r>
              <w:rPr>
                <w:spacing w:val="-10"/>
                <w:sz w:val="24"/>
              </w:rPr>
              <w:t>5</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2.5982758</w:t>
            </w:r>
          </w:p>
          <w:p>
            <w:pPr>
              <w:pStyle w:val="TableParagraph"/>
              <w:spacing w:line="261" w:lineRule="exact"/>
              <w:ind w:left="324"/>
              <w:rPr>
                <w:sz w:val="24"/>
              </w:rPr>
            </w:pPr>
            <w:r>
              <w:rPr>
                <w:spacing w:val="-10"/>
                <w:sz w:val="24"/>
              </w:rPr>
              <w:t>6</w:t>
            </w:r>
          </w:p>
        </w:tc>
        <w:tc>
          <w:tcPr>
            <w:tcW w:w="1021" w:type="dxa"/>
          </w:tcPr>
          <w:p>
            <w:pPr>
              <w:pStyle w:val="TableParagraph"/>
              <w:spacing w:line="271" w:lineRule="exact"/>
              <w:ind w:left="112"/>
              <w:rPr>
                <w:sz w:val="24"/>
              </w:rPr>
            </w:pPr>
            <w:r>
              <w:rPr>
                <w:spacing w:val="-2"/>
                <w:sz w:val="24"/>
              </w:rPr>
              <w:t>4.33275</w:t>
            </w:r>
          </w:p>
          <w:p>
            <w:pPr>
              <w:pStyle w:val="TableParagraph"/>
              <w:spacing w:line="261" w:lineRule="exact"/>
              <w:ind w:left="112"/>
              <w:rPr>
                <w:sz w:val="24"/>
              </w:rPr>
            </w:pPr>
            <w:r>
              <w:rPr>
                <w:spacing w:val="-10"/>
                <w:sz w:val="24"/>
              </w:rPr>
              <w:t>9</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4" w:hRule="atLeast"/>
        </w:trPr>
        <w:tc>
          <w:tcPr>
            <w:tcW w:w="951" w:type="dxa"/>
          </w:tcPr>
          <w:p>
            <w:pPr>
              <w:pStyle w:val="TableParagraph"/>
              <w:spacing w:line="271" w:lineRule="exact"/>
              <w:ind w:left="50"/>
              <w:rPr>
                <w:sz w:val="24"/>
              </w:rPr>
            </w:pPr>
            <w:r>
              <w:rPr>
                <w:spacing w:val="-2"/>
                <w:sz w:val="24"/>
              </w:rPr>
              <w:t>284.482</w:t>
            </w:r>
          </w:p>
          <w:p>
            <w:pPr>
              <w:pStyle w:val="TableParagraph"/>
              <w:spacing w:line="264"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0.28448</w:t>
            </w:r>
          </w:p>
          <w:p>
            <w:pPr>
              <w:pStyle w:val="TableParagraph"/>
              <w:spacing w:line="264" w:lineRule="exact"/>
              <w:ind w:left="121"/>
              <w:rPr>
                <w:sz w:val="24"/>
              </w:rPr>
            </w:pPr>
            <w:r>
              <w:rPr>
                <w:spacing w:val="-10"/>
                <w:sz w:val="24"/>
              </w:rPr>
              <w:t>3</w:t>
            </w:r>
          </w:p>
        </w:tc>
        <w:tc>
          <w:tcPr>
            <w:tcW w:w="742" w:type="dxa"/>
          </w:tcPr>
          <w:p>
            <w:pPr>
              <w:pStyle w:val="TableParagraph"/>
              <w:spacing w:line="264" w:lineRule="exact" w:before="271"/>
              <w:ind w:left="122"/>
              <w:rPr>
                <w:sz w:val="24"/>
              </w:rPr>
            </w:pPr>
            <w:r>
              <w:rPr>
                <w:spacing w:val="-5"/>
                <w:sz w:val="24"/>
              </w:rPr>
              <w:t>30</w:t>
            </w:r>
          </w:p>
        </w:tc>
        <w:tc>
          <w:tcPr>
            <w:tcW w:w="1162" w:type="dxa"/>
          </w:tcPr>
          <w:p>
            <w:pPr>
              <w:pStyle w:val="TableParagraph"/>
              <w:spacing w:line="271" w:lineRule="exact"/>
              <w:ind w:left="263"/>
              <w:rPr>
                <w:sz w:val="24"/>
              </w:rPr>
            </w:pPr>
            <w:r>
              <w:rPr>
                <w:spacing w:val="-2"/>
                <w:sz w:val="24"/>
              </w:rPr>
              <w:t>0.56896</w:t>
            </w:r>
          </w:p>
          <w:p>
            <w:pPr>
              <w:pStyle w:val="TableParagraph"/>
              <w:spacing w:line="264" w:lineRule="exact"/>
              <w:ind w:left="263"/>
              <w:rPr>
                <w:sz w:val="24"/>
              </w:rPr>
            </w:pPr>
            <w:r>
              <w:rPr>
                <w:spacing w:val="-10"/>
                <w:sz w:val="24"/>
              </w:rPr>
              <w:t>6</w:t>
            </w:r>
          </w:p>
        </w:tc>
        <w:tc>
          <w:tcPr>
            <w:tcW w:w="681" w:type="dxa"/>
          </w:tcPr>
          <w:p>
            <w:pPr>
              <w:pStyle w:val="TableParagraph"/>
              <w:spacing w:line="264"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2.8448275</w:t>
            </w:r>
          </w:p>
          <w:p>
            <w:pPr>
              <w:pStyle w:val="TableParagraph"/>
              <w:spacing w:line="264" w:lineRule="exact"/>
              <w:ind w:left="324"/>
              <w:rPr>
                <w:sz w:val="24"/>
              </w:rPr>
            </w:pPr>
            <w:r>
              <w:rPr>
                <w:spacing w:val="-10"/>
                <w:sz w:val="24"/>
              </w:rPr>
              <w:t>9</w:t>
            </w:r>
          </w:p>
        </w:tc>
        <w:tc>
          <w:tcPr>
            <w:tcW w:w="1021" w:type="dxa"/>
          </w:tcPr>
          <w:p>
            <w:pPr>
              <w:pStyle w:val="TableParagraph"/>
              <w:spacing w:line="271" w:lineRule="exact"/>
              <w:ind w:left="112"/>
              <w:rPr>
                <w:sz w:val="24"/>
              </w:rPr>
            </w:pPr>
            <w:r>
              <w:rPr>
                <w:spacing w:val="-2"/>
                <w:sz w:val="24"/>
              </w:rPr>
              <w:t>7.17758</w:t>
            </w:r>
          </w:p>
          <w:p>
            <w:pPr>
              <w:pStyle w:val="TableParagraph"/>
              <w:spacing w:line="264" w:lineRule="exact"/>
              <w:ind w:left="112"/>
              <w:rPr>
                <w:sz w:val="24"/>
              </w:rPr>
            </w:pPr>
            <w:r>
              <w:rPr>
                <w:spacing w:val="-10"/>
                <w:sz w:val="24"/>
              </w:rPr>
              <w:t>6</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68" w:lineRule="exact"/>
              <w:ind w:left="50"/>
              <w:rPr>
                <w:sz w:val="24"/>
              </w:rPr>
            </w:pPr>
            <w:r>
              <w:rPr>
                <w:spacing w:val="-2"/>
                <w:sz w:val="24"/>
              </w:rPr>
              <w:t>315.517</w:t>
            </w:r>
          </w:p>
          <w:p>
            <w:pPr>
              <w:pStyle w:val="TableParagraph"/>
              <w:spacing w:line="264" w:lineRule="exact"/>
              <w:ind w:left="50"/>
              <w:rPr>
                <w:sz w:val="24"/>
              </w:rPr>
            </w:pPr>
            <w:r>
              <w:rPr>
                <w:spacing w:val="-10"/>
                <w:sz w:val="24"/>
              </w:rPr>
              <w:t>2</w:t>
            </w:r>
          </w:p>
        </w:tc>
        <w:tc>
          <w:tcPr>
            <w:tcW w:w="1022" w:type="dxa"/>
          </w:tcPr>
          <w:p>
            <w:pPr>
              <w:pStyle w:val="TableParagraph"/>
              <w:spacing w:line="268" w:lineRule="exact"/>
              <w:ind w:left="121"/>
              <w:rPr>
                <w:sz w:val="24"/>
              </w:rPr>
            </w:pPr>
            <w:r>
              <w:rPr>
                <w:spacing w:val="-2"/>
                <w:sz w:val="24"/>
              </w:rPr>
              <w:t>0.31551</w:t>
            </w:r>
          </w:p>
          <w:p>
            <w:pPr>
              <w:pStyle w:val="TableParagraph"/>
              <w:spacing w:line="264" w:lineRule="exact"/>
              <w:ind w:left="121"/>
              <w:rPr>
                <w:sz w:val="24"/>
              </w:rPr>
            </w:pPr>
            <w:r>
              <w:rPr>
                <w:spacing w:val="-10"/>
                <w:sz w:val="24"/>
              </w:rPr>
              <w:t>7</w:t>
            </w:r>
          </w:p>
        </w:tc>
        <w:tc>
          <w:tcPr>
            <w:tcW w:w="742" w:type="dxa"/>
          </w:tcPr>
          <w:p>
            <w:pPr>
              <w:pStyle w:val="TableParagraph"/>
              <w:spacing w:line="264" w:lineRule="exact" w:before="268"/>
              <w:ind w:left="122"/>
              <w:rPr>
                <w:sz w:val="24"/>
              </w:rPr>
            </w:pPr>
            <w:r>
              <w:rPr>
                <w:spacing w:val="-5"/>
                <w:sz w:val="24"/>
              </w:rPr>
              <w:t>40</w:t>
            </w:r>
          </w:p>
        </w:tc>
        <w:tc>
          <w:tcPr>
            <w:tcW w:w="1162" w:type="dxa"/>
          </w:tcPr>
          <w:p>
            <w:pPr>
              <w:pStyle w:val="TableParagraph"/>
              <w:spacing w:line="264" w:lineRule="exact" w:before="268"/>
              <w:ind w:left="263"/>
              <w:rPr>
                <w:sz w:val="24"/>
              </w:rPr>
            </w:pPr>
            <w:r>
              <w:rPr>
                <w:spacing w:val="-5"/>
                <w:sz w:val="24"/>
              </w:rPr>
              <w:t>0.6</w:t>
            </w:r>
          </w:p>
        </w:tc>
        <w:tc>
          <w:tcPr>
            <w:tcW w:w="681" w:type="dxa"/>
          </w:tcPr>
          <w:p>
            <w:pPr>
              <w:pStyle w:val="TableParagraph"/>
              <w:spacing w:line="264" w:lineRule="exact" w:before="268"/>
              <w:ind w:left="123"/>
              <w:rPr>
                <w:sz w:val="24"/>
              </w:rPr>
            </w:pPr>
            <w:r>
              <w:rPr>
                <w:spacing w:val="-5"/>
                <w:sz w:val="24"/>
              </w:rPr>
              <w:t>10</w:t>
            </w:r>
          </w:p>
        </w:tc>
        <w:tc>
          <w:tcPr>
            <w:tcW w:w="1450" w:type="dxa"/>
          </w:tcPr>
          <w:p>
            <w:pPr>
              <w:pStyle w:val="TableParagraph"/>
              <w:spacing w:line="264" w:lineRule="exact" w:before="268"/>
              <w:ind w:left="324"/>
              <w:rPr>
                <w:sz w:val="24"/>
              </w:rPr>
            </w:pPr>
            <w:r>
              <w:rPr>
                <w:spacing w:val="-10"/>
                <w:sz w:val="24"/>
              </w:rPr>
              <w:t>3</w:t>
            </w:r>
          </w:p>
        </w:tc>
        <w:tc>
          <w:tcPr>
            <w:tcW w:w="1021" w:type="dxa"/>
          </w:tcPr>
          <w:p>
            <w:pPr>
              <w:pStyle w:val="TableParagraph"/>
              <w:spacing w:line="268" w:lineRule="exact"/>
              <w:ind w:left="112"/>
              <w:rPr>
                <w:sz w:val="24"/>
              </w:rPr>
            </w:pPr>
            <w:r>
              <w:rPr>
                <w:spacing w:val="-2"/>
                <w:sz w:val="24"/>
              </w:rPr>
              <w:t>10.1775</w:t>
            </w:r>
          </w:p>
          <w:p>
            <w:pPr>
              <w:pStyle w:val="TableParagraph"/>
              <w:spacing w:line="264" w:lineRule="exact"/>
              <w:ind w:left="112"/>
              <w:rPr>
                <w:sz w:val="24"/>
              </w:rPr>
            </w:pPr>
            <w:r>
              <w:rPr>
                <w:spacing w:val="-10"/>
                <w:sz w:val="24"/>
              </w:rPr>
              <w:t>9</w:t>
            </w:r>
          </w:p>
        </w:tc>
        <w:tc>
          <w:tcPr>
            <w:tcW w:w="880" w:type="dxa"/>
          </w:tcPr>
          <w:p>
            <w:pPr>
              <w:pStyle w:val="TableParagraph"/>
              <w:spacing w:line="264" w:lineRule="exact" w:before="268"/>
              <w:ind w:left="111"/>
              <w:rPr>
                <w:sz w:val="24"/>
              </w:rPr>
            </w:pPr>
            <w:r>
              <w:rPr>
                <w:spacing w:val="-10"/>
                <w:sz w:val="24"/>
              </w:rPr>
              <w:t>F</w:t>
            </w:r>
          </w:p>
        </w:tc>
        <w:tc>
          <w:tcPr>
            <w:tcW w:w="882" w:type="dxa"/>
            <w:shd w:val="clear" w:color="auto" w:fill="FF0000"/>
          </w:tcPr>
          <w:p>
            <w:pPr>
              <w:pStyle w:val="TableParagraph"/>
              <w:spacing w:line="264" w:lineRule="exact" w:before="268"/>
              <w:ind w:left="115"/>
              <w:rPr>
                <w:sz w:val="24"/>
              </w:rPr>
            </w:pPr>
            <w:r>
              <w:rPr>
                <w:spacing w:val="-5"/>
                <w:sz w:val="24"/>
              </w:rPr>
              <w:t>100</w:t>
            </w:r>
          </w:p>
        </w:tc>
      </w:tr>
      <w:tr>
        <w:trPr>
          <w:trHeight w:val="549" w:hRule="atLeast"/>
        </w:trPr>
        <w:tc>
          <w:tcPr>
            <w:tcW w:w="951" w:type="dxa"/>
          </w:tcPr>
          <w:p>
            <w:pPr>
              <w:pStyle w:val="TableParagraph"/>
              <w:spacing w:line="268" w:lineRule="exact"/>
              <w:ind w:left="50"/>
              <w:rPr>
                <w:sz w:val="24"/>
              </w:rPr>
            </w:pPr>
            <w:r>
              <w:rPr>
                <w:spacing w:val="-2"/>
                <w:sz w:val="24"/>
              </w:rPr>
              <w:t>321.724</w:t>
            </w:r>
          </w:p>
          <w:p>
            <w:pPr>
              <w:pStyle w:val="TableParagraph"/>
              <w:spacing w:line="261" w:lineRule="exact"/>
              <w:ind w:left="50"/>
              <w:rPr>
                <w:sz w:val="24"/>
              </w:rPr>
            </w:pPr>
            <w:r>
              <w:rPr>
                <w:spacing w:val="-10"/>
                <w:sz w:val="24"/>
              </w:rPr>
              <w:t>1</w:t>
            </w:r>
          </w:p>
        </w:tc>
        <w:tc>
          <w:tcPr>
            <w:tcW w:w="1022" w:type="dxa"/>
          </w:tcPr>
          <w:p>
            <w:pPr>
              <w:pStyle w:val="TableParagraph"/>
              <w:spacing w:line="268" w:lineRule="exact"/>
              <w:ind w:left="121"/>
              <w:rPr>
                <w:sz w:val="24"/>
              </w:rPr>
            </w:pPr>
            <w:r>
              <w:rPr>
                <w:spacing w:val="-2"/>
                <w:sz w:val="24"/>
              </w:rPr>
              <w:t>0.32172</w:t>
            </w:r>
          </w:p>
          <w:p>
            <w:pPr>
              <w:pStyle w:val="TableParagraph"/>
              <w:spacing w:line="261" w:lineRule="exact"/>
              <w:ind w:left="121"/>
              <w:rPr>
                <w:sz w:val="24"/>
              </w:rPr>
            </w:pPr>
            <w:r>
              <w:rPr>
                <w:spacing w:val="-10"/>
                <w:sz w:val="24"/>
              </w:rPr>
              <w:t>4</w:t>
            </w:r>
          </w:p>
        </w:tc>
        <w:tc>
          <w:tcPr>
            <w:tcW w:w="742" w:type="dxa"/>
          </w:tcPr>
          <w:p>
            <w:pPr>
              <w:pStyle w:val="TableParagraph"/>
              <w:spacing w:line="261" w:lineRule="exact" w:before="268"/>
              <w:ind w:left="122"/>
              <w:rPr>
                <w:sz w:val="24"/>
              </w:rPr>
            </w:pPr>
            <w:r>
              <w:rPr>
                <w:spacing w:val="-5"/>
                <w:sz w:val="24"/>
              </w:rPr>
              <w:t>50</w:t>
            </w:r>
          </w:p>
        </w:tc>
        <w:tc>
          <w:tcPr>
            <w:tcW w:w="1162" w:type="dxa"/>
          </w:tcPr>
          <w:p>
            <w:pPr>
              <w:pStyle w:val="TableParagraph"/>
              <w:spacing w:line="268" w:lineRule="exact"/>
              <w:ind w:left="263"/>
              <w:rPr>
                <w:sz w:val="24"/>
              </w:rPr>
            </w:pPr>
            <w:r>
              <w:rPr>
                <w:spacing w:val="-2"/>
                <w:sz w:val="24"/>
              </w:rPr>
              <w:t>0.63724</w:t>
            </w:r>
          </w:p>
          <w:p>
            <w:pPr>
              <w:pStyle w:val="TableParagraph"/>
              <w:spacing w:line="261" w:lineRule="exact"/>
              <w:ind w:left="263"/>
              <w:rPr>
                <w:sz w:val="24"/>
              </w:rPr>
            </w:pPr>
            <w:r>
              <w:rPr>
                <w:spacing w:val="-10"/>
                <w:sz w:val="24"/>
              </w:rPr>
              <w:t>1</w:t>
            </w:r>
          </w:p>
        </w:tc>
        <w:tc>
          <w:tcPr>
            <w:tcW w:w="681" w:type="dxa"/>
          </w:tcPr>
          <w:p>
            <w:pPr>
              <w:pStyle w:val="TableParagraph"/>
              <w:spacing w:line="261" w:lineRule="exact" w:before="268"/>
              <w:ind w:left="123"/>
              <w:rPr>
                <w:sz w:val="24"/>
              </w:rPr>
            </w:pPr>
            <w:r>
              <w:rPr>
                <w:spacing w:val="-5"/>
                <w:sz w:val="24"/>
              </w:rPr>
              <w:t>10</w:t>
            </w:r>
          </w:p>
        </w:tc>
        <w:tc>
          <w:tcPr>
            <w:tcW w:w="1450" w:type="dxa"/>
          </w:tcPr>
          <w:p>
            <w:pPr>
              <w:pStyle w:val="TableParagraph"/>
              <w:spacing w:line="261" w:lineRule="exact" w:before="268"/>
              <w:ind w:left="324"/>
              <w:rPr>
                <w:sz w:val="24"/>
              </w:rPr>
            </w:pPr>
            <w:r>
              <w:rPr>
                <w:spacing w:val="-2"/>
                <w:sz w:val="24"/>
              </w:rPr>
              <w:t>3.1862069</w:t>
            </w:r>
          </w:p>
        </w:tc>
        <w:tc>
          <w:tcPr>
            <w:tcW w:w="1021" w:type="dxa"/>
          </w:tcPr>
          <w:p>
            <w:pPr>
              <w:pStyle w:val="TableParagraph"/>
              <w:spacing w:line="268" w:lineRule="exact"/>
              <w:ind w:left="112"/>
              <w:rPr>
                <w:sz w:val="24"/>
              </w:rPr>
            </w:pPr>
            <w:r>
              <w:rPr>
                <w:spacing w:val="-2"/>
                <w:sz w:val="24"/>
              </w:rPr>
              <w:t>13.3637</w:t>
            </w:r>
          </w:p>
          <w:p>
            <w:pPr>
              <w:pStyle w:val="TableParagraph"/>
              <w:spacing w:line="261" w:lineRule="exact"/>
              <w:ind w:left="112"/>
              <w:rPr>
                <w:sz w:val="24"/>
              </w:rPr>
            </w:pPr>
            <w:r>
              <w:rPr>
                <w:spacing w:val="-10"/>
                <w:sz w:val="24"/>
              </w:rPr>
              <w:t>9</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71" w:lineRule="exact"/>
              <w:ind w:left="50"/>
              <w:rPr>
                <w:sz w:val="24"/>
              </w:rPr>
            </w:pPr>
            <w:r>
              <w:rPr>
                <w:spacing w:val="-2"/>
                <w:sz w:val="24"/>
              </w:rPr>
              <w:t>321.724</w:t>
            </w:r>
          </w:p>
          <w:p>
            <w:pPr>
              <w:pStyle w:val="TableParagraph"/>
              <w:spacing w:line="261" w:lineRule="exact"/>
              <w:ind w:left="50"/>
              <w:rPr>
                <w:sz w:val="24"/>
              </w:rPr>
            </w:pPr>
            <w:r>
              <w:rPr>
                <w:spacing w:val="-10"/>
                <w:sz w:val="24"/>
              </w:rPr>
              <w:t>1</w:t>
            </w:r>
          </w:p>
        </w:tc>
        <w:tc>
          <w:tcPr>
            <w:tcW w:w="1022" w:type="dxa"/>
          </w:tcPr>
          <w:p>
            <w:pPr>
              <w:pStyle w:val="TableParagraph"/>
              <w:spacing w:line="271" w:lineRule="exact"/>
              <w:ind w:left="121"/>
              <w:rPr>
                <w:sz w:val="24"/>
              </w:rPr>
            </w:pPr>
            <w:r>
              <w:rPr>
                <w:spacing w:val="-2"/>
                <w:sz w:val="24"/>
              </w:rPr>
              <w:t>0.32172</w:t>
            </w:r>
          </w:p>
          <w:p>
            <w:pPr>
              <w:pStyle w:val="TableParagraph"/>
              <w:spacing w:line="261" w:lineRule="exact"/>
              <w:ind w:left="121"/>
              <w:rPr>
                <w:sz w:val="24"/>
              </w:rPr>
            </w:pPr>
            <w:r>
              <w:rPr>
                <w:spacing w:val="-10"/>
                <w:sz w:val="24"/>
              </w:rPr>
              <w:t>4</w:t>
            </w:r>
          </w:p>
        </w:tc>
        <w:tc>
          <w:tcPr>
            <w:tcW w:w="742" w:type="dxa"/>
          </w:tcPr>
          <w:p>
            <w:pPr>
              <w:pStyle w:val="TableParagraph"/>
              <w:spacing w:line="261" w:lineRule="exact" w:before="271"/>
              <w:ind w:left="122"/>
              <w:rPr>
                <w:sz w:val="24"/>
              </w:rPr>
            </w:pPr>
            <w:r>
              <w:rPr>
                <w:spacing w:val="-5"/>
                <w:sz w:val="24"/>
              </w:rPr>
              <w:t>60</w:t>
            </w:r>
          </w:p>
        </w:tc>
        <w:tc>
          <w:tcPr>
            <w:tcW w:w="1162" w:type="dxa"/>
          </w:tcPr>
          <w:p>
            <w:pPr>
              <w:pStyle w:val="TableParagraph"/>
              <w:spacing w:line="271" w:lineRule="exact"/>
              <w:ind w:left="263"/>
              <w:rPr>
                <w:sz w:val="24"/>
              </w:rPr>
            </w:pPr>
            <w:r>
              <w:rPr>
                <w:spacing w:val="-2"/>
                <w:sz w:val="24"/>
              </w:rPr>
              <w:t>0.64344</w:t>
            </w:r>
          </w:p>
          <w:p>
            <w:pPr>
              <w:pStyle w:val="TableParagraph"/>
              <w:spacing w:line="261" w:lineRule="exact"/>
              <w:ind w:left="263"/>
              <w:rPr>
                <w:sz w:val="24"/>
              </w:rPr>
            </w:pPr>
            <w:r>
              <w:rPr>
                <w:spacing w:val="-10"/>
                <w:sz w:val="24"/>
              </w:rPr>
              <w:t>8</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3.2172413</w:t>
            </w:r>
          </w:p>
          <w:p>
            <w:pPr>
              <w:pStyle w:val="TableParagraph"/>
              <w:spacing w:line="261" w:lineRule="exact"/>
              <w:ind w:left="324"/>
              <w:rPr>
                <w:sz w:val="24"/>
              </w:rPr>
            </w:pPr>
            <w:r>
              <w:rPr>
                <w:spacing w:val="-10"/>
                <w:sz w:val="24"/>
              </w:rPr>
              <w:t>8</w:t>
            </w:r>
          </w:p>
        </w:tc>
        <w:tc>
          <w:tcPr>
            <w:tcW w:w="1021" w:type="dxa"/>
          </w:tcPr>
          <w:p>
            <w:pPr>
              <w:pStyle w:val="TableParagraph"/>
              <w:spacing w:line="271" w:lineRule="exact"/>
              <w:ind w:left="112"/>
              <w:rPr>
                <w:sz w:val="24"/>
              </w:rPr>
            </w:pPr>
            <w:r>
              <w:rPr>
                <w:spacing w:val="-2"/>
                <w:sz w:val="24"/>
              </w:rPr>
              <w:t>16.5810</w:t>
            </w:r>
          </w:p>
          <w:p>
            <w:pPr>
              <w:pStyle w:val="TableParagraph"/>
              <w:spacing w:line="261" w:lineRule="exact"/>
              <w:ind w:left="112"/>
              <w:rPr>
                <w:sz w:val="24"/>
              </w:rPr>
            </w:pPr>
            <w:r>
              <w:rPr>
                <w:spacing w:val="-10"/>
                <w:sz w:val="24"/>
              </w:rPr>
              <w:t>3</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329.655</w:t>
            </w:r>
          </w:p>
          <w:p>
            <w:pPr>
              <w:pStyle w:val="TableParagraph"/>
              <w:spacing w:line="261" w:lineRule="exact"/>
              <w:ind w:left="50"/>
              <w:rPr>
                <w:sz w:val="24"/>
              </w:rPr>
            </w:pPr>
            <w:r>
              <w:rPr>
                <w:spacing w:val="-10"/>
                <w:sz w:val="24"/>
              </w:rPr>
              <w:t>2</w:t>
            </w:r>
          </w:p>
        </w:tc>
        <w:tc>
          <w:tcPr>
            <w:tcW w:w="1022" w:type="dxa"/>
          </w:tcPr>
          <w:p>
            <w:pPr>
              <w:pStyle w:val="TableParagraph"/>
              <w:spacing w:line="271" w:lineRule="exact"/>
              <w:ind w:left="121"/>
              <w:rPr>
                <w:sz w:val="24"/>
              </w:rPr>
            </w:pPr>
            <w:r>
              <w:rPr>
                <w:spacing w:val="-2"/>
                <w:sz w:val="24"/>
              </w:rPr>
              <w:t>0.32965</w:t>
            </w:r>
          </w:p>
          <w:p>
            <w:pPr>
              <w:pStyle w:val="TableParagraph"/>
              <w:spacing w:line="261" w:lineRule="exact"/>
              <w:ind w:left="121"/>
              <w:rPr>
                <w:sz w:val="24"/>
              </w:rPr>
            </w:pPr>
            <w:r>
              <w:rPr>
                <w:spacing w:val="-10"/>
                <w:sz w:val="24"/>
              </w:rPr>
              <w:t>5</w:t>
            </w:r>
          </w:p>
        </w:tc>
        <w:tc>
          <w:tcPr>
            <w:tcW w:w="742" w:type="dxa"/>
          </w:tcPr>
          <w:p>
            <w:pPr>
              <w:pStyle w:val="TableParagraph"/>
              <w:spacing w:line="261" w:lineRule="exact" w:before="271"/>
              <w:ind w:left="122"/>
              <w:rPr>
                <w:sz w:val="24"/>
              </w:rPr>
            </w:pPr>
            <w:r>
              <w:rPr>
                <w:spacing w:val="-5"/>
                <w:sz w:val="24"/>
              </w:rPr>
              <w:t>70</w:t>
            </w:r>
          </w:p>
        </w:tc>
        <w:tc>
          <w:tcPr>
            <w:tcW w:w="1162" w:type="dxa"/>
          </w:tcPr>
          <w:p>
            <w:pPr>
              <w:pStyle w:val="TableParagraph"/>
              <w:spacing w:line="271" w:lineRule="exact"/>
              <w:ind w:left="263"/>
              <w:rPr>
                <w:sz w:val="24"/>
              </w:rPr>
            </w:pPr>
            <w:r>
              <w:rPr>
                <w:spacing w:val="-2"/>
                <w:sz w:val="24"/>
              </w:rPr>
              <w:t>0.65137</w:t>
            </w:r>
          </w:p>
          <w:p>
            <w:pPr>
              <w:pStyle w:val="TableParagraph"/>
              <w:spacing w:line="261" w:lineRule="exact"/>
              <w:ind w:left="263"/>
              <w:rPr>
                <w:sz w:val="24"/>
              </w:rPr>
            </w:pPr>
            <w:r>
              <w:rPr>
                <w:spacing w:val="-10"/>
                <w:sz w:val="24"/>
              </w:rPr>
              <w:t>9</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3.2568965</w:t>
            </w:r>
          </w:p>
          <w:p>
            <w:pPr>
              <w:pStyle w:val="TableParagraph"/>
              <w:spacing w:line="261" w:lineRule="exact"/>
              <w:ind w:left="324"/>
              <w:rPr>
                <w:sz w:val="24"/>
              </w:rPr>
            </w:pPr>
            <w:r>
              <w:rPr>
                <w:spacing w:val="-10"/>
                <w:sz w:val="24"/>
              </w:rPr>
              <w:t>5</w:t>
            </w:r>
          </w:p>
        </w:tc>
        <w:tc>
          <w:tcPr>
            <w:tcW w:w="1021" w:type="dxa"/>
          </w:tcPr>
          <w:p>
            <w:pPr>
              <w:pStyle w:val="TableParagraph"/>
              <w:spacing w:line="271" w:lineRule="exact"/>
              <w:ind w:left="112"/>
              <w:rPr>
                <w:sz w:val="24"/>
              </w:rPr>
            </w:pPr>
            <w:r>
              <w:rPr>
                <w:spacing w:val="-2"/>
                <w:sz w:val="24"/>
              </w:rPr>
              <w:t>19.8379</w:t>
            </w:r>
          </w:p>
          <w:p>
            <w:pPr>
              <w:pStyle w:val="TableParagraph"/>
              <w:spacing w:line="261" w:lineRule="exact"/>
              <w:ind w:left="112"/>
              <w:rPr>
                <w:sz w:val="24"/>
              </w:rPr>
            </w:pPr>
            <w:r>
              <w:rPr>
                <w:spacing w:val="-10"/>
                <w:sz w:val="24"/>
              </w:rPr>
              <w:t>3</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71" w:lineRule="exact"/>
              <w:ind w:left="50"/>
              <w:rPr>
                <w:sz w:val="24"/>
              </w:rPr>
            </w:pPr>
            <w:r>
              <w:rPr>
                <w:spacing w:val="-2"/>
                <w:sz w:val="24"/>
              </w:rPr>
              <w:t>343.448</w:t>
            </w:r>
          </w:p>
          <w:p>
            <w:pPr>
              <w:pStyle w:val="TableParagraph"/>
              <w:spacing w:line="261" w:lineRule="exact"/>
              <w:ind w:left="50"/>
              <w:rPr>
                <w:sz w:val="24"/>
              </w:rPr>
            </w:pPr>
            <w:r>
              <w:rPr>
                <w:spacing w:val="-10"/>
                <w:sz w:val="24"/>
              </w:rPr>
              <w:t>3</w:t>
            </w:r>
          </w:p>
        </w:tc>
        <w:tc>
          <w:tcPr>
            <w:tcW w:w="1022" w:type="dxa"/>
          </w:tcPr>
          <w:p>
            <w:pPr>
              <w:pStyle w:val="TableParagraph"/>
              <w:spacing w:line="271" w:lineRule="exact"/>
              <w:ind w:left="121"/>
              <w:rPr>
                <w:sz w:val="24"/>
              </w:rPr>
            </w:pPr>
            <w:r>
              <w:rPr>
                <w:spacing w:val="-2"/>
                <w:sz w:val="24"/>
              </w:rPr>
              <w:t>0.34344</w:t>
            </w:r>
          </w:p>
          <w:p>
            <w:pPr>
              <w:pStyle w:val="TableParagraph"/>
              <w:spacing w:line="261" w:lineRule="exact"/>
              <w:ind w:left="121"/>
              <w:rPr>
                <w:sz w:val="24"/>
              </w:rPr>
            </w:pPr>
            <w:r>
              <w:rPr>
                <w:spacing w:val="-10"/>
                <w:sz w:val="24"/>
              </w:rPr>
              <w:t>8</w:t>
            </w:r>
          </w:p>
        </w:tc>
        <w:tc>
          <w:tcPr>
            <w:tcW w:w="742" w:type="dxa"/>
          </w:tcPr>
          <w:p>
            <w:pPr>
              <w:pStyle w:val="TableParagraph"/>
              <w:spacing w:line="261" w:lineRule="exact" w:before="271"/>
              <w:ind w:left="122"/>
              <w:rPr>
                <w:sz w:val="24"/>
              </w:rPr>
            </w:pPr>
            <w:r>
              <w:rPr>
                <w:spacing w:val="-5"/>
                <w:sz w:val="24"/>
              </w:rPr>
              <w:t>80</w:t>
            </w:r>
          </w:p>
        </w:tc>
        <w:tc>
          <w:tcPr>
            <w:tcW w:w="1162" w:type="dxa"/>
          </w:tcPr>
          <w:p>
            <w:pPr>
              <w:pStyle w:val="TableParagraph"/>
              <w:spacing w:line="271" w:lineRule="exact"/>
              <w:ind w:left="263"/>
              <w:rPr>
                <w:sz w:val="24"/>
              </w:rPr>
            </w:pPr>
            <w:r>
              <w:rPr>
                <w:spacing w:val="-2"/>
                <w:sz w:val="24"/>
              </w:rPr>
              <w:t>0.67310</w:t>
            </w:r>
          </w:p>
          <w:p>
            <w:pPr>
              <w:pStyle w:val="TableParagraph"/>
              <w:spacing w:line="261" w:lineRule="exact"/>
              <w:ind w:left="263"/>
              <w:rPr>
                <w:sz w:val="24"/>
              </w:rPr>
            </w:pPr>
            <w:r>
              <w:rPr>
                <w:spacing w:val="-10"/>
                <w:sz w:val="24"/>
              </w:rPr>
              <w:t>3</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3.3655172</w:t>
            </w:r>
          </w:p>
          <w:p>
            <w:pPr>
              <w:pStyle w:val="TableParagraph"/>
              <w:spacing w:line="261" w:lineRule="exact"/>
              <w:ind w:left="324"/>
              <w:rPr>
                <w:sz w:val="24"/>
              </w:rPr>
            </w:pPr>
            <w:r>
              <w:rPr>
                <w:spacing w:val="-10"/>
                <w:sz w:val="24"/>
              </w:rPr>
              <w:t>4</w:t>
            </w:r>
          </w:p>
        </w:tc>
        <w:tc>
          <w:tcPr>
            <w:tcW w:w="1021" w:type="dxa"/>
          </w:tcPr>
          <w:p>
            <w:pPr>
              <w:pStyle w:val="TableParagraph"/>
              <w:spacing w:line="271" w:lineRule="exact"/>
              <w:ind w:left="112"/>
              <w:rPr>
                <w:sz w:val="24"/>
              </w:rPr>
            </w:pPr>
            <w:r>
              <w:rPr>
                <w:spacing w:val="-2"/>
                <w:sz w:val="24"/>
              </w:rPr>
              <w:t>23.2034</w:t>
            </w:r>
          </w:p>
          <w:p>
            <w:pPr>
              <w:pStyle w:val="TableParagraph"/>
              <w:spacing w:line="261" w:lineRule="exact"/>
              <w:ind w:left="112"/>
              <w:rPr>
                <w:sz w:val="24"/>
              </w:rPr>
            </w:pPr>
            <w:r>
              <w:rPr>
                <w:spacing w:val="-10"/>
                <w:sz w:val="24"/>
              </w:rPr>
              <w:t>5</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1" w:hRule="atLeast"/>
        </w:trPr>
        <w:tc>
          <w:tcPr>
            <w:tcW w:w="951" w:type="dxa"/>
          </w:tcPr>
          <w:p>
            <w:pPr>
              <w:pStyle w:val="TableParagraph"/>
              <w:spacing w:line="271" w:lineRule="exact"/>
              <w:ind w:left="50"/>
              <w:rPr>
                <w:sz w:val="24"/>
              </w:rPr>
            </w:pPr>
            <w:r>
              <w:rPr>
                <w:spacing w:val="-2"/>
                <w:sz w:val="24"/>
              </w:rPr>
              <w:t>350.344</w:t>
            </w:r>
          </w:p>
          <w:p>
            <w:pPr>
              <w:pStyle w:val="TableParagraph"/>
              <w:spacing w:line="261"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0.35034</w:t>
            </w:r>
          </w:p>
          <w:p>
            <w:pPr>
              <w:pStyle w:val="TableParagraph"/>
              <w:spacing w:line="261" w:lineRule="exact"/>
              <w:ind w:left="121"/>
              <w:rPr>
                <w:sz w:val="24"/>
              </w:rPr>
            </w:pPr>
            <w:r>
              <w:rPr>
                <w:spacing w:val="-10"/>
                <w:sz w:val="24"/>
              </w:rPr>
              <w:t>5</w:t>
            </w:r>
          </w:p>
        </w:tc>
        <w:tc>
          <w:tcPr>
            <w:tcW w:w="742" w:type="dxa"/>
          </w:tcPr>
          <w:p>
            <w:pPr>
              <w:pStyle w:val="TableParagraph"/>
              <w:spacing w:line="261" w:lineRule="exact" w:before="271"/>
              <w:ind w:left="122"/>
              <w:rPr>
                <w:sz w:val="24"/>
              </w:rPr>
            </w:pPr>
            <w:r>
              <w:rPr>
                <w:spacing w:val="-5"/>
                <w:sz w:val="24"/>
              </w:rPr>
              <w:t>90</w:t>
            </w:r>
          </w:p>
        </w:tc>
        <w:tc>
          <w:tcPr>
            <w:tcW w:w="1162" w:type="dxa"/>
          </w:tcPr>
          <w:p>
            <w:pPr>
              <w:pStyle w:val="TableParagraph"/>
              <w:spacing w:line="271" w:lineRule="exact"/>
              <w:ind w:left="263"/>
              <w:rPr>
                <w:sz w:val="24"/>
              </w:rPr>
            </w:pPr>
            <w:r>
              <w:rPr>
                <w:spacing w:val="-2"/>
                <w:sz w:val="24"/>
              </w:rPr>
              <w:t>0.69379</w:t>
            </w:r>
          </w:p>
          <w:p>
            <w:pPr>
              <w:pStyle w:val="TableParagraph"/>
              <w:spacing w:line="261" w:lineRule="exact"/>
              <w:ind w:left="263"/>
              <w:rPr>
                <w:sz w:val="24"/>
              </w:rPr>
            </w:pPr>
            <w:r>
              <w:rPr>
                <w:spacing w:val="-10"/>
                <w:sz w:val="24"/>
              </w:rPr>
              <w:t>3</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3.4689655</w:t>
            </w:r>
          </w:p>
          <w:p>
            <w:pPr>
              <w:pStyle w:val="TableParagraph"/>
              <w:spacing w:line="261" w:lineRule="exact"/>
              <w:ind w:left="324"/>
              <w:rPr>
                <w:sz w:val="24"/>
              </w:rPr>
            </w:pPr>
            <w:r>
              <w:rPr>
                <w:spacing w:val="-10"/>
                <w:sz w:val="24"/>
              </w:rPr>
              <w:t>2</w:t>
            </w:r>
          </w:p>
        </w:tc>
        <w:tc>
          <w:tcPr>
            <w:tcW w:w="1021" w:type="dxa"/>
          </w:tcPr>
          <w:p>
            <w:pPr>
              <w:pStyle w:val="TableParagraph"/>
              <w:spacing w:line="271" w:lineRule="exact"/>
              <w:ind w:left="112"/>
              <w:rPr>
                <w:sz w:val="24"/>
              </w:rPr>
            </w:pPr>
            <w:r>
              <w:rPr>
                <w:spacing w:val="-2"/>
                <w:sz w:val="24"/>
              </w:rPr>
              <w:t>26.6724</w:t>
            </w:r>
          </w:p>
          <w:p>
            <w:pPr>
              <w:pStyle w:val="TableParagraph"/>
              <w:spacing w:line="261" w:lineRule="exact"/>
              <w:ind w:left="112"/>
              <w:rPr>
                <w:sz w:val="24"/>
              </w:rPr>
            </w:pPr>
            <w:r>
              <w:rPr>
                <w:spacing w:val="-10"/>
                <w:sz w:val="24"/>
              </w:rPr>
              <w:t>1</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61" w:lineRule="exact" w:before="271"/>
              <w:ind w:left="50"/>
              <w:rPr>
                <w:sz w:val="24"/>
              </w:rPr>
            </w:pPr>
            <w:r>
              <w:rPr>
                <w:spacing w:val="-2"/>
                <w:sz w:val="24"/>
              </w:rPr>
              <w:t>387.931</w:t>
            </w:r>
          </w:p>
        </w:tc>
        <w:tc>
          <w:tcPr>
            <w:tcW w:w="1022" w:type="dxa"/>
          </w:tcPr>
          <w:p>
            <w:pPr>
              <w:pStyle w:val="TableParagraph"/>
              <w:spacing w:line="271" w:lineRule="exact"/>
              <w:ind w:left="121"/>
              <w:rPr>
                <w:sz w:val="24"/>
              </w:rPr>
            </w:pPr>
            <w:r>
              <w:rPr>
                <w:spacing w:val="-2"/>
                <w:sz w:val="24"/>
              </w:rPr>
              <w:t>0.38793</w:t>
            </w:r>
          </w:p>
          <w:p>
            <w:pPr>
              <w:pStyle w:val="TableParagraph"/>
              <w:spacing w:line="261" w:lineRule="exact"/>
              <w:ind w:left="121"/>
              <w:rPr>
                <w:sz w:val="24"/>
              </w:rPr>
            </w:pPr>
            <w:r>
              <w:rPr>
                <w:spacing w:val="-10"/>
                <w:sz w:val="24"/>
              </w:rPr>
              <w:t>1</w:t>
            </w:r>
          </w:p>
        </w:tc>
        <w:tc>
          <w:tcPr>
            <w:tcW w:w="742" w:type="dxa"/>
          </w:tcPr>
          <w:p>
            <w:pPr>
              <w:pStyle w:val="TableParagraph"/>
              <w:spacing w:line="261" w:lineRule="exact" w:before="271"/>
              <w:ind w:left="122"/>
              <w:rPr>
                <w:sz w:val="24"/>
              </w:rPr>
            </w:pPr>
            <w:r>
              <w:rPr>
                <w:spacing w:val="-5"/>
                <w:sz w:val="24"/>
              </w:rPr>
              <w:t>100</w:t>
            </w:r>
          </w:p>
        </w:tc>
        <w:tc>
          <w:tcPr>
            <w:tcW w:w="1162" w:type="dxa"/>
          </w:tcPr>
          <w:p>
            <w:pPr>
              <w:pStyle w:val="TableParagraph"/>
              <w:spacing w:line="271" w:lineRule="exact"/>
              <w:ind w:left="263"/>
              <w:rPr>
                <w:sz w:val="24"/>
              </w:rPr>
            </w:pPr>
            <w:r>
              <w:rPr>
                <w:spacing w:val="-2"/>
                <w:sz w:val="24"/>
              </w:rPr>
              <w:t>0.73827</w:t>
            </w:r>
          </w:p>
          <w:p>
            <w:pPr>
              <w:pStyle w:val="TableParagraph"/>
              <w:spacing w:line="261" w:lineRule="exact"/>
              <w:ind w:left="263"/>
              <w:rPr>
                <w:sz w:val="24"/>
              </w:rPr>
            </w:pPr>
            <w:r>
              <w:rPr>
                <w:spacing w:val="-10"/>
                <w:sz w:val="24"/>
              </w:rPr>
              <w:t>6</w:t>
            </w:r>
          </w:p>
        </w:tc>
        <w:tc>
          <w:tcPr>
            <w:tcW w:w="681" w:type="dxa"/>
          </w:tcPr>
          <w:p>
            <w:pPr>
              <w:pStyle w:val="TableParagraph"/>
              <w:spacing w:line="261"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3.6913793</w:t>
            </w:r>
          </w:p>
          <w:p>
            <w:pPr>
              <w:pStyle w:val="TableParagraph"/>
              <w:spacing w:line="261" w:lineRule="exact"/>
              <w:ind w:left="324"/>
              <w:rPr>
                <w:sz w:val="24"/>
              </w:rPr>
            </w:pPr>
            <w:r>
              <w:rPr>
                <w:spacing w:val="-10"/>
                <w:sz w:val="24"/>
              </w:rPr>
              <w:t>1</w:t>
            </w:r>
          </w:p>
        </w:tc>
        <w:tc>
          <w:tcPr>
            <w:tcW w:w="1021" w:type="dxa"/>
          </w:tcPr>
          <w:p>
            <w:pPr>
              <w:pStyle w:val="TableParagraph"/>
              <w:spacing w:line="271" w:lineRule="exact"/>
              <w:ind w:left="112"/>
              <w:rPr>
                <w:sz w:val="24"/>
              </w:rPr>
            </w:pPr>
            <w:r>
              <w:rPr>
                <w:spacing w:val="-2"/>
                <w:sz w:val="24"/>
              </w:rPr>
              <w:t>30.3637</w:t>
            </w:r>
          </w:p>
          <w:p>
            <w:pPr>
              <w:pStyle w:val="TableParagraph"/>
              <w:spacing w:line="261" w:lineRule="exact"/>
              <w:ind w:left="112"/>
              <w:rPr>
                <w:sz w:val="24"/>
              </w:rPr>
            </w:pPr>
            <w:r>
              <w:rPr>
                <w:spacing w:val="-10"/>
                <w:sz w:val="24"/>
              </w:rPr>
              <w:t>9</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4" w:hRule="atLeast"/>
        </w:trPr>
        <w:tc>
          <w:tcPr>
            <w:tcW w:w="951" w:type="dxa"/>
          </w:tcPr>
          <w:p>
            <w:pPr>
              <w:pStyle w:val="TableParagraph"/>
              <w:spacing w:line="271" w:lineRule="exact"/>
              <w:ind w:left="50"/>
              <w:rPr>
                <w:sz w:val="24"/>
              </w:rPr>
            </w:pPr>
            <w:r>
              <w:rPr>
                <w:spacing w:val="-2"/>
                <w:sz w:val="24"/>
              </w:rPr>
              <w:t>402.413</w:t>
            </w:r>
          </w:p>
          <w:p>
            <w:pPr>
              <w:pStyle w:val="TableParagraph"/>
              <w:spacing w:line="264" w:lineRule="exact"/>
              <w:ind w:left="50"/>
              <w:rPr>
                <w:sz w:val="24"/>
              </w:rPr>
            </w:pPr>
            <w:r>
              <w:rPr>
                <w:spacing w:val="-10"/>
                <w:sz w:val="24"/>
              </w:rPr>
              <w:t>8</w:t>
            </w:r>
          </w:p>
        </w:tc>
        <w:tc>
          <w:tcPr>
            <w:tcW w:w="1022" w:type="dxa"/>
          </w:tcPr>
          <w:p>
            <w:pPr>
              <w:pStyle w:val="TableParagraph"/>
              <w:spacing w:line="271" w:lineRule="exact"/>
              <w:ind w:left="121"/>
              <w:rPr>
                <w:sz w:val="24"/>
              </w:rPr>
            </w:pPr>
            <w:r>
              <w:rPr>
                <w:spacing w:val="-2"/>
                <w:sz w:val="24"/>
              </w:rPr>
              <w:t>0.40241</w:t>
            </w:r>
          </w:p>
          <w:p>
            <w:pPr>
              <w:pStyle w:val="TableParagraph"/>
              <w:spacing w:line="264" w:lineRule="exact"/>
              <w:ind w:left="121"/>
              <w:rPr>
                <w:sz w:val="24"/>
              </w:rPr>
            </w:pPr>
            <w:r>
              <w:rPr>
                <w:spacing w:val="-10"/>
                <w:sz w:val="24"/>
              </w:rPr>
              <w:t>4</w:t>
            </w:r>
          </w:p>
        </w:tc>
        <w:tc>
          <w:tcPr>
            <w:tcW w:w="742" w:type="dxa"/>
          </w:tcPr>
          <w:p>
            <w:pPr>
              <w:pStyle w:val="TableParagraph"/>
              <w:spacing w:line="264" w:lineRule="exact" w:before="271"/>
              <w:ind w:left="122"/>
              <w:rPr>
                <w:sz w:val="24"/>
              </w:rPr>
            </w:pPr>
            <w:r>
              <w:rPr>
                <w:spacing w:val="-5"/>
                <w:sz w:val="24"/>
              </w:rPr>
              <w:t>110</w:t>
            </w:r>
          </w:p>
        </w:tc>
        <w:tc>
          <w:tcPr>
            <w:tcW w:w="1162" w:type="dxa"/>
          </w:tcPr>
          <w:p>
            <w:pPr>
              <w:pStyle w:val="TableParagraph"/>
              <w:spacing w:line="271" w:lineRule="exact"/>
              <w:ind w:left="263"/>
              <w:rPr>
                <w:sz w:val="24"/>
              </w:rPr>
            </w:pPr>
            <w:r>
              <w:rPr>
                <w:spacing w:val="-2"/>
                <w:sz w:val="24"/>
              </w:rPr>
              <w:t>0.79034</w:t>
            </w:r>
          </w:p>
          <w:p>
            <w:pPr>
              <w:pStyle w:val="TableParagraph"/>
              <w:spacing w:line="264" w:lineRule="exact"/>
              <w:ind w:left="263"/>
              <w:rPr>
                <w:sz w:val="24"/>
              </w:rPr>
            </w:pPr>
            <w:r>
              <w:rPr>
                <w:spacing w:val="-10"/>
                <w:sz w:val="24"/>
              </w:rPr>
              <w:t>5</w:t>
            </w:r>
          </w:p>
        </w:tc>
        <w:tc>
          <w:tcPr>
            <w:tcW w:w="681" w:type="dxa"/>
          </w:tcPr>
          <w:p>
            <w:pPr>
              <w:pStyle w:val="TableParagraph"/>
              <w:spacing w:line="264" w:lineRule="exact" w:before="271"/>
              <w:ind w:left="123"/>
              <w:rPr>
                <w:sz w:val="24"/>
              </w:rPr>
            </w:pPr>
            <w:r>
              <w:rPr>
                <w:spacing w:val="-5"/>
                <w:sz w:val="24"/>
              </w:rPr>
              <w:t>10</w:t>
            </w:r>
          </w:p>
        </w:tc>
        <w:tc>
          <w:tcPr>
            <w:tcW w:w="1450" w:type="dxa"/>
          </w:tcPr>
          <w:p>
            <w:pPr>
              <w:pStyle w:val="TableParagraph"/>
              <w:spacing w:line="271" w:lineRule="exact"/>
              <w:ind w:left="324"/>
              <w:rPr>
                <w:sz w:val="24"/>
              </w:rPr>
            </w:pPr>
            <w:r>
              <w:rPr>
                <w:spacing w:val="-2"/>
                <w:sz w:val="24"/>
              </w:rPr>
              <w:t>3.9517241</w:t>
            </w:r>
          </w:p>
          <w:p>
            <w:pPr>
              <w:pStyle w:val="TableParagraph"/>
              <w:spacing w:line="264" w:lineRule="exact"/>
              <w:ind w:left="324"/>
              <w:rPr>
                <w:sz w:val="24"/>
              </w:rPr>
            </w:pPr>
            <w:r>
              <w:rPr>
                <w:spacing w:val="-10"/>
                <w:sz w:val="24"/>
              </w:rPr>
              <w:t>4</w:t>
            </w:r>
          </w:p>
        </w:tc>
        <w:tc>
          <w:tcPr>
            <w:tcW w:w="1021" w:type="dxa"/>
          </w:tcPr>
          <w:p>
            <w:pPr>
              <w:pStyle w:val="TableParagraph"/>
              <w:spacing w:line="271" w:lineRule="exact"/>
              <w:ind w:left="112"/>
              <w:rPr>
                <w:sz w:val="24"/>
              </w:rPr>
            </w:pPr>
            <w:r>
              <w:rPr>
                <w:spacing w:val="-2"/>
                <w:sz w:val="24"/>
              </w:rPr>
              <w:t>34.3155</w:t>
            </w:r>
          </w:p>
          <w:p>
            <w:pPr>
              <w:pStyle w:val="TableParagraph"/>
              <w:spacing w:line="264" w:lineRule="exact"/>
              <w:ind w:left="112"/>
              <w:rPr>
                <w:sz w:val="24"/>
              </w:rPr>
            </w:pPr>
            <w:r>
              <w:rPr>
                <w:spacing w:val="-10"/>
                <w:sz w:val="24"/>
              </w:rPr>
              <w:t>2</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r>
        <w:trPr>
          <w:trHeight w:val="552" w:hRule="atLeast"/>
        </w:trPr>
        <w:tc>
          <w:tcPr>
            <w:tcW w:w="951" w:type="dxa"/>
          </w:tcPr>
          <w:p>
            <w:pPr>
              <w:pStyle w:val="TableParagraph"/>
              <w:spacing w:line="268" w:lineRule="exact"/>
              <w:ind w:left="50"/>
              <w:rPr>
                <w:sz w:val="24"/>
              </w:rPr>
            </w:pPr>
            <w:r>
              <w:rPr>
                <w:spacing w:val="-2"/>
                <w:sz w:val="24"/>
              </w:rPr>
              <w:t>402.758</w:t>
            </w:r>
          </w:p>
          <w:p>
            <w:pPr>
              <w:pStyle w:val="TableParagraph"/>
              <w:spacing w:line="264" w:lineRule="exact"/>
              <w:ind w:left="50"/>
              <w:rPr>
                <w:sz w:val="24"/>
              </w:rPr>
            </w:pPr>
            <w:r>
              <w:rPr>
                <w:spacing w:val="-10"/>
                <w:sz w:val="24"/>
              </w:rPr>
              <w:t>6</w:t>
            </w:r>
          </w:p>
        </w:tc>
        <w:tc>
          <w:tcPr>
            <w:tcW w:w="1022" w:type="dxa"/>
          </w:tcPr>
          <w:p>
            <w:pPr>
              <w:pStyle w:val="TableParagraph"/>
              <w:spacing w:line="268" w:lineRule="exact"/>
              <w:ind w:left="121"/>
              <w:rPr>
                <w:sz w:val="24"/>
              </w:rPr>
            </w:pPr>
            <w:r>
              <w:rPr>
                <w:spacing w:val="-2"/>
                <w:sz w:val="24"/>
              </w:rPr>
              <w:t>0.40275</w:t>
            </w:r>
          </w:p>
          <w:p>
            <w:pPr>
              <w:pStyle w:val="TableParagraph"/>
              <w:spacing w:line="264" w:lineRule="exact"/>
              <w:ind w:left="121"/>
              <w:rPr>
                <w:sz w:val="24"/>
              </w:rPr>
            </w:pPr>
            <w:r>
              <w:rPr>
                <w:spacing w:val="-10"/>
                <w:sz w:val="24"/>
              </w:rPr>
              <w:t>9</w:t>
            </w:r>
          </w:p>
        </w:tc>
        <w:tc>
          <w:tcPr>
            <w:tcW w:w="742" w:type="dxa"/>
          </w:tcPr>
          <w:p>
            <w:pPr>
              <w:pStyle w:val="TableParagraph"/>
              <w:spacing w:line="264" w:lineRule="exact" w:before="268"/>
              <w:ind w:left="122"/>
              <w:rPr>
                <w:sz w:val="24"/>
              </w:rPr>
            </w:pPr>
            <w:r>
              <w:rPr>
                <w:spacing w:val="-5"/>
                <w:sz w:val="24"/>
              </w:rPr>
              <w:t>120</w:t>
            </w:r>
          </w:p>
        </w:tc>
        <w:tc>
          <w:tcPr>
            <w:tcW w:w="1162" w:type="dxa"/>
          </w:tcPr>
          <w:p>
            <w:pPr>
              <w:pStyle w:val="TableParagraph"/>
              <w:spacing w:line="268" w:lineRule="exact"/>
              <w:ind w:left="263"/>
              <w:rPr>
                <w:sz w:val="24"/>
              </w:rPr>
            </w:pPr>
            <w:r>
              <w:rPr>
                <w:spacing w:val="-2"/>
                <w:sz w:val="24"/>
              </w:rPr>
              <w:t>0.80517</w:t>
            </w:r>
          </w:p>
          <w:p>
            <w:pPr>
              <w:pStyle w:val="TableParagraph"/>
              <w:spacing w:line="264" w:lineRule="exact"/>
              <w:ind w:left="263"/>
              <w:rPr>
                <w:sz w:val="24"/>
              </w:rPr>
            </w:pPr>
            <w:r>
              <w:rPr>
                <w:spacing w:val="-10"/>
                <w:sz w:val="24"/>
              </w:rPr>
              <w:t>2</w:t>
            </w:r>
          </w:p>
        </w:tc>
        <w:tc>
          <w:tcPr>
            <w:tcW w:w="681" w:type="dxa"/>
          </w:tcPr>
          <w:p>
            <w:pPr>
              <w:pStyle w:val="TableParagraph"/>
              <w:spacing w:line="264" w:lineRule="exact" w:before="268"/>
              <w:ind w:left="123"/>
              <w:rPr>
                <w:sz w:val="24"/>
              </w:rPr>
            </w:pPr>
            <w:r>
              <w:rPr>
                <w:spacing w:val="-5"/>
                <w:sz w:val="24"/>
              </w:rPr>
              <w:t>10</w:t>
            </w:r>
          </w:p>
        </w:tc>
        <w:tc>
          <w:tcPr>
            <w:tcW w:w="1450" w:type="dxa"/>
          </w:tcPr>
          <w:p>
            <w:pPr>
              <w:pStyle w:val="TableParagraph"/>
              <w:spacing w:line="268" w:lineRule="exact"/>
              <w:ind w:left="324"/>
              <w:rPr>
                <w:sz w:val="24"/>
              </w:rPr>
            </w:pPr>
            <w:r>
              <w:rPr>
                <w:spacing w:val="-2"/>
                <w:sz w:val="24"/>
              </w:rPr>
              <w:t>4.0258620</w:t>
            </w:r>
          </w:p>
          <w:p>
            <w:pPr>
              <w:pStyle w:val="TableParagraph"/>
              <w:spacing w:line="264" w:lineRule="exact"/>
              <w:ind w:left="324"/>
              <w:rPr>
                <w:sz w:val="24"/>
              </w:rPr>
            </w:pPr>
            <w:r>
              <w:rPr>
                <w:spacing w:val="-10"/>
                <w:sz w:val="24"/>
              </w:rPr>
              <w:t>7</w:t>
            </w:r>
          </w:p>
        </w:tc>
        <w:tc>
          <w:tcPr>
            <w:tcW w:w="1021" w:type="dxa"/>
            <w:shd w:val="clear" w:color="auto" w:fill="FFFF00"/>
          </w:tcPr>
          <w:p>
            <w:pPr>
              <w:pStyle w:val="TableParagraph"/>
              <w:spacing w:line="268" w:lineRule="exact"/>
              <w:ind w:left="112"/>
              <w:rPr>
                <w:sz w:val="24"/>
              </w:rPr>
            </w:pPr>
            <w:r>
              <w:rPr>
                <w:spacing w:val="-2"/>
                <w:sz w:val="24"/>
              </w:rPr>
              <w:t>38.3413</w:t>
            </w:r>
          </w:p>
          <w:p>
            <w:pPr>
              <w:pStyle w:val="TableParagraph"/>
              <w:spacing w:line="264" w:lineRule="exact"/>
              <w:ind w:left="112"/>
              <w:rPr>
                <w:sz w:val="24"/>
              </w:rPr>
            </w:pPr>
            <w:r>
              <w:rPr>
                <w:spacing w:val="-10"/>
                <w:sz w:val="24"/>
              </w:rPr>
              <w:t>8</w:t>
            </w:r>
          </w:p>
        </w:tc>
        <w:tc>
          <w:tcPr>
            <w:tcW w:w="880" w:type="dxa"/>
          </w:tcPr>
          <w:p>
            <w:pPr>
              <w:pStyle w:val="TableParagraph"/>
              <w:spacing w:line="240" w:lineRule="auto"/>
              <w:rPr>
                <w:sz w:val="24"/>
              </w:rPr>
            </w:pPr>
          </w:p>
        </w:tc>
        <w:tc>
          <w:tcPr>
            <w:tcW w:w="882" w:type="dxa"/>
          </w:tcPr>
          <w:p>
            <w:pPr>
              <w:pStyle w:val="TableParagraph"/>
              <w:spacing w:line="240" w:lineRule="auto"/>
              <w:rPr>
                <w:sz w:val="24"/>
              </w:rPr>
            </w:pPr>
          </w:p>
        </w:tc>
      </w:tr>
    </w:tbl>
    <w:sectPr>
      <w:type w:val="continuous"/>
      <w:pgSz w:w="12240" w:h="15840"/>
      <w:pgMar w:header="0" w:footer="1068" w:top="1600" w:bottom="1260" w:left="142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71200">
              <wp:simplePos x="0" y="0"/>
              <wp:positionH relativeFrom="page">
                <wp:posOffset>3719195</wp:posOffset>
              </wp:positionH>
              <wp:positionV relativeFrom="page">
                <wp:posOffset>9240553</wp:posOffset>
              </wp:positionV>
              <wp:extent cx="2927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850006pt;margin-top:727.602661pt;width:23.05pt;height:15.3pt;mso-position-horizontal-relative:page;mso-position-vertical-relative:page;z-index:-19745280"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71712">
              <wp:simplePos x="0" y="0"/>
              <wp:positionH relativeFrom="page">
                <wp:posOffset>3801490</wp:posOffset>
              </wp:positionH>
              <wp:positionV relativeFrom="page">
                <wp:posOffset>9240553</wp:posOffset>
              </wp:positionV>
              <wp:extent cx="24130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9.329987pt;margin-top:727.602661pt;width:19pt;height:15.3pt;mso-position-horizontal-relative:page;mso-position-vertical-relative:page;z-index:-19744768" type="#_x0000_t202" id="docshape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72224">
              <wp:simplePos x="0" y="0"/>
              <wp:positionH relativeFrom="page">
                <wp:posOffset>3763390</wp:posOffset>
              </wp:positionH>
              <wp:positionV relativeFrom="page">
                <wp:posOffset>9240553</wp:posOffset>
              </wp:positionV>
              <wp:extent cx="317500"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96.329987pt;margin-top:727.602661pt;width:25pt;height:15.3pt;mso-position-horizontal-relative:page;mso-position-vertical-relative:page;z-index:-19744256" type="#_x0000_t202" id="docshape3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7"/>
      <w:numFmt w:val="decimal"/>
      <w:lvlText w:val="%1"/>
      <w:lvlJc w:val="left"/>
      <w:pPr>
        <w:ind w:left="2408" w:hanging="360"/>
        <w:jc w:val="left"/>
      </w:pPr>
      <w:rPr>
        <w:rFonts w:hint="default"/>
        <w:lang w:val="en-US" w:eastAsia="en-US" w:bidi="ar-SA"/>
      </w:rPr>
    </w:lvl>
    <w:lvl w:ilvl="1">
      <w:start w:val="3"/>
      <w:numFmt w:val="decimal"/>
      <w:lvlText w:val="%1.%2"/>
      <w:lvlJc w:val="left"/>
      <w:pPr>
        <w:ind w:left="2408"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996" w:hanging="360"/>
      </w:pPr>
      <w:rPr>
        <w:rFonts w:hint="default"/>
        <w:lang w:val="en-US" w:eastAsia="en-US" w:bidi="ar-SA"/>
      </w:rPr>
    </w:lvl>
    <w:lvl w:ilvl="3">
      <w:start w:val="0"/>
      <w:numFmt w:val="bullet"/>
      <w:lvlText w:val="•"/>
      <w:lvlJc w:val="left"/>
      <w:pPr>
        <w:ind w:left="4794" w:hanging="360"/>
      </w:pPr>
      <w:rPr>
        <w:rFonts w:hint="default"/>
        <w:lang w:val="en-US" w:eastAsia="en-US" w:bidi="ar-SA"/>
      </w:rPr>
    </w:lvl>
    <w:lvl w:ilvl="4">
      <w:start w:val="0"/>
      <w:numFmt w:val="bullet"/>
      <w:lvlText w:val="•"/>
      <w:lvlJc w:val="left"/>
      <w:pPr>
        <w:ind w:left="5592"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188" w:hanging="360"/>
      </w:pPr>
      <w:rPr>
        <w:rFonts w:hint="default"/>
        <w:lang w:val="en-US" w:eastAsia="en-US" w:bidi="ar-SA"/>
      </w:rPr>
    </w:lvl>
    <w:lvl w:ilvl="7">
      <w:start w:val="0"/>
      <w:numFmt w:val="bullet"/>
      <w:lvlText w:val="•"/>
      <w:lvlJc w:val="left"/>
      <w:pPr>
        <w:ind w:left="7986" w:hanging="360"/>
      </w:pPr>
      <w:rPr>
        <w:rFonts w:hint="default"/>
        <w:lang w:val="en-US" w:eastAsia="en-US" w:bidi="ar-SA"/>
      </w:rPr>
    </w:lvl>
    <w:lvl w:ilvl="8">
      <w:start w:val="0"/>
      <w:numFmt w:val="bullet"/>
      <w:lvlText w:val="•"/>
      <w:lvlJc w:val="left"/>
      <w:pPr>
        <w:ind w:left="8784" w:hanging="360"/>
      </w:pPr>
      <w:rPr>
        <w:rFonts w:hint="default"/>
        <w:lang w:val="en-US" w:eastAsia="en-US" w:bidi="ar-SA"/>
      </w:rPr>
    </w:lvl>
  </w:abstractNum>
  <w:abstractNum w:abstractNumId="28">
    <w:multiLevelType w:val="hybridMultilevel"/>
    <w:lvl w:ilvl="0">
      <w:start w:val="7"/>
      <w:numFmt w:val="decimal"/>
      <w:lvlText w:val="%1"/>
      <w:lvlJc w:val="left"/>
      <w:pPr>
        <w:ind w:left="1071" w:hanging="360"/>
        <w:jc w:val="left"/>
      </w:pPr>
      <w:rPr>
        <w:rFonts w:hint="default"/>
        <w:lang w:val="en-US" w:eastAsia="en-US" w:bidi="ar-SA"/>
      </w:rPr>
    </w:lvl>
    <w:lvl w:ilvl="1">
      <w:start w:val="1"/>
      <w:numFmt w:val="decimal"/>
      <w:lvlText w:val="%1.%2"/>
      <w:lvlJc w:val="left"/>
      <w:pPr>
        <w:ind w:left="1071"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40" w:hanging="360"/>
      </w:pPr>
      <w:rPr>
        <w:rFonts w:hint="default"/>
        <w:lang w:val="en-US" w:eastAsia="en-US" w:bidi="ar-SA"/>
      </w:rPr>
    </w:lvl>
    <w:lvl w:ilvl="3">
      <w:start w:val="0"/>
      <w:numFmt w:val="bullet"/>
      <w:lvlText w:val="•"/>
      <w:lvlJc w:val="left"/>
      <w:pPr>
        <w:ind w:left="387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60"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8520" w:hanging="360"/>
      </w:pPr>
      <w:rPr>
        <w:rFonts w:hint="default"/>
        <w:lang w:val="en-US" w:eastAsia="en-US" w:bidi="ar-SA"/>
      </w:rPr>
    </w:lvl>
  </w:abstractNum>
  <w:abstractNum w:abstractNumId="27">
    <w:multiLevelType w:val="hybridMultilevel"/>
    <w:lvl w:ilvl="0">
      <w:start w:val="7"/>
      <w:numFmt w:val="decimal"/>
      <w:lvlText w:val="%1"/>
      <w:lvlJc w:val="left"/>
      <w:pPr>
        <w:ind w:left="982" w:hanging="363"/>
        <w:jc w:val="left"/>
      </w:pPr>
      <w:rPr>
        <w:rFonts w:hint="default"/>
        <w:lang w:val="en-US" w:eastAsia="en-US" w:bidi="ar-SA"/>
      </w:rPr>
    </w:lvl>
    <w:lvl w:ilvl="1">
      <w:start w:val="1"/>
      <w:numFmt w:val="decimal"/>
      <w:lvlText w:val="%1.%2"/>
      <w:lvlJc w:val="left"/>
      <w:pPr>
        <w:ind w:left="982"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60" w:hanging="363"/>
      </w:pPr>
      <w:rPr>
        <w:rFonts w:hint="default"/>
        <w:lang w:val="en-US" w:eastAsia="en-US" w:bidi="ar-SA"/>
      </w:rPr>
    </w:lvl>
    <w:lvl w:ilvl="3">
      <w:start w:val="0"/>
      <w:numFmt w:val="bullet"/>
      <w:lvlText w:val="•"/>
      <w:lvlJc w:val="left"/>
      <w:pPr>
        <w:ind w:left="3800" w:hanging="363"/>
      </w:pPr>
      <w:rPr>
        <w:rFonts w:hint="default"/>
        <w:lang w:val="en-US" w:eastAsia="en-US" w:bidi="ar-SA"/>
      </w:rPr>
    </w:lvl>
    <w:lvl w:ilvl="4">
      <w:start w:val="0"/>
      <w:numFmt w:val="bullet"/>
      <w:lvlText w:val="•"/>
      <w:lvlJc w:val="left"/>
      <w:pPr>
        <w:ind w:left="4740" w:hanging="363"/>
      </w:pPr>
      <w:rPr>
        <w:rFonts w:hint="default"/>
        <w:lang w:val="en-US" w:eastAsia="en-US" w:bidi="ar-SA"/>
      </w:rPr>
    </w:lvl>
    <w:lvl w:ilvl="5">
      <w:start w:val="0"/>
      <w:numFmt w:val="bullet"/>
      <w:lvlText w:val="•"/>
      <w:lvlJc w:val="left"/>
      <w:pPr>
        <w:ind w:left="5680" w:hanging="363"/>
      </w:pPr>
      <w:rPr>
        <w:rFonts w:hint="default"/>
        <w:lang w:val="en-US" w:eastAsia="en-US" w:bidi="ar-SA"/>
      </w:rPr>
    </w:lvl>
    <w:lvl w:ilvl="6">
      <w:start w:val="0"/>
      <w:numFmt w:val="bullet"/>
      <w:lvlText w:val="•"/>
      <w:lvlJc w:val="left"/>
      <w:pPr>
        <w:ind w:left="6620" w:hanging="363"/>
      </w:pPr>
      <w:rPr>
        <w:rFonts w:hint="default"/>
        <w:lang w:val="en-US" w:eastAsia="en-US" w:bidi="ar-SA"/>
      </w:rPr>
    </w:lvl>
    <w:lvl w:ilvl="7">
      <w:start w:val="0"/>
      <w:numFmt w:val="bullet"/>
      <w:lvlText w:val="•"/>
      <w:lvlJc w:val="left"/>
      <w:pPr>
        <w:ind w:left="7560" w:hanging="363"/>
      </w:pPr>
      <w:rPr>
        <w:rFonts w:hint="default"/>
        <w:lang w:val="en-US" w:eastAsia="en-US" w:bidi="ar-SA"/>
      </w:rPr>
    </w:lvl>
    <w:lvl w:ilvl="8">
      <w:start w:val="0"/>
      <w:numFmt w:val="bullet"/>
      <w:lvlText w:val="•"/>
      <w:lvlJc w:val="left"/>
      <w:pPr>
        <w:ind w:left="8500" w:hanging="363"/>
      </w:pPr>
      <w:rPr>
        <w:rFonts w:hint="default"/>
        <w:lang w:val="en-US" w:eastAsia="en-US" w:bidi="ar-SA"/>
      </w:rPr>
    </w:lvl>
  </w:abstractNum>
  <w:abstractNum w:abstractNumId="26">
    <w:multiLevelType w:val="hybridMultilevel"/>
    <w:lvl w:ilvl="0">
      <w:start w:val="6"/>
      <w:numFmt w:val="decimal"/>
      <w:lvlText w:val="%1"/>
      <w:lvlJc w:val="left"/>
      <w:pPr>
        <w:ind w:left="3978" w:hanging="360"/>
        <w:jc w:val="left"/>
      </w:pPr>
      <w:rPr>
        <w:rFonts w:hint="default"/>
        <w:lang w:val="en-US" w:eastAsia="en-US" w:bidi="ar-SA"/>
      </w:rPr>
    </w:lvl>
    <w:lvl w:ilvl="1">
      <w:start w:val="3"/>
      <w:numFmt w:val="decimal"/>
      <w:lvlText w:val="%1.%2"/>
      <w:lvlJc w:val="left"/>
      <w:pPr>
        <w:ind w:left="3978"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260" w:hanging="360"/>
      </w:pPr>
      <w:rPr>
        <w:rFonts w:hint="default"/>
        <w:lang w:val="en-US" w:eastAsia="en-US" w:bidi="ar-SA"/>
      </w:rPr>
    </w:lvl>
    <w:lvl w:ilvl="3">
      <w:start w:val="0"/>
      <w:numFmt w:val="bullet"/>
      <w:lvlText w:val="•"/>
      <w:lvlJc w:val="left"/>
      <w:pPr>
        <w:ind w:left="5900" w:hanging="360"/>
      </w:pPr>
      <w:rPr>
        <w:rFonts w:hint="default"/>
        <w:lang w:val="en-US" w:eastAsia="en-US" w:bidi="ar-SA"/>
      </w:rPr>
    </w:lvl>
    <w:lvl w:ilvl="4">
      <w:start w:val="0"/>
      <w:numFmt w:val="bullet"/>
      <w:lvlText w:val="•"/>
      <w:lvlJc w:val="left"/>
      <w:pPr>
        <w:ind w:left="6540" w:hanging="360"/>
      </w:pPr>
      <w:rPr>
        <w:rFonts w:hint="default"/>
        <w:lang w:val="en-US" w:eastAsia="en-US" w:bidi="ar-SA"/>
      </w:rPr>
    </w:lvl>
    <w:lvl w:ilvl="5">
      <w:start w:val="0"/>
      <w:numFmt w:val="bullet"/>
      <w:lvlText w:val="•"/>
      <w:lvlJc w:val="left"/>
      <w:pPr>
        <w:ind w:left="7180" w:hanging="360"/>
      </w:pPr>
      <w:rPr>
        <w:rFonts w:hint="default"/>
        <w:lang w:val="en-US" w:eastAsia="en-US" w:bidi="ar-SA"/>
      </w:rPr>
    </w:lvl>
    <w:lvl w:ilvl="6">
      <w:start w:val="0"/>
      <w:numFmt w:val="bullet"/>
      <w:lvlText w:val="•"/>
      <w:lvlJc w:val="left"/>
      <w:pPr>
        <w:ind w:left="7820" w:hanging="360"/>
      </w:pPr>
      <w:rPr>
        <w:rFonts w:hint="default"/>
        <w:lang w:val="en-US" w:eastAsia="en-US" w:bidi="ar-SA"/>
      </w:rPr>
    </w:lvl>
    <w:lvl w:ilvl="7">
      <w:start w:val="0"/>
      <w:numFmt w:val="bullet"/>
      <w:lvlText w:val="•"/>
      <w:lvlJc w:val="left"/>
      <w:pPr>
        <w:ind w:left="8460" w:hanging="360"/>
      </w:pPr>
      <w:rPr>
        <w:rFonts w:hint="default"/>
        <w:lang w:val="en-US" w:eastAsia="en-US" w:bidi="ar-SA"/>
      </w:rPr>
    </w:lvl>
    <w:lvl w:ilvl="8">
      <w:start w:val="0"/>
      <w:numFmt w:val="bullet"/>
      <w:lvlText w:val="•"/>
      <w:lvlJc w:val="left"/>
      <w:pPr>
        <w:ind w:left="9100" w:hanging="360"/>
      </w:pPr>
      <w:rPr>
        <w:rFonts w:hint="default"/>
        <w:lang w:val="en-US" w:eastAsia="en-US" w:bidi="ar-SA"/>
      </w:rPr>
    </w:lvl>
  </w:abstractNum>
  <w:abstractNum w:abstractNumId="25">
    <w:multiLevelType w:val="hybridMultilevel"/>
    <w:lvl w:ilvl="0">
      <w:start w:val="6"/>
      <w:numFmt w:val="decimal"/>
      <w:lvlText w:val="%1"/>
      <w:lvlJc w:val="left"/>
      <w:pPr>
        <w:ind w:left="1894" w:hanging="360"/>
        <w:jc w:val="left"/>
      </w:pPr>
      <w:rPr>
        <w:rFonts w:hint="default"/>
        <w:lang w:val="en-US" w:eastAsia="en-US" w:bidi="ar-SA"/>
      </w:rPr>
    </w:lvl>
    <w:lvl w:ilvl="1">
      <w:start w:val="0"/>
      <w:numFmt w:val="decimal"/>
      <w:lvlText w:val="%1.%2"/>
      <w:lvlJc w:val="left"/>
      <w:pPr>
        <w:ind w:left="1894"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596" w:hanging="360"/>
      </w:pPr>
      <w:rPr>
        <w:rFonts w:hint="default"/>
        <w:lang w:val="en-US" w:eastAsia="en-US" w:bidi="ar-SA"/>
      </w:rPr>
    </w:lvl>
    <w:lvl w:ilvl="3">
      <w:start w:val="0"/>
      <w:numFmt w:val="bullet"/>
      <w:lvlText w:val="•"/>
      <w:lvlJc w:val="left"/>
      <w:pPr>
        <w:ind w:left="444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140" w:hanging="360"/>
      </w:pPr>
      <w:rPr>
        <w:rFonts w:hint="default"/>
        <w:lang w:val="en-US" w:eastAsia="en-US" w:bidi="ar-SA"/>
      </w:rPr>
    </w:lvl>
    <w:lvl w:ilvl="6">
      <w:start w:val="0"/>
      <w:numFmt w:val="bullet"/>
      <w:lvlText w:val="•"/>
      <w:lvlJc w:val="left"/>
      <w:pPr>
        <w:ind w:left="6988" w:hanging="360"/>
      </w:pPr>
      <w:rPr>
        <w:rFonts w:hint="default"/>
        <w:lang w:val="en-US" w:eastAsia="en-US" w:bidi="ar-SA"/>
      </w:rPr>
    </w:lvl>
    <w:lvl w:ilvl="7">
      <w:start w:val="0"/>
      <w:numFmt w:val="bullet"/>
      <w:lvlText w:val="•"/>
      <w:lvlJc w:val="left"/>
      <w:pPr>
        <w:ind w:left="7836" w:hanging="360"/>
      </w:pPr>
      <w:rPr>
        <w:rFonts w:hint="default"/>
        <w:lang w:val="en-US" w:eastAsia="en-US" w:bidi="ar-SA"/>
      </w:rPr>
    </w:lvl>
    <w:lvl w:ilvl="8">
      <w:start w:val="0"/>
      <w:numFmt w:val="bullet"/>
      <w:lvlText w:val="•"/>
      <w:lvlJc w:val="left"/>
      <w:pPr>
        <w:ind w:left="8684" w:hanging="360"/>
      </w:pPr>
      <w:rPr>
        <w:rFonts w:hint="default"/>
        <w:lang w:val="en-US" w:eastAsia="en-US" w:bidi="ar-SA"/>
      </w:rPr>
    </w:lvl>
  </w:abstractNum>
  <w:abstractNum w:abstractNumId="24">
    <w:multiLevelType w:val="hybridMultilevel"/>
    <w:lvl w:ilvl="0">
      <w:start w:val="5"/>
      <w:numFmt w:val="decimal"/>
      <w:lvlText w:val="%1"/>
      <w:lvlJc w:val="left"/>
      <w:pPr>
        <w:ind w:left="3376" w:hanging="360"/>
        <w:jc w:val="left"/>
      </w:pPr>
      <w:rPr>
        <w:rFonts w:hint="default"/>
        <w:lang w:val="en-US" w:eastAsia="en-US" w:bidi="ar-SA"/>
      </w:rPr>
    </w:lvl>
    <w:lvl w:ilvl="1">
      <w:start w:val="3"/>
      <w:numFmt w:val="decimal"/>
      <w:lvlText w:val="%1.%2"/>
      <w:lvlJc w:val="left"/>
      <w:pPr>
        <w:ind w:left="3376"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780" w:hanging="360"/>
      </w:pPr>
      <w:rPr>
        <w:rFonts w:hint="default"/>
        <w:lang w:val="en-US" w:eastAsia="en-US" w:bidi="ar-SA"/>
      </w:rPr>
    </w:lvl>
    <w:lvl w:ilvl="3">
      <w:start w:val="0"/>
      <w:numFmt w:val="bullet"/>
      <w:lvlText w:val="•"/>
      <w:lvlJc w:val="left"/>
      <w:pPr>
        <w:ind w:left="5480" w:hanging="360"/>
      </w:pPr>
      <w:rPr>
        <w:rFonts w:hint="default"/>
        <w:lang w:val="en-US" w:eastAsia="en-US" w:bidi="ar-SA"/>
      </w:rPr>
    </w:lvl>
    <w:lvl w:ilvl="4">
      <w:start w:val="0"/>
      <w:numFmt w:val="bullet"/>
      <w:lvlText w:val="•"/>
      <w:lvlJc w:val="left"/>
      <w:pPr>
        <w:ind w:left="6180" w:hanging="360"/>
      </w:pPr>
      <w:rPr>
        <w:rFonts w:hint="default"/>
        <w:lang w:val="en-US" w:eastAsia="en-US" w:bidi="ar-SA"/>
      </w:rPr>
    </w:lvl>
    <w:lvl w:ilvl="5">
      <w:start w:val="0"/>
      <w:numFmt w:val="bullet"/>
      <w:lvlText w:val="•"/>
      <w:lvlJc w:val="left"/>
      <w:pPr>
        <w:ind w:left="6880" w:hanging="360"/>
      </w:pPr>
      <w:rPr>
        <w:rFonts w:hint="default"/>
        <w:lang w:val="en-US" w:eastAsia="en-US" w:bidi="ar-SA"/>
      </w:rPr>
    </w:lvl>
    <w:lvl w:ilvl="6">
      <w:start w:val="0"/>
      <w:numFmt w:val="bullet"/>
      <w:lvlText w:val="•"/>
      <w:lvlJc w:val="left"/>
      <w:pPr>
        <w:ind w:left="758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8980" w:hanging="360"/>
      </w:pPr>
      <w:rPr>
        <w:rFonts w:hint="default"/>
        <w:lang w:val="en-US" w:eastAsia="en-US" w:bidi="ar-SA"/>
      </w:rPr>
    </w:lvl>
  </w:abstractNum>
  <w:abstractNum w:abstractNumId="23">
    <w:multiLevelType w:val="hybridMultilevel"/>
    <w:lvl w:ilvl="0">
      <w:start w:val="5"/>
      <w:numFmt w:val="decimal"/>
      <w:lvlText w:val="%1"/>
      <w:lvlJc w:val="left"/>
      <w:pPr>
        <w:ind w:left="4283" w:hanging="360"/>
        <w:jc w:val="left"/>
      </w:pPr>
      <w:rPr>
        <w:rFonts w:hint="default"/>
        <w:lang w:val="en-US" w:eastAsia="en-US" w:bidi="ar-SA"/>
      </w:rPr>
    </w:lvl>
    <w:lvl w:ilvl="1">
      <w:start w:val="0"/>
      <w:numFmt w:val="decimal"/>
      <w:lvlText w:val="%1.%2"/>
      <w:lvlJc w:val="left"/>
      <w:pPr>
        <w:ind w:left="4283"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500" w:hanging="360"/>
      </w:pPr>
      <w:rPr>
        <w:rFonts w:hint="default"/>
        <w:lang w:val="en-US" w:eastAsia="en-US" w:bidi="ar-SA"/>
      </w:rPr>
    </w:lvl>
    <w:lvl w:ilvl="3">
      <w:start w:val="0"/>
      <w:numFmt w:val="bullet"/>
      <w:lvlText w:val="•"/>
      <w:lvlJc w:val="left"/>
      <w:pPr>
        <w:ind w:left="6110" w:hanging="360"/>
      </w:pPr>
      <w:rPr>
        <w:rFonts w:hint="default"/>
        <w:lang w:val="en-US" w:eastAsia="en-US" w:bidi="ar-SA"/>
      </w:rPr>
    </w:lvl>
    <w:lvl w:ilvl="4">
      <w:start w:val="0"/>
      <w:numFmt w:val="bullet"/>
      <w:lvlText w:val="•"/>
      <w:lvlJc w:val="left"/>
      <w:pPr>
        <w:ind w:left="6720" w:hanging="360"/>
      </w:pPr>
      <w:rPr>
        <w:rFonts w:hint="default"/>
        <w:lang w:val="en-US" w:eastAsia="en-US" w:bidi="ar-SA"/>
      </w:rPr>
    </w:lvl>
    <w:lvl w:ilvl="5">
      <w:start w:val="0"/>
      <w:numFmt w:val="bullet"/>
      <w:lvlText w:val="•"/>
      <w:lvlJc w:val="left"/>
      <w:pPr>
        <w:ind w:left="7330" w:hanging="360"/>
      </w:pPr>
      <w:rPr>
        <w:rFonts w:hint="default"/>
        <w:lang w:val="en-US" w:eastAsia="en-US" w:bidi="ar-SA"/>
      </w:rPr>
    </w:lvl>
    <w:lvl w:ilvl="6">
      <w:start w:val="0"/>
      <w:numFmt w:val="bullet"/>
      <w:lvlText w:val="•"/>
      <w:lvlJc w:val="left"/>
      <w:pPr>
        <w:ind w:left="7940" w:hanging="360"/>
      </w:pPr>
      <w:rPr>
        <w:rFonts w:hint="default"/>
        <w:lang w:val="en-US" w:eastAsia="en-US" w:bidi="ar-SA"/>
      </w:rPr>
    </w:lvl>
    <w:lvl w:ilvl="7">
      <w:start w:val="0"/>
      <w:numFmt w:val="bullet"/>
      <w:lvlText w:val="•"/>
      <w:lvlJc w:val="left"/>
      <w:pPr>
        <w:ind w:left="8550" w:hanging="360"/>
      </w:pPr>
      <w:rPr>
        <w:rFonts w:hint="default"/>
        <w:lang w:val="en-US" w:eastAsia="en-US" w:bidi="ar-SA"/>
      </w:rPr>
    </w:lvl>
    <w:lvl w:ilvl="8">
      <w:start w:val="0"/>
      <w:numFmt w:val="bullet"/>
      <w:lvlText w:val="•"/>
      <w:lvlJc w:val="left"/>
      <w:pPr>
        <w:ind w:left="9160" w:hanging="360"/>
      </w:pPr>
      <w:rPr>
        <w:rFonts w:hint="default"/>
        <w:lang w:val="en-US" w:eastAsia="en-US" w:bidi="ar-SA"/>
      </w:rPr>
    </w:lvl>
  </w:abstractNum>
  <w:abstractNum w:abstractNumId="22">
    <w:multiLevelType w:val="hybridMultilevel"/>
    <w:lvl w:ilvl="0">
      <w:start w:val="7"/>
      <w:numFmt w:val="decimal"/>
      <w:lvlText w:val="%1"/>
      <w:lvlJc w:val="left"/>
      <w:pPr>
        <w:ind w:left="740" w:hanging="360"/>
        <w:jc w:val="left"/>
      </w:pPr>
      <w:rPr>
        <w:rFonts w:hint="default"/>
        <w:lang w:val="en-US" w:eastAsia="en-US" w:bidi="ar-SA"/>
      </w:rPr>
    </w:lvl>
    <w:lvl w:ilvl="1">
      <w:start w:val="1"/>
      <w:numFmt w:val="decimal"/>
      <w:lvlText w:val="%1.%2"/>
      <w:lvlJc w:val="left"/>
      <w:pPr>
        <w:ind w:left="740" w:hanging="360"/>
        <w:jc w:val="left"/>
      </w:pPr>
      <w:rPr>
        <w:rFonts w:hint="default"/>
        <w:spacing w:val="0"/>
        <w:w w:val="100"/>
        <w:lang w:val="en-US" w:eastAsia="en-US" w:bidi="ar-SA"/>
      </w:rPr>
    </w:lvl>
    <w:lvl w:ilvl="2">
      <w:start w:val="0"/>
      <w:numFmt w:val="bullet"/>
      <w:lvlText w:val="•"/>
      <w:lvlJc w:val="left"/>
      <w:pPr>
        <w:ind w:left="2668" w:hanging="360"/>
      </w:pPr>
      <w:rPr>
        <w:rFonts w:hint="default"/>
        <w:lang w:val="en-US" w:eastAsia="en-US" w:bidi="ar-SA"/>
      </w:rPr>
    </w:lvl>
    <w:lvl w:ilvl="3">
      <w:start w:val="0"/>
      <w:numFmt w:val="bullet"/>
      <w:lvlText w:val="•"/>
      <w:lvlJc w:val="left"/>
      <w:pPr>
        <w:ind w:left="3632" w:hanging="360"/>
      </w:pPr>
      <w:rPr>
        <w:rFonts w:hint="default"/>
        <w:lang w:val="en-US" w:eastAsia="en-US" w:bidi="ar-SA"/>
      </w:rPr>
    </w:lvl>
    <w:lvl w:ilvl="4">
      <w:start w:val="0"/>
      <w:numFmt w:val="bullet"/>
      <w:lvlText w:val="•"/>
      <w:lvlJc w:val="left"/>
      <w:pPr>
        <w:ind w:left="4596" w:hanging="360"/>
      </w:pPr>
      <w:rPr>
        <w:rFonts w:hint="default"/>
        <w:lang w:val="en-US" w:eastAsia="en-US" w:bidi="ar-SA"/>
      </w:rPr>
    </w:lvl>
    <w:lvl w:ilvl="5">
      <w:start w:val="0"/>
      <w:numFmt w:val="bullet"/>
      <w:lvlText w:val="•"/>
      <w:lvlJc w:val="left"/>
      <w:pPr>
        <w:ind w:left="5560" w:hanging="360"/>
      </w:pPr>
      <w:rPr>
        <w:rFonts w:hint="default"/>
        <w:lang w:val="en-US" w:eastAsia="en-US" w:bidi="ar-SA"/>
      </w:rPr>
    </w:lvl>
    <w:lvl w:ilvl="6">
      <w:start w:val="0"/>
      <w:numFmt w:val="bullet"/>
      <w:lvlText w:val="•"/>
      <w:lvlJc w:val="left"/>
      <w:pPr>
        <w:ind w:left="6524" w:hanging="360"/>
      </w:pPr>
      <w:rPr>
        <w:rFonts w:hint="default"/>
        <w:lang w:val="en-US" w:eastAsia="en-US" w:bidi="ar-SA"/>
      </w:rPr>
    </w:lvl>
    <w:lvl w:ilvl="7">
      <w:start w:val="0"/>
      <w:numFmt w:val="bullet"/>
      <w:lvlText w:val="•"/>
      <w:lvlJc w:val="left"/>
      <w:pPr>
        <w:ind w:left="7488" w:hanging="360"/>
      </w:pPr>
      <w:rPr>
        <w:rFonts w:hint="default"/>
        <w:lang w:val="en-US" w:eastAsia="en-US" w:bidi="ar-SA"/>
      </w:rPr>
    </w:lvl>
    <w:lvl w:ilvl="8">
      <w:start w:val="0"/>
      <w:numFmt w:val="bullet"/>
      <w:lvlText w:val="•"/>
      <w:lvlJc w:val="left"/>
      <w:pPr>
        <w:ind w:left="8452" w:hanging="360"/>
      </w:pPr>
      <w:rPr>
        <w:rFonts w:hint="default"/>
        <w:lang w:val="en-US" w:eastAsia="en-US" w:bidi="ar-SA"/>
      </w:rPr>
    </w:lvl>
  </w:abstractNum>
  <w:abstractNum w:abstractNumId="21">
    <w:multiLevelType w:val="hybridMultilevel"/>
    <w:lvl w:ilvl="0">
      <w:start w:val="4"/>
      <w:numFmt w:val="decimal"/>
      <w:lvlText w:val="%1"/>
      <w:lvlJc w:val="left"/>
      <w:pPr>
        <w:ind w:left="4468" w:hanging="360"/>
        <w:jc w:val="left"/>
      </w:pPr>
      <w:rPr>
        <w:rFonts w:hint="default"/>
        <w:lang w:val="en-US" w:eastAsia="en-US" w:bidi="ar-SA"/>
      </w:rPr>
    </w:lvl>
    <w:lvl w:ilvl="1">
      <w:start w:val="0"/>
      <w:numFmt w:val="decimal"/>
      <w:lvlText w:val="%1.%2"/>
      <w:lvlJc w:val="left"/>
      <w:pPr>
        <w:ind w:left="4468"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20" w:hanging="540"/>
        <w:jc w:val="left"/>
      </w:pPr>
      <w:rPr>
        <w:rFonts w:hint="default" w:ascii="Times New Roman" w:hAnsi="Times New Roman" w:eastAsia="Times New Roman" w:cs="Times New Roman"/>
        <w:b/>
        <w:bCs/>
        <w:i w:val="0"/>
        <w:iCs w:val="0"/>
        <w:spacing w:val="-1"/>
        <w:w w:val="96"/>
        <w:sz w:val="24"/>
        <w:szCs w:val="24"/>
        <w:lang w:val="en-US" w:eastAsia="en-US" w:bidi="ar-SA"/>
      </w:rPr>
    </w:lvl>
    <w:lvl w:ilvl="3">
      <w:start w:val="1"/>
      <w:numFmt w:val="decimal"/>
      <w:lvlText w:val="%1.%2.%3.%4"/>
      <w:lvlJc w:val="left"/>
      <w:pPr>
        <w:ind w:left="1100"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1"/>
      <w:numFmt w:val="decimal"/>
      <w:lvlText w:val="%5."/>
      <w:lvlJc w:val="left"/>
      <w:pPr>
        <w:ind w:left="11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6151" w:hanging="360"/>
      </w:pPr>
      <w:rPr>
        <w:rFonts w:hint="default"/>
        <w:lang w:val="en-US" w:eastAsia="en-US" w:bidi="ar-SA"/>
      </w:rPr>
    </w:lvl>
    <w:lvl w:ilvl="6">
      <w:start w:val="0"/>
      <w:numFmt w:val="bullet"/>
      <w:lvlText w:val="•"/>
      <w:lvlJc w:val="left"/>
      <w:pPr>
        <w:ind w:left="6997" w:hanging="360"/>
      </w:pPr>
      <w:rPr>
        <w:rFonts w:hint="default"/>
        <w:lang w:val="en-US" w:eastAsia="en-US" w:bidi="ar-SA"/>
      </w:rPr>
    </w:lvl>
    <w:lvl w:ilvl="7">
      <w:start w:val="0"/>
      <w:numFmt w:val="bullet"/>
      <w:lvlText w:val="•"/>
      <w:lvlJc w:val="left"/>
      <w:pPr>
        <w:ind w:left="7842" w:hanging="360"/>
      </w:pPr>
      <w:rPr>
        <w:rFonts w:hint="default"/>
        <w:lang w:val="en-US" w:eastAsia="en-US" w:bidi="ar-SA"/>
      </w:rPr>
    </w:lvl>
    <w:lvl w:ilvl="8">
      <w:start w:val="0"/>
      <w:numFmt w:val="bullet"/>
      <w:lvlText w:val="•"/>
      <w:lvlJc w:val="left"/>
      <w:pPr>
        <w:ind w:left="8688" w:hanging="360"/>
      </w:pPr>
      <w:rPr>
        <w:rFonts w:hint="default"/>
        <w:lang w:val="en-US" w:eastAsia="en-US" w:bidi="ar-SA"/>
      </w:rPr>
    </w:lvl>
  </w:abstractNum>
  <w:abstractNum w:abstractNumId="20">
    <w:multiLevelType w:val="hybridMultilevel"/>
    <w:lvl w:ilvl="0">
      <w:start w:val="3"/>
      <w:numFmt w:val="decimal"/>
      <w:lvlText w:val="%1"/>
      <w:lvlJc w:val="left"/>
      <w:pPr>
        <w:ind w:left="3421" w:hanging="360"/>
        <w:jc w:val="left"/>
      </w:pPr>
      <w:rPr>
        <w:rFonts w:hint="default"/>
        <w:lang w:val="en-US" w:eastAsia="en-US" w:bidi="ar-SA"/>
      </w:rPr>
    </w:lvl>
    <w:lvl w:ilvl="1">
      <w:start w:val="0"/>
      <w:numFmt w:val="decimal"/>
      <w:lvlText w:val="%1.%2"/>
      <w:lvlJc w:val="left"/>
      <w:pPr>
        <w:ind w:left="3421"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812" w:hanging="360"/>
      </w:pPr>
      <w:rPr>
        <w:rFonts w:hint="default"/>
        <w:lang w:val="en-US" w:eastAsia="en-US" w:bidi="ar-SA"/>
      </w:rPr>
    </w:lvl>
    <w:lvl w:ilvl="3">
      <w:start w:val="0"/>
      <w:numFmt w:val="bullet"/>
      <w:lvlText w:val="•"/>
      <w:lvlJc w:val="left"/>
      <w:pPr>
        <w:ind w:left="5508" w:hanging="360"/>
      </w:pPr>
      <w:rPr>
        <w:rFonts w:hint="default"/>
        <w:lang w:val="en-US" w:eastAsia="en-US" w:bidi="ar-SA"/>
      </w:rPr>
    </w:lvl>
    <w:lvl w:ilvl="4">
      <w:start w:val="0"/>
      <w:numFmt w:val="bullet"/>
      <w:lvlText w:val="•"/>
      <w:lvlJc w:val="left"/>
      <w:pPr>
        <w:ind w:left="6204" w:hanging="360"/>
      </w:pPr>
      <w:rPr>
        <w:rFonts w:hint="default"/>
        <w:lang w:val="en-US" w:eastAsia="en-US" w:bidi="ar-SA"/>
      </w:rPr>
    </w:lvl>
    <w:lvl w:ilvl="5">
      <w:start w:val="0"/>
      <w:numFmt w:val="bullet"/>
      <w:lvlText w:val="•"/>
      <w:lvlJc w:val="left"/>
      <w:pPr>
        <w:ind w:left="6900" w:hanging="360"/>
      </w:pPr>
      <w:rPr>
        <w:rFonts w:hint="default"/>
        <w:lang w:val="en-US" w:eastAsia="en-US" w:bidi="ar-SA"/>
      </w:rPr>
    </w:lvl>
    <w:lvl w:ilvl="6">
      <w:start w:val="0"/>
      <w:numFmt w:val="bullet"/>
      <w:lvlText w:val="•"/>
      <w:lvlJc w:val="left"/>
      <w:pPr>
        <w:ind w:left="7596" w:hanging="360"/>
      </w:pPr>
      <w:rPr>
        <w:rFonts w:hint="default"/>
        <w:lang w:val="en-US" w:eastAsia="en-US" w:bidi="ar-SA"/>
      </w:rPr>
    </w:lvl>
    <w:lvl w:ilvl="7">
      <w:start w:val="0"/>
      <w:numFmt w:val="bullet"/>
      <w:lvlText w:val="•"/>
      <w:lvlJc w:val="left"/>
      <w:pPr>
        <w:ind w:left="8292" w:hanging="360"/>
      </w:pPr>
      <w:rPr>
        <w:rFonts w:hint="default"/>
        <w:lang w:val="en-US" w:eastAsia="en-US" w:bidi="ar-SA"/>
      </w:rPr>
    </w:lvl>
    <w:lvl w:ilvl="8">
      <w:start w:val="0"/>
      <w:numFmt w:val="bullet"/>
      <w:lvlText w:val="•"/>
      <w:lvlJc w:val="left"/>
      <w:pPr>
        <w:ind w:left="8988" w:hanging="360"/>
      </w:pPr>
      <w:rPr>
        <w:rFonts w:hint="default"/>
        <w:lang w:val="en-US" w:eastAsia="en-US" w:bidi="ar-SA"/>
      </w:rPr>
    </w:lvl>
  </w:abstractNum>
  <w:abstractNum w:abstractNumId="19">
    <w:multiLevelType w:val="hybridMultilevel"/>
    <w:lvl w:ilvl="0">
      <w:start w:val="1"/>
      <w:numFmt w:val="lowerRoman"/>
      <w:lvlText w:val="%1."/>
      <w:lvlJc w:val="left"/>
      <w:pPr>
        <w:ind w:left="7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04" w:hanging="360"/>
      </w:pPr>
      <w:rPr>
        <w:rFonts w:hint="default"/>
        <w:lang w:val="en-US" w:eastAsia="en-US" w:bidi="ar-SA"/>
      </w:rPr>
    </w:lvl>
    <w:lvl w:ilvl="2">
      <w:start w:val="0"/>
      <w:numFmt w:val="bullet"/>
      <w:lvlText w:val="•"/>
      <w:lvlJc w:val="left"/>
      <w:pPr>
        <w:ind w:left="2668" w:hanging="360"/>
      </w:pPr>
      <w:rPr>
        <w:rFonts w:hint="default"/>
        <w:lang w:val="en-US" w:eastAsia="en-US" w:bidi="ar-SA"/>
      </w:rPr>
    </w:lvl>
    <w:lvl w:ilvl="3">
      <w:start w:val="0"/>
      <w:numFmt w:val="bullet"/>
      <w:lvlText w:val="•"/>
      <w:lvlJc w:val="left"/>
      <w:pPr>
        <w:ind w:left="3632" w:hanging="360"/>
      </w:pPr>
      <w:rPr>
        <w:rFonts w:hint="default"/>
        <w:lang w:val="en-US" w:eastAsia="en-US" w:bidi="ar-SA"/>
      </w:rPr>
    </w:lvl>
    <w:lvl w:ilvl="4">
      <w:start w:val="0"/>
      <w:numFmt w:val="bullet"/>
      <w:lvlText w:val="•"/>
      <w:lvlJc w:val="left"/>
      <w:pPr>
        <w:ind w:left="4596" w:hanging="360"/>
      </w:pPr>
      <w:rPr>
        <w:rFonts w:hint="default"/>
        <w:lang w:val="en-US" w:eastAsia="en-US" w:bidi="ar-SA"/>
      </w:rPr>
    </w:lvl>
    <w:lvl w:ilvl="5">
      <w:start w:val="0"/>
      <w:numFmt w:val="bullet"/>
      <w:lvlText w:val="•"/>
      <w:lvlJc w:val="left"/>
      <w:pPr>
        <w:ind w:left="5560" w:hanging="360"/>
      </w:pPr>
      <w:rPr>
        <w:rFonts w:hint="default"/>
        <w:lang w:val="en-US" w:eastAsia="en-US" w:bidi="ar-SA"/>
      </w:rPr>
    </w:lvl>
    <w:lvl w:ilvl="6">
      <w:start w:val="0"/>
      <w:numFmt w:val="bullet"/>
      <w:lvlText w:val="•"/>
      <w:lvlJc w:val="left"/>
      <w:pPr>
        <w:ind w:left="6524" w:hanging="360"/>
      </w:pPr>
      <w:rPr>
        <w:rFonts w:hint="default"/>
        <w:lang w:val="en-US" w:eastAsia="en-US" w:bidi="ar-SA"/>
      </w:rPr>
    </w:lvl>
    <w:lvl w:ilvl="7">
      <w:start w:val="0"/>
      <w:numFmt w:val="bullet"/>
      <w:lvlText w:val="•"/>
      <w:lvlJc w:val="left"/>
      <w:pPr>
        <w:ind w:left="7488" w:hanging="360"/>
      </w:pPr>
      <w:rPr>
        <w:rFonts w:hint="default"/>
        <w:lang w:val="en-US" w:eastAsia="en-US" w:bidi="ar-SA"/>
      </w:rPr>
    </w:lvl>
    <w:lvl w:ilvl="8">
      <w:start w:val="0"/>
      <w:numFmt w:val="bullet"/>
      <w:lvlText w:val="•"/>
      <w:lvlJc w:val="left"/>
      <w:pPr>
        <w:ind w:left="8452" w:hanging="360"/>
      </w:pPr>
      <w:rPr>
        <w:rFonts w:hint="default"/>
        <w:lang w:val="en-US" w:eastAsia="en-US" w:bidi="ar-SA"/>
      </w:rPr>
    </w:lvl>
  </w:abstractNum>
  <w:abstractNum w:abstractNumId="18">
    <w:multiLevelType w:val="hybridMultilevel"/>
    <w:lvl w:ilvl="0">
      <w:start w:val="1"/>
      <w:numFmt w:val="decimal"/>
      <w:lvlText w:val="%1."/>
      <w:lvlJc w:val="left"/>
      <w:pPr>
        <w:ind w:left="62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443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00" w:hanging="720"/>
        <w:jc w:val="left"/>
      </w:pPr>
      <w:rPr>
        <w:rFonts w:hint="default"/>
        <w:spacing w:val="0"/>
        <w:w w:val="100"/>
        <w:lang w:val="en-US" w:eastAsia="en-US" w:bidi="ar-SA"/>
      </w:rPr>
    </w:lvl>
    <w:lvl w:ilvl="4">
      <w:start w:val="0"/>
      <w:numFmt w:val="bullet"/>
      <w:lvlText w:val="•"/>
      <w:lvlJc w:val="left"/>
      <w:pPr>
        <w:ind w:left="5288" w:hanging="720"/>
      </w:pPr>
      <w:rPr>
        <w:rFonts w:hint="default"/>
        <w:lang w:val="en-US" w:eastAsia="en-US" w:bidi="ar-SA"/>
      </w:rPr>
    </w:lvl>
    <w:lvl w:ilvl="5">
      <w:start w:val="0"/>
      <w:numFmt w:val="bullet"/>
      <w:lvlText w:val="•"/>
      <w:lvlJc w:val="left"/>
      <w:pPr>
        <w:ind w:left="6137" w:hanging="720"/>
      </w:pPr>
      <w:rPr>
        <w:rFonts w:hint="default"/>
        <w:lang w:val="en-US" w:eastAsia="en-US" w:bidi="ar-SA"/>
      </w:rPr>
    </w:lvl>
    <w:lvl w:ilvl="6">
      <w:start w:val="0"/>
      <w:numFmt w:val="bullet"/>
      <w:lvlText w:val="•"/>
      <w:lvlJc w:val="left"/>
      <w:pPr>
        <w:ind w:left="6985" w:hanging="720"/>
      </w:pPr>
      <w:rPr>
        <w:rFonts w:hint="default"/>
        <w:lang w:val="en-US" w:eastAsia="en-US" w:bidi="ar-SA"/>
      </w:rPr>
    </w:lvl>
    <w:lvl w:ilvl="7">
      <w:start w:val="0"/>
      <w:numFmt w:val="bullet"/>
      <w:lvlText w:val="•"/>
      <w:lvlJc w:val="left"/>
      <w:pPr>
        <w:ind w:left="7834" w:hanging="720"/>
      </w:pPr>
      <w:rPr>
        <w:rFonts w:hint="default"/>
        <w:lang w:val="en-US" w:eastAsia="en-US" w:bidi="ar-SA"/>
      </w:rPr>
    </w:lvl>
    <w:lvl w:ilvl="8">
      <w:start w:val="0"/>
      <w:numFmt w:val="bullet"/>
      <w:lvlText w:val="•"/>
      <w:lvlJc w:val="left"/>
      <w:pPr>
        <w:ind w:left="8682" w:hanging="720"/>
      </w:pPr>
      <w:rPr>
        <w:rFonts w:hint="default"/>
        <w:lang w:val="en-US" w:eastAsia="en-US" w:bidi="ar-SA"/>
      </w:rPr>
    </w:lvl>
  </w:abstractNum>
  <w:abstractNum w:abstractNumId="17">
    <w:multiLevelType w:val="hybridMultilevel"/>
    <w:lvl w:ilvl="0">
      <w:start w:val="2"/>
      <w:numFmt w:val="decimal"/>
      <w:lvlText w:val="%1"/>
      <w:lvlJc w:val="left"/>
      <w:pPr>
        <w:ind w:left="920" w:hanging="540"/>
        <w:jc w:val="left"/>
      </w:pPr>
      <w:rPr>
        <w:rFonts w:hint="default"/>
        <w:lang w:val="en-US" w:eastAsia="en-US" w:bidi="ar-SA"/>
      </w:rPr>
    </w:lvl>
    <w:lvl w:ilvl="1">
      <w:start w:val="5"/>
      <w:numFmt w:val="decimal"/>
      <w:lvlText w:val="%1.%2"/>
      <w:lvlJc w:val="left"/>
      <w:pPr>
        <w:ind w:left="920" w:hanging="540"/>
        <w:jc w:val="left"/>
      </w:pPr>
      <w:rPr>
        <w:rFonts w:hint="default"/>
        <w:lang w:val="en-US" w:eastAsia="en-US" w:bidi="ar-SA"/>
      </w:rPr>
    </w:lvl>
    <w:lvl w:ilvl="2">
      <w:start w:val="1"/>
      <w:numFmt w:val="decimal"/>
      <w:lvlText w:val="%1.%2.%3"/>
      <w:lvlJc w:val="left"/>
      <w:pPr>
        <w:ind w:left="9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00"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193" w:hanging="720"/>
      </w:pPr>
      <w:rPr>
        <w:rFonts w:hint="default"/>
        <w:lang w:val="en-US" w:eastAsia="en-US" w:bidi="ar-SA"/>
      </w:rPr>
    </w:lvl>
    <w:lvl w:ilvl="5">
      <w:start w:val="0"/>
      <w:numFmt w:val="bullet"/>
      <w:lvlText w:val="•"/>
      <w:lvlJc w:val="left"/>
      <w:pPr>
        <w:ind w:left="5224" w:hanging="720"/>
      </w:pPr>
      <w:rPr>
        <w:rFonts w:hint="default"/>
        <w:lang w:val="en-US" w:eastAsia="en-US" w:bidi="ar-SA"/>
      </w:rPr>
    </w:lvl>
    <w:lvl w:ilvl="6">
      <w:start w:val="0"/>
      <w:numFmt w:val="bullet"/>
      <w:lvlText w:val="•"/>
      <w:lvlJc w:val="left"/>
      <w:pPr>
        <w:ind w:left="6255" w:hanging="720"/>
      </w:pPr>
      <w:rPr>
        <w:rFonts w:hint="default"/>
        <w:lang w:val="en-US" w:eastAsia="en-US" w:bidi="ar-SA"/>
      </w:rPr>
    </w:lvl>
    <w:lvl w:ilvl="7">
      <w:start w:val="0"/>
      <w:numFmt w:val="bullet"/>
      <w:lvlText w:val="•"/>
      <w:lvlJc w:val="left"/>
      <w:pPr>
        <w:ind w:left="7286" w:hanging="720"/>
      </w:pPr>
      <w:rPr>
        <w:rFonts w:hint="default"/>
        <w:lang w:val="en-US" w:eastAsia="en-US" w:bidi="ar-SA"/>
      </w:rPr>
    </w:lvl>
    <w:lvl w:ilvl="8">
      <w:start w:val="0"/>
      <w:numFmt w:val="bullet"/>
      <w:lvlText w:val="•"/>
      <w:lvlJc w:val="left"/>
      <w:pPr>
        <w:ind w:left="8317" w:hanging="720"/>
      </w:pPr>
      <w:rPr>
        <w:rFonts w:hint="default"/>
        <w:lang w:val="en-US" w:eastAsia="en-US" w:bidi="ar-SA"/>
      </w:rPr>
    </w:lvl>
  </w:abstractNum>
  <w:abstractNum w:abstractNumId="16">
    <w:multiLevelType w:val="hybridMultilevel"/>
    <w:lvl w:ilvl="0">
      <w:start w:val="2"/>
      <w:numFmt w:val="decimal"/>
      <w:lvlText w:val="%1"/>
      <w:lvlJc w:val="left"/>
      <w:pPr>
        <w:ind w:left="920" w:hanging="540"/>
        <w:jc w:val="left"/>
      </w:pPr>
      <w:rPr>
        <w:rFonts w:hint="default"/>
        <w:lang w:val="en-US" w:eastAsia="en-US" w:bidi="ar-SA"/>
      </w:rPr>
    </w:lvl>
    <w:lvl w:ilvl="1">
      <w:start w:val="4"/>
      <w:numFmt w:val="decimal"/>
      <w:lvlText w:val="%1.%2"/>
      <w:lvlJc w:val="left"/>
      <w:pPr>
        <w:ind w:left="920" w:hanging="540"/>
        <w:jc w:val="left"/>
      </w:pPr>
      <w:rPr>
        <w:rFonts w:hint="default"/>
        <w:lang w:val="en-US" w:eastAsia="en-US" w:bidi="ar-SA"/>
      </w:rPr>
    </w:lvl>
    <w:lvl w:ilvl="2">
      <w:start w:val="4"/>
      <w:numFmt w:val="decimal"/>
      <w:lvlText w:val="%1.%2.%3"/>
      <w:lvlJc w:val="left"/>
      <w:pPr>
        <w:ind w:left="9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58" w:hanging="540"/>
      </w:pPr>
      <w:rPr>
        <w:rFonts w:hint="default"/>
        <w:lang w:val="en-US" w:eastAsia="en-US" w:bidi="ar-SA"/>
      </w:rPr>
    </w:lvl>
    <w:lvl w:ilvl="4">
      <w:start w:val="0"/>
      <w:numFmt w:val="bullet"/>
      <w:lvlText w:val="•"/>
      <w:lvlJc w:val="left"/>
      <w:pPr>
        <w:ind w:left="4704" w:hanging="540"/>
      </w:pPr>
      <w:rPr>
        <w:rFonts w:hint="default"/>
        <w:lang w:val="en-US" w:eastAsia="en-US" w:bidi="ar-SA"/>
      </w:rPr>
    </w:lvl>
    <w:lvl w:ilvl="5">
      <w:start w:val="0"/>
      <w:numFmt w:val="bullet"/>
      <w:lvlText w:val="•"/>
      <w:lvlJc w:val="left"/>
      <w:pPr>
        <w:ind w:left="5650" w:hanging="540"/>
      </w:pPr>
      <w:rPr>
        <w:rFonts w:hint="default"/>
        <w:lang w:val="en-US" w:eastAsia="en-US" w:bidi="ar-SA"/>
      </w:rPr>
    </w:lvl>
    <w:lvl w:ilvl="6">
      <w:start w:val="0"/>
      <w:numFmt w:val="bullet"/>
      <w:lvlText w:val="•"/>
      <w:lvlJc w:val="left"/>
      <w:pPr>
        <w:ind w:left="6596" w:hanging="540"/>
      </w:pPr>
      <w:rPr>
        <w:rFonts w:hint="default"/>
        <w:lang w:val="en-US" w:eastAsia="en-US" w:bidi="ar-SA"/>
      </w:rPr>
    </w:lvl>
    <w:lvl w:ilvl="7">
      <w:start w:val="0"/>
      <w:numFmt w:val="bullet"/>
      <w:lvlText w:val="•"/>
      <w:lvlJc w:val="left"/>
      <w:pPr>
        <w:ind w:left="7542" w:hanging="540"/>
      </w:pPr>
      <w:rPr>
        <w:rFonts w:hint="default"/>
        <w:lang w:val="en-US" w:eastAsia="en-US" w:bidi="ar-SA"/>
      </w:rPr>
    </w:lvl>
    <w:lvl w:ilvl="8">
      <w:start w:val="0"/>
      <w:numFmt w:val="bullet"/>
      <w:lvlText w:val="•"/>
      <w:lvlJc w:val="left"/>
      <w:pPr>
        <w:ind w:left="8488" w:hanging="540"/>
      </w:pPr>
      <w:rPr>
        <w:rFonts w:hint="default"/>
        <w:lang w:val="en-US" w:eastAsia="en-US" w:bidi="ar-SA"/>
      </w:rPr>
    </w:lvl>
  </w:abstractNum>
  <w:abstractNum w:abstractNumId="15">
    <w:multiLevelType w:val="hybridMultilevel"/>
    <w:lvl w:ilvl="0">
      <w:start w:val="2"/>
      <w:numFmt w:val="decimal"/>
      <w:lvlText w:val="%1"/>
      <w:lvlJc w:val="left"/>
      <w:pPr>
        <w:ind w:left="2536" w:hanging="361"/>
        <w:jc w:val="left"/>
      </w:pPr>
      <w:rPr>
        <w:rFonts w:hint="default"/>
        <w:lang w:val="en-US" w:eastAsia="en-US" w:bidi="ar-SA"/>
      </w:rPr>
    </w:lvl>
    <w:lvl w:ilvl="1">
      <w:start w:val="4"/>
      <w:numFmt w:val="decimal"/>
      <w:lvlText w:val="%1.%2"/>
      <w:lvlJc w:val="left"/>
      <w:pPr>
        <w:ind w:left="2536" w:hanging="36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282" w:hanging="600"/>
      </w:pPr>
      <w:rPr>
        <w:rFonts w:hint="default"/>
        <w:lang w:val="en-US" w:eastAsia="en-US" w:bidi="ar-SA"/>
      </w:rPr>
    </w:lvl>
    <w:lvl w:ilvl="4">
      <w:start w:val="0"/>
      <w:numFmt w:val="bullet"/>
      <w:lvlText w:val="•"/>
      <w:lvlJc w:val="left"/>
      <w:pPr>
        <w:ind w:left="5153" w:hanging="600"/>
      </w:pPr>
      <w:rPr>
        <w:rFonts w:hint="default"/>
        <w:lang w:val="en-US" w:eastAsia="en-US" w:bidi="ar-SA"/>
      </w:rPr>
    </w:lvl>
    <w:lvl w:ilvl="5">
      <w:start w:val="0"/>
      <w:numFmt w:val="bullet"/>
      <w:lvlText w:val="•"/>
      <w:lvlJc w:val="left"/>
      <w:pPr>
        <w:ind w:left="6024" w:hanging="600"/>
      </w:pPr>
      <w:rPr>
        <w:rFonts w:hint="default"/>
        <w:lang w:val="en-US" w:eastAsia="en-US" w:bidi="ar-SA"/>
      </w:rPr>
    </w:lvl>
    <w:lvl w:ilvl="6">
      <w:start w:val="0"/>
      <w:numFmt w:val="bullet"/>
      <w:lvlText w:val="•"/>
      <w:lvlJc w:val="left"/>
      <w:pPr>
        <w:ind w:left="6895" w:hanging="600"/>
      </w:pPr>
      <w:rPr>
        <w:rFonts w:hint="default"/>
        <w:lang w:val="en-US" w:eastAsia="en-US" w:bidi="ar-SA"/>
      </w:rPr>
    </w:lvl>
    <w:lvl w:ilvl="7">
      <w:start w:val="0"/>
      <w:numFmt w:val="bullet"/>
      <w:lvlText w:val="•"/>
      <w:lvlJc w:val="left"/>
      <w:pPr>
        <w:ind w:left="7766" w:hanging="600"/>
      </w:pPr>
      <w:rPr>
        <w:rFonts w:hint="default"/>
        <w:lang w:val="en-US" w:eastAsia="en-US" w:bidi="ar-SA"/>
      </w:rPr>
    </w:lvl>
    <w:lvl w:ilvl="8">
      <w:start w:val="0"/>
      <w:numFmt w:val="bullet"/>
      <w:lvlText w:val="•"/>
      <w:lvlJc w:val="left"/>
      <w:pPr>
        <w:ind w:left="8637" w:hanging="600"/>
      </w:pPr>
      <w:rPr>
        <w:rFonts w:hint="default"/>
        <w:lang w:val="en-US" w:eastAsia="en-US" w:bidi="ar-SA"/>
      </w:rPr>
    </w:lvl>
  </w:abstractNum>
  <w:abstractNum w:abstractNumId="14">
    <w:multiLevelType w:val="hybridMultilevel"/>
    <w:lvl w:ilvl="0">
      <w:start w:val="2"/>
      <w:numFmt w:val="decimal"/>
      <w:lvlText w:val="%1"/>
      <w:lvlJc w:val="left"/>
      <w:pPr>
        <w:ind w:left="4415" w:hanging="420"/>
        <w:jc w:val="left"/>
      </w:pPr>
      <w:rPr>
        <w:rFonts w:hint="default"/>
        <w:lang w:val="en-US" w:eastAsia="en-US" w:bidi="ar-SA"/>
      </w:rPr>
    </w:lvl>
    <w:lvl w:ilvl="1">
      <w:start w:val="3"/>
      <w:numFmt w:val="decimal"/>
      <w:lvlText w:val="%1.%2."/>
      <w:lvlJc w:val="left"/>
      <w:pPr>
        <w:ind w:left="4415"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00" w:hanging="720"/>
        <w:jc w:val="left"/>
      </w:pPr>
      <w:rPr>
        <w:rFonts w:hint="default"/>
        <w:spacing w:val="0"/>
        <w:w w:val="100"/>
        <w:lang w:val="en-US" w:eastAsia="en-US" w:bidi="ar-SA"/>
      </w:rPr>
    </w:lvl>
    <w:lvl w:ilvl="4">
      <w:start w:val="0"/>
      <w:numFmt w:val="bullet"/>
      <w:lvlText w:val="•"/>
      <w:lvlJc w:val="left"/>
      <w:pPr>
        <w:ind w:left="5910" w:hanging="720"/>
      </w:pPr>
      <w:rPr>
        <w:rFonts w:hint="default"/>
        <w:lang w:val="en-US" w:eastAsia="en-US" w:bidi="ar-SA"/>
      </w:rPr>
    </w:lvl>
    <w:lvl w:ilvl="5">
      <w:start w:val="0"/>
      <w:numFmt w:val="bullet"/>
      <w:lvlText w:val="•"/>
      <w:lvlJc w:val="left"/>
      <w:pPr>
        <w:ind w:left="6655" w:hanging="720"/>
      </w:pPr>
      <w:rPr>
        <w:rFonts w:hint="default"/>
        <w:lang w:val="en-US" w:eastAsia="en-US" w:bidi="ar-SA"/>
      </w:rPr>
    </w:lvl>
    <w:lvl w:ilvl="6">
      <w:start w:val="0"/>
      <w:numFmt w:val="bullet"/>
      <w:lvlText w:val="•"/>
      <w:lvlJc w:val="left"/>
      <w:pPr>
        <w:ind w:left="7400" w:hanging="720"/>
      </w:pPr>
      <w:rPr>
        <w:rFonts w:hint="default"/>
        <w:lang w:val="en-US" w:eastAsia="en-US" w:bidi="ar-SA"/>
      </w:rPr>
    </w:lvl>
    <w:lvl w:ilvl="7">
      <w:start w:val="0"/>
      <w:numFmt w:val="bullet"/>
      <w:lvlText w:val="•"/>
      <w:lvlJc w:val="left"/>
      <w:pPr>
        <w:ind w:left="8145" w:hanging="720"/>
      </w:pPr>
      <w:rPr>
        <w:rFonts w:hint="default"/>
        <w:lang w:val="en-US" w:eastAsia="en-US" w:bidi="ar-SA"/>
      </w:rPr>
    </w:lvl>
    <w:lvl w:ilvl="8">
      <w:start w:val="0"/>
      <w:numFmt w:val="bullet"/>
      <w:lvlText w:val="•"/>
      <w:lvlJc w:val="left"/>
      <w:pPr>
        <w:ind w:left="8890" w:hanging="720"/>
      </w:pPr>
      <w:rPr>
        <w:rFonts w:hint="default"/>
        <w:lang w:val="en-US" w:eastAsia="en-US" w:bidi="ar-SA"/>
      </w:rPr>
    </w:lvl>
  </w:abstractNum>
  <w:abstractNum w:abstractNumId="13">
    <w:multiLevelType w:val="hybridMultilevel"/>
    <w:lvl w:ilvl="0">
      <w:start w:val="2"/>
      <w:numFmt w:val="decimal"/>
      <w:lvlText w:val="%1"/>
      <w:lvlJc w:val="left"/>
      <w:pPr>
        <w:ind w:left="3693" w:hanging="360"/>
        <w:jc w:val="left"/>
      </w:pPr>
      <w:rPr>
        <w:rFonts w:hint="default"/>
        <w:lang w:val="en-US" w:eastAsia="en-US" w:bidi="ar-SA"/>
      </w:rPr>
    </w:lvl>
    <w:lvl w:ilvl="1">
      <w:start w:val="0"/>
      <w:numFmt w:val="decimal"/>
      <w:lvlText w:val="%1.%2"/>
      <w:lvlJc w:val="left"/>
      <w:pPr>
        <w:ind w:left="3693"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036" w:hanging="360"/>
      </w:pPr>
      <w:rPr>
        <w:rFonts w:hint="default"/>
        <w:lang w:val="en-US" w:eastAsia="en-US" w:bidi="ar-SA"/>
      </w:rPr>
    </w:lvl>
    <w:lvl w:ilvl="3">
      <w:start w:val="0"/>
      <w:numFmt w:val="bullet"/>
      <w:lvlText w:val="•"/>
      <w:lvlJc w:val="left"/>
      <w:pPr>
        <w:ind w:left="5704" w:hanging="360"/>
      </w:pPr>
      <w:rPr>
        <w:rFonts w:hint="default"/>
        <w:lang w:val="en-US" w:eastAsia="en-US" w:bidi="ar-SA"/>
      </w:rPr>
    </w:lvl>
    <w:lvl w:ilvl="4">
      <w:start w:val="0"/>
      <w:numFmt w:val="bullet"/>
      <w:lvlText w:val="•"/>
      <w:lvlJc w:val="left"/>
      <w:pPr>
        <w:ind w:left="6372" w:hanging="360"/>
      </w:pPr>
      <w:rPr>
        <w:rFonts w:hint="default"/>
        <w:lang w:val="en-US" w:eastAsia="en-US" w:bidi="ar-SA"/>
      </w:rPr>
    </w:lvl>
    <w:lvl w:ilvl="5">
      <w:start w:val="0"/>
      <w:numFmt w:val="bullet"/>
      <w:lvlText w:val="•"/>
      <w:lvlJc w:val="left"/>
      <w:pPr>
        <w:ind w:left="7040" w:hanging="360"/>
      </w:pPr>
      <w:rPr>
        <w:rFonts w:hint="default"/>
        <w:lang w:val="en-US" w:eastAsia="en-US" w:bidi="ar-SA"/>
      </w:rPr>
    </w:lvl>
    <w:lvl w:ilvl="6">
      <w:start w:val="0"/>
      <w:numFmt w:val="bullet"/>
      <w:lvlText w:val="•"/>
      <w:lvlJc w:val="left"/>
      <w:pPr>
        <w:ind w:left="7708" w:hanging="360"/>
      </w:pPr>
      <w:rPr>
        <w:rFonts w:hint="default"/>
        <w:lang w:val="en-US" w:eastAsia="en-US" w:bidi="ar-SA"/>
      </w:rPr>
    </w:lvl>
    <w:lvl w:ilvl="7">
      <w:start w:val="0"/>
      <w:numFmt w:val="bullet"/>
      <w:lvlText w:val="•"/>
      <w:lvlJc w:val="left"/>
      <w:pPr>
        <w:ind w:left="837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12">
    <w:multiLevelType w:val="hybridMultilevel"/>
    <w:lvl w:ilvl="0">
      <w:start w:val="1"/>
      <w:numFmt w:val="decimal"/>
      <w:lvlText w:val="%1"/>
      <w:lvlJc w:val="left"/>
      <w:pPr>
        <w:ind w:left="3760" w:hanging="360"/>
        <w:jc w:val="left"/>
      </w:pPr>
      <w:rPr>
        <w:rFonts w:hint="default"/>
        <w:lang w:val="en-US" w:eastAsia="en-US" w:bidi="ar-SA"/>
      </w:rPr>
    </w:lvl>
    <w:lvl w:ilvl="1">
      <w:start w:val="5"/>
      <w:numFmt w:val="decimal"/>
      <w:lvlText w:val="%1.%2"/>
      <w:lvlJc w:val="left"/>
      <w:pPr>
        <w:ind w:left="3760"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2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4."/>
      <w:lvlJc w:val="left"/>
      <w:pPr>
        <w:ind w:left="9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966" w:hanging="360"/>
      </w:pPr>
      <w:rPr>
        <w:rFonts w:hint="default"/>
        <w:lang w:val="en-US" w:eastAsia="en-US" w:bidi="ar-SA"/>
      </w:rPr>
    </w:lvl>
    <w:lvl w:ilvl="5">
      <w:start w:val="0"/>
      <w:numFmt w:val="bullet"/>
      <w:lvlText w:val="•"/>
      <w:lvlJc w:val="left"/>
      <w:pPr>
        <w:ind w:left="6702" w:hanging="360"/>
      </w:pPr>
      <w:rPr>
        <w:rFonts w:hint="default"/>
        <w:lang w:val="en-US" w:eastAsia="en-US" w:bidi="ar-SA"/>
      </w:rPr>
    </w:lvl>
    <w:lvl w:ilvl="6">
      <w:start w:val="0"/>
      <w:numFmt w:val="bullet"/>
      <w:lvlText w:val="•"/>
      <w:lvlJc w:val="left"/>
      <w:pPr>
        <w:ind w:left="7437" w:hanging="360"/>
      </w:pPr>
      <w:rPr>
        <w:rFonts w:hint="default"/>
        <w:lang w:val="en-US" w:eastAsia="en-US" w:bidi="ar-SA"/>
      </w:rPr>
    </w:lvl>
    <w:lvl w:ilvl="7">
      <w:start w:val="0"/>
      <w:numFmt w:val="bullet"/>
      <w:lvlText w:val="•"/>
      <w:lvlJc w:val="left"/>
      <w:pPr>
        <w:ind w:left="8173" w:hanging="360"/>
      </w:pPr>
      <w:rPr>
        <w:rFonts w:hint="default"/>
        <w:lang w:val="en-US" w:eastAsia="en-US" w:bidi="ar-SA"/>
      </w:rPr>
    </w:lvl>
    <w:lvl w:ilvl="8">
      <w:start w:val="0"/>
      <w:numFmt w:val="bullet"/>
      <w:lvlText w:val="•"/>
      <w:lvlJc w:val="left"/>
      <w:pPr>
        <w:ind w:left="8908" w:hanging="360"/>
      </w:pPr>
      <w:rPr>
        <w:rFonts w:hint="default"/>
        <w:lang w:val="en-US" w:eastAsia="en-US" w:bidi="ar-SA"/>
      </w:rPr>
    </w:lvl>
  </w:abstractNum>
  <w:abstractNum w:abstractNumId="11">
    <w:multiLevelType w:val="hybridMultilevel"/>
    <w:lvl w:ilvl="0">
      <w:start w:val="1"/>
      <w:numFmt w:val="decimal"/>
      <w:lvlText w:val="%1"/>
      <w:lvlJc w:val="left"/>
      <w:pPr>
        <w:ind w:left="4055" w:hanging="360"/>
        <w:jc w:val="left"/>
      </w:pPr>
      <w:rPr>
        <w:rFonts w:hint="default"/>
        <w:lang w:val="en-US" w:eastAsia="en-US" w:bidi="ar-SA"/>
      </w:rPr>
    </w:lvl>
    <w:lvl w:ilvl="1">
      <w:start w:val="0"/>
      <w:numFmt w:val="decimal"/>
      <w:lvlText w:val="%1.%2"/>
      <w:lvlJc w:val="left"/>
      <w:pPr>
        <w:ind w:left="4055"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464" w:hanging="540"/>
      </w:pPr>
      <w:rPr>
        <w:rFonts w:hint="default"/>
        <w:lang w:val="en-US" w:eastAsia="en-US" w:bidi="ar-SA"/>
      </w:rPr>
    </w:lvl>
    <w:lvl w:ilvl="4">
      <w:start w:val="0"/>
      <w:numFmt w:val="bullet"/>
      <w:lvlText w:val="•"/>
      <w:lvlJc w:val="left"/>
      <w:pPr>
        <w:ind w:left="6166" w:hanging="540"/>
      </w:pPr>
      <w:rPr>
        <w:rFonts w:hint="default"/>
        <w:lang w:val="en-US" w:eastAsia="en-US" w:bidi="ar-SA"/>
      </w:rPr>
    </w:lvl>
    <w:lvl w:ilvl="5">
      <w:start w:val="0"/>
      <w:numFmt w:val="bullet"/>
      <w:lvlText w:val="•"/>
      <w:lvlJc w:val="left"/>
      <w:pPr>
        <w:ind w:left="6868" w:hanging="540"/>
      </w:pPr>
      <w:rPr>
        <w:rFonts w:hint="default"/>
        <w:lang w:val="en-US" w:eastAsia="en-US" w:bidi="ar-SA"/>
      </w:rPr>
    </w:lvl>
    <w:lvl w:ilvl="6">
      <w:start w:val="0"/>
      <w:numFmt w:val="bullet"/>
      <w:lvlText w:val="•"/>
      <w:lvlJc w:val="left"/>
      <w:pPr>
        <w:ind w:left="7571" w:hanging="540"/>
      </w:pPr>
      <w:rPr>
        <w:rFonts w:hint="default"/>
        <w:lang w:val="en-US" w:eastAsia="en-US" w:bidi="ar-SA"/>
      </w:rPr>
    </w:lvl>
    <w:lvl w:ilvl="7">
      <w:start w:val="0"/>
      <w:numFmt w:val="bullet"/>
      <w:lvlText w:val="•"/>
      <w:lvlJc w:val="left"/>
      <w:pPr>
        <w:ind w:left="8273" w:hanging="540"/>
      </w:pPr>
      <w:rPr>
        <w:rFonts w:hint="default"/>
        <w:lang w:val="en-US" w:eastAsia="en-US" w:bidi="ar-SA"/>
      </w:rPr>
    </w:lvl>
    <w:lvl w:ilvl="8">
      <w:start w:val="0"/>
      <w:numFmt w:val="bullet"/>
      <w:lvlText w:val="•"/>
      <w:lvlJc w:val="left"/>
      <w:pPr>
        <w:ind w:left="8975" w:hanging="540"/>
      </w:pPr>
      <w:rPr>
        <w:rFonts w:hint="default"/>
        <w:lang w:val="en-US" w:eastAsia="en-US" w:bidi="ar-SA"/>
      </w:rPr>
    </w:lvl>
  </w:abstractNum>
  <w:abstractNum w:abstractNumId="10">
    <w:multiLevelType w:val="hybridMultilevel"/>
    <w:lvl w:ilvl="0">
      <w:start w:val="7"/>
      <w:numFmt w:val="decimal"/>
      <w:lvlText w:val="%1"/>
      <w:lvlJc w:val="left"/>
      <w:pPr>
        <w:ind w:left="905" w:hanging="363"/>
        <w:jc w:val="left"/>
      </w:pPr>
      <w:rPr>
        <w:rFonts w:hint="default"/>
        <w:lang w:val="en-US" w:eastAsia="en-US" w:bidi="ar-SA"/>
      </w:rPr>
    </w:lvl>
    <w:lvl w:ilvl="1">
      <w:start w:val="1"/>
      <w:numFmt w:val="decimal"/>
      <w:lvlText w:val="%1.%2"/>
      <w:lvlJc w:val="left"/>
      <w:pPr>
        <w:ind w:left="905"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96" w:hanging="363"/>
      </w:pPr>
      <w:rPr>
        <w:rFonts w:hint="default"/>
        <w:lang w:val="en-US" w:eastAsia="en-US" w:bidi="ar-SA"/>
      </w:rPr>
    </w:lvl>
    <w:lvl w:ilvl="3">
      <w:start w:val="0"/>
      <w:numFmt w:val="bullet"/>
      <w:lvlText w:val="•"/>
      <w:lvlJc w:val="left"/>
      <w:pPr>
        <w:ind w:left="3744" w:hanging="363"/>
      </w:pPr>
      <w:rPr>
        <w:rFonts w:hint="default"/>
        <w:lang w:val="en-US" w:eastAsia="en-US" w:bidi="ar-SA"/>
      </w:rPr>
    </w:lvl>
    <w:lvl w:ilvl="4">
      <w:start w:val="0"/>
      <w:numFmt w:val="bullet"/>
      <w:lvlText w:val="•"/>
      <w:lvlJc w:val="left"/>
      <w:pPr>
        <w:ind w:left="4692" w:hanging="363"/>
      </w:pPr>
      <w:rPr>
        <w:rFonts w:hint="default"/>
        <w:lang w:val="en-US" w:eastAsia="en-US" w:bidi="ar-SA"/>
      </w:rPr>
    </w:lvl>
    <w:lvl w:ilvl="5">
      <w:start w:val="0"/>
      <w:numFmt w:val="bullet"/>
      <w:lvlText w:val="•"/>
      <w:lvlJc w:val="left"/>
      <w:pPr>
        <w:ind w:left="5640" w:hanging="363"/>
      </w:pPr>
      <w:rPr>
        <w:rFonts w:hint="default"/>
        <w:lang w:val="en-US" w:eastAsia="en-US" w:bidi="ar-SA"/>
      </w:rPr>
    </w:lvl>
    <w:lvl w:ilvl="6">
      <w:start w:val="0"/>
      <w:numFmt w:val="bullet"/>
      <w:lvlText w:val="•"/>
      <w:lvlJc w:val="left"/>
      <w:pPr>
        <w:ind w:left="6588" w:hanging="363"/>
      </w:pPr>
      <w:rPr>
        <w:rFonts w:hint="default"/>
        <w:lang w:val="en-US" w:eastAsia="en-US" w:bidi="ar-SA"/>
      </w:rPr>
    </w:lvl>
    <w:lvl w:ilvl="7">
      <w:start w:val="0"/>
      <w:numFmt w:val="bullet"/>
      <w:lvlText w:val="•"/>
      <w:lvlJc w:val="left"/>
      <w:pPr>
        <w:ind w:left="7536" w:hanging="363"/>
      </w:pPr>
      <w:rPr>
        <w:rFonts w:hint="default"/>
        <w:lang w:val="en-US" w:eastAsia="en-US" w:bidi="ar-SA"/>
      </w:rPr>
    </w:lvl>
    <w:lvl w:ilvl="8">
      <w:start w:val="0"/>
      <w:numFmt w:val="bullet"/>
      <w:lvlText w:val="•"/>
      <w:lvlJc w:val="left"/>
      <w:pPr>
        <w:ind w:left="8484" w:hanging="363"/>
      </w:pPr>
      <w:rPr>
        <w:rFonts w:hint="default"/>
        <w:lang w:val="en-US" w:eastAsia="en-US" w:bidi="ar-SA"/>
      </w:rPr>
    </w:lvl>
  </w:abstractNum>
  <w:abstractNum w:abstractNumId="9">
    <w:multiLevelType w:val="hybridMultilevel"/>
    <w:lvl w:ilvl="0">
      <w:start w:val="6"/>
      <w:numFmt w:val="decimal"/>
      <w:lvlText w:val="%1"/>
      <w:lvlJc w:val="left"/>
      <w:pPr>
        <w:ind w:left="752" w:hanging="360"/>
        <w:jc w:val="left"/>
      </w:pPr>
      <w:rPr>
        <w:rFonts w:hint="default"/>
        <w:lang w:val="en-US" w:eastAsia="en-US" w:bidi="ar-SA"/>
      </w:rPr>
    </w:lvl>
    <w:lvl w:ilvl="1">
      <w:start w:val="0"/>
      <w:numFmt w:val="decimal"/>
      <w:lvlText w:val="%1.%2"/>
      <w:lvlJc w:val="left"/>
      <w:pPr>
        <w:ind w:left="752" w:hanging="360"/>
        <w:jc w:val="right"/>
      </w:pPr>
      <w:rPr>
        <w:rFonts w:hint="default"/>
        <w:spacing w:val="0"/>
        <w:w w:val="100"/>
        <w:lang w:val="en-US" w:eastAsia="en-US" w:bidi="ar-SA"/>
      </w:rPr>
    </w:lvl>
    <w:lvl w:ilvl="2">
      <w:start w:val="0"/>
      <w:numFmt w:val="bullet"/>
      <w:lvlText w:val="•"/>
      <w:lvlJc w:val="left"/>
      <w:pPr>
        <w:ind w:left="2684" w:hanging="360"/>
      </w:pPr>
      <w:rPr>
        <w:rFonts w:hint="default"/>
        <w:lang w:val="en-US" w:eastAsia="en-US" w:bidi="ar-SA"/>
      </w:rPr>
    </w:lvl>
    <w:lvl w:ilvl="3">
      <w:start w:val="0"/>
      <w:numFmt w:val="bullet"/>
      <w:lvlText w:val="•"/>
      <w:lvlJc w:val="left"/>
      <w:pPr>
        <w:ind w:left="364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70" w:hanging="360"/>
      </w:pPr>
      <w:rPr>
        <w:rFonts w:hint="default"/>
        <w:lang w:val="en-US" w:eastAsia="en-US" w:bidi="ar-SA"/>
      </w:rPr>
    </w:lvl>
    <w:lvl w:ilvl="6">
      <w:start w:val="0"/>
      <w:numFmt w:val="bullet"/>
      <w:lvlText w:val="•"/>
      <w:lvlJc w:val="left"/>
      <w:pPr>
        <w:ind w:left="6532" w:hanging="360"/>
      </w:pPr>
      <w:rPr>
        <w:rFonts w:hint="default"/>
        <w:lang w:val="en-US" w:eastAsia="en-US" w:bidi="ar-SA"/>
      </w:rPr>
    </w:lvl>
    <w:lvl w:ilvl="7">
      <w:start w:val="0"/>
      <w:numFmt w:val="bullet"/>
      <w:lvlText w:val="•"/>
      <w:lvlJc w:val="left"/>
      <w:pPr>
        <w:ind w:left="7494" w:hanging="360"/>
      </w:pPr>
      <w:rPr>
        <w:rFonts w:hint="default"/>
        <w:lang w:val="en-US" w:eastAsia="en-US" w:bidi="ar-SA"/>
      </w:rPr>
    </w:lvl>
    <w:lvl w:ilvl="8">
      <w:start w:val="0"/>
      <w:numFmt w:val="bullet"/>
      <w:lvlText w:val="•"/>
      <w:lvlJc w:val="left"/>
      <w:pPr>
        <w:ind w:left="8456" w:hanging="360"/>
      </w:pPr>
      <w:rPr>
        <w:rFonts w:hint="default"/>
        <w:lang w:val="en-US" w:eastAsia="en-US" w:bidi="ar-SA"/>
      </w:rPr>
    </w:lvl>
  </w:abstractNum>
  <w:abstractNum w:abstractNumId="8">
    <w:multiLevelType w:val="hybridMultilevel"/>
    <w:lvl w:ilvl="0">
      <w:start w:val="5"/>
      <w:numFmt w:val="decimal"/>
      <w:lvlText w:val="%1"/>
      <w:lvlJc w:val="left"/>
      <w:pPr>
        <w:ind w:left="752" w:hanging="360"/>
        <w:jc w:val="left"/>
      </w:pPr>
      <w:rPr>
        <w:rFonts w:hint="default"/>
        <w:lang w:val="en-US" w:eastAsia="en-US" w:bidi="ar-SA"/>
      </w:rPr>
    </w:lvl>
    <w:lvl w:ilvl="1">
      <w:start w:val="0"/>
      <w:numFmt w:val="decimal"/>
      <w:lvlText w:val="%1.%2"/>
      <w:lvlJc w:val="left"/>
      <w:pPr>
        <w:ind w:left="752" w:hanging="360"/>
        <w:jc w:val="right"/>
      </w:pPr>
      <w:rPr>
        <w:rFonts w:hint="default"/>
        <w:spacing w:val="0"/>
        <w:w w:val="100"/>
        <w:lang w:val="en-US" w:eastAsia="en-US" w:bidi="ar-SA"/>
      </w:rPr>
    </w:lvl>
    <w:lvl w:ilvl="2">
      <w:start w:val="0"/>
      <w:numFmt w:val="bullet"/>
      <w:lvlText w:val="•"/>
      <w:lvlJc w:val="left"/>
      <w:pPr>
        <w:ind w:left="2684" w:hanging="360"/>
      </w:pPr>
      <w:rPr>
        <w:rFonts w:hint="default"/>
        <w:lang w:val="en-US" w:eastAsia="en-US" w:bidi="ar-SA"/>
      </w:rPr>
    </w:lvl>
    <w:lvl w:ilvl="3">
      <w:start w:val="0"/>
      <w:numFmt w:val="bullet"/>
      <w:lvlText w:val="•"/>
      <w:lvlJc w:val="left"/>
      <w:pPr>
        <w:ind w:left="364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70" w:hanging="360"/>
      </w:pPr>
      <w:rPr>
        <w:rFonts w:hint="default"/>
        <w:lang w:val="en-US" w:eastAsia="en-US" w:bidi="ar-SA"/>
      </w:rPr>
    </w:lvl>
    <w:lvl w:ilvl="6">
      <w:start w:val="0"/>
      <w:numFmt w:val="bullet"/>
      <w:lvlText w:val="•"/>
      <w:lvlJc w:val="left"/>
      <w:pPr>
        <w:ind w:left="6532" w:hanging="360"/>
      </w:pPr>
      <w:rPr>
        <w:rFonts w:hint="default"/>
        <w:lang w:val="en-US" w:eastAsia="en-US" w:bidi="ar-SA"/>
      </w:rPr>
    </w:lvl>
    <w:lvl w:ilvl="7">
      <w:start w:val="0"/>
      <w:numFmt w:val="bullet"/>
      <w:lvlText w:val="•"/>
      <w:lvlJc w:val="left"/>
      <w:pPr>
        <w:ind w:left="7494" w:hanging="360"/>
      </w:pPr>
      <w:rPr>
        <w:rFonts w:hint="default"/>
        <w:lang w:val="en-US" w:eastAsia="en-US" w:bidi="ar-SA"/>
      </w:rPr>
    </w:lvl>
    <w:lvl w:ilvl="8">
      <w:start w:val="0"/>
      <w:numFmt w:val="bullet"/>
      <w:lvlText w:val="•"/>
      <w:lvlJc w:val="left"/>
      <w:pPr>
        <w:ind w:left="8456" w:hanging="360"/>
      </w:pPr>
      <w:rPr>
        <w:rFonts w:hint="default"/>
        <w:lang w:val="en-US" w:eastAsia="en-US" w:bidi="ar-SA"/>
      </w:rPr>
    </w:lvl>
  </w:abstractNum>
  <w:abstractNum w:abstractNumId="7">
    <w:multiLevelType w:val="hybridMultilevel"/>
    <w:lvl w:ilvl="0">
      <w:start w:val="4"/>
      <w:numFmt w:val="decimal"/>
      <w:lvlText w:val="%1"/>
      <w:lvlJc w:val="left"/>
      <w:pPr>
        <w:ind w:left="752" w:hanging="360"/>
        <w:jc w:val="left"/>
      </w:pPr>
      <w:rPr>
        <w:rFonts w:hint="default"/>
        <w:lang w:val="en-US" w:eastAsia="en-US" w:bidi="ar-SA"/>
      </w:rPr>
    </w:lvl>
    <w:lvl w:ilvl="1">
      <w:start w:val="0"/>
      <w:numFmt w:val="decimal"/>
      <w:lvlText w:val="%1.%2"/>
      <w:lvlJc w:val="left"/>
      <w:pPr>
        <w:ind w:left="752" w:hanging="360"/>
        <w:jc w:val="right"/>
      </w:pPr>
      <w:rPr>
        <w:rFonts w:hint="default"/>
        <w:spacing w:val="0"/>
        <w:w w:val="100"/>
        <w:lang w:val="en-US" w:eastAsia="en-US" w:bidi="ar-SA"/>
      </w:rPr>
    </w:lvl>
    <w:lvl w:ilvl="2">
      <w:start w:val="1"/>
      <w:numFmt w:val="decimal"/>
      <w:lvlText w:val="%1.%2.%3"/>
      <w:lvlJc w:val="left"/>
      <w:pPr>
        <w:ind w:left="932" w:hanging="540"/>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3">
      <w:start w:val="0"/>
      <w:numFmt w:val="bullet"/>
      <w:lvlText w:val="•"/>
      <w:lvlJc w:val="left"/>
      <w:pPr>
        <w:ind w:left="3037" w:hanging="540"/>
      </w:pPr>
      <w:rPr>
        <w:rFonts w:hint="default"/>
        <w:lang w:val="en-US" w:eastAsia="en-US" w:bidi="ar-SA"/>
      </w:rPr>
    </w:lvl>
    <w:lvl w:ilvl="4">
      <w:start w:val="0"/>
      <w:numFmt w:val="bullet"/>
      <w:lvlText w:val="•"/>
      <w:lvlJc w:val="left"/>
      <w:pPr>
        <w:ind w:left="4086" w:hanging="540"/>
      </w:pPr>
      <w:rPr>
        <w:rFonts w:hint="default"/>
        <w:lang w:val="en-US" w:eastAsia="en-US" w:bidi="ar-SA"/>
      </w:rPr>
    </w:lvl>
    <w:lvl w:ilvl="5">
      <w:start w:val="0"/>
      <w:numFmt w:val="bullet"/>
      <w:lvlText w:val="•"/>
      <w:lvlJc w:val="left"/>
      <w:pPr>
        <w:ind w:left="5135" w:hanging="540"/>
      </w:pPr>
      <w:rPr>
        <w:rFonts w:hint="default"/>
        <w:lang w:val="en-US" w:eastAsia="en-US" w:bidi="ar-SA"/>
      </w:rPr>
    </w:lvl>
    <w:lvl w:ilvl="6">
      <w:start w:val="0"/>
      <w:numFmt w:val="bullet"/>
      <w:lvlText w:val="•"/>
      <w:lvlJc w:val="left"/>
      <w:pPr>
        <w:ind w:left="6184" w:hanging="540"/>
      </w:pPr>
      <w:rPr>
        <w:rFonts w:hint="default"/>
        <w:lang w:val="en-US" w:eastAsia="en-US" w:bidi="ar-SA"/>
      </w:rPr>
    </w:lvl>
    <w:lvl w:ilvl="7">
      <w:start w:val="0"/>
      <w:numFmt w:val="bullet"/>
      <w:lvlText w:val="•"/>
      <w:lvlJc w:val="left"/>
      <w:pPr>
        <w:ind w:left="7233" w:hanging="540"/>
      </w:pPr>
      <w:rPr>
        <w:rFonts w:hint="default"/>
        <w:lang w:val="en-US" w:eastAsia="en-US" w:bidi="ar-SA"/>
      </w:rPr>
    </w:lvl>
    <w:lvl w:ilvl="8">
      <w:start w:val="0"/>
      <w:numFmt w:val="bullet"/>
      <w:lvlText w:val="•"/>
      <w:lvlJc w:val="left"/>
      <w:pPr>
        <w:ind w:left="8282" w:hanging="540"/>
      </w:pPr>
      <w:rPr>
        <w:rFonts w:hint="default"/>
        <w:lang w:val="en-US" w:eastAsia="en-US" w:bidi="ar-SA"/>
      </w:rPr>
    </w:lvl>
  </w:abstractNum>
  <w:abstractNum w:abstractNumId="6">
    <w:multiLevelType w:val="hybridMultilevel"/>
    <w:lvl w:ilvl="0">
      <w:start w:val="3"/>
      <w:numFmt w:val="decimal"/>
      <w:lvlText w:val="%1"/>
      <w:lvlJc w:val="left"/>
      <w:pPr>
        <w:ind w:left="752" w:hanging="360"/>
        <w:jc w:val="left"/>
      </w:pPr>
      <w:rPr>
        <w:rFonts w:hint="default"/>
        <w:lang w:val="en-US" w:eastAsia="en-US" w:bidi="ar-SA"/>
      </w:rPr>
    </w:lvl>
    <w:lvl w:ilvl="1">
      <w:start w:val="0"/>
      <w:numFmt w:val="decimal"/>
      <w:lvlText w:val="%1.%2"/>
      <w:lvlJc w:val="left"/>
      <w:pPr>
        <w:ind w:left="752" w:hanging="360"/>
        <w:jc w:val="right"/>
      </w:pPr>
      <w:rPr>
        <w:rFonts w:hint="default"/>
        <w:spacing w:val="0"/>
        <w:w w:val="100"/>
        <w:lang w:val="en-US" w:eastAsia="en-US" w:bidi="ar-SA"/>
      </w:rPr>
    </w:lvl>
    <w:lvl w:ilvl="2">
      <w:start w:val="1"/>
      <w:numFmt w:val="decimal"/>
      <w:lvlText w:val="%1.%2.%3"/>
      <w:lvlJc w:val="left"/>
      <w:pPr>
        <w:ind w:left="111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77" w:hanging="720"/>
      </w:pPr>
      <w:rPr>
        <w:rFonts w:hint="default"/>
        <w:lang w:val="en-US" w:eastAsia="en-US" w:bidi="ar-SA"/>
      </w:rPr>
    </w:lvl>
    <w:lvl w:ilvl="4">
      <w:start w:val="0"/>
      <w:numFmt w:val="bullet"/>
      <w:lvlText w:val="•"/>
      <w:lvlJc w:val="left"/>
      <w:pPr>
        <w:ind w:left="4206" w:hanging="720"/>
      </w:pPr>
      <w:rPr>
        <w:rFonts w:hint="default"/>
        <w:lang w:val="en-US" w:eastAsia="en-US" w:bidi="ar-SA"/>
      </w:rPr>
    </w:lvl>
    <w:lvl w:ilvl="5">
      <w:start w:val="0"/>
      <w:numFmt w:val="bullet"/>
      <w:lvlText w:val="•"/>
      <w:lvlJc w:val="left"/>
      <w:pPr>
        <w:ind w:left="5235" w:hanging="720"/>
      </w:pPr>
      <w:rPr>
        <w:rFonts w:hint="default"/>
        <w:lang w:val="en-US" w:eastAsia="en-US" w:bidi="ar-SA"/>
      </w:rPr>
    </w:lvl>
    <w:lvl w:ilvl="6">
      <w:start w:val="0"/>
      <w:numFmt w:val="bullet"/>
      <w:lvlText w:val="•"/>
      <w:lvlJc w:val="left"/>
      <w:pPr>
        <w:ind w:left="6264" w:hanging="720"/>
      </w:pPr>
      <w:rPr>
        <w:rFonts w:hint="default"/>
        <w:lang w:val="en-US" w:eastAsia="en-US" w:bidi="ar-SA"/>
      </w:rPr>
    </w:lvl>
    <w:lvl w:ilvl="7">
      <w:start w:val="0"/>
      <w:numFmt w:val="bullet"/>
      <w:lvlText w:val="•"/>
      <w:lvlJc w:val="left"/>
      <w:pPr>
        <w:ind w:left="7293" w:hanging="720"/>
      </w:pPr>
      <w:rPr>
        <w:rFonts w:hint="default"/>
        <w:lang w:val="en-US" w:eastAsia="en-US" w:bidi="ar-SA"/>
      </w:rPr>
    </w:lvl>
    <w:lvl w:ilvl="8">
      <w:start w:val="0"/>
      <w:numFmt w:val="bullet"/>
      <w:lvlText w:val="•"/>
      <w:lvlJc w:val="left"/>
      <w:pPr>
        <w:ind w:left="8322" w:hanging="720"/>
      </w:pPr>
      <w:rPr>
        <w:rFonts w:hint="default"/>
        <w:lang w:val="en-US" w:eastAsia="en-US" w:bidi="ar-SA"/>
      </w:rPr>
    </w:lvl>
  </w:abstractNum>
  <w:abstractNum w:abstractNumId="5">
    <w:multiLevelType w:val="hybridMultilevel"/>
    <w:lvl w:ilvl="0">
      <w:start w:val="2"/>
      <w:numFmt w:val="decimal"/>
      <w:lvlText w:val="%1"/>
      <w:lvlJc w:val="left"/>
      <w:pPr>
        <w:ind w:left="934" w:hanging="543"/>
        <w:jc w:val="left"/>
      </w:pPr>
      <w:rPr>
        <w:rFonts w:hint="default"/>
        <w:lang w:val="en-US" w:eastAsia="en-US" w:bidi="ar-SA"/>
      </w:rPr>
    </w:lvl>
    <w:lvl w:ilvl="1">
      <w:start w:val="5"/>
      <w:numFmt w:val="decimal"/>
      <w:lvlText w:val="%1.%2"/>
      <w:lvlJc w:val="left"/>
      <w:pPr>
        <w:ind w:left="934" w:hanging="543"/>
        <w:jc w:val="left"/>
      </w:pPr>
      <w:rPr>
        <w:rFonts w:hint="default"/>
        <w:lang w:val="en-US" w:eastAsia="en-US" w:bidi="ar-SA"/>
      </w:rPr>
    </w:lvl>
    <w:lvl w:ilvl="2">
      <w:start w:val="1"/>
      <w:numFmt w:val="decimal"/>
      <w:lvlText w:val="%1.%2.%3"/>
      <w:lvlJc w:val="left"/>
      <w:pPr>
        <w:ind w:left="934" w:hanging="5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72" w:hanging="543"/>
      </w:pPr>
      <w:rPr>
        <w:rFonts w:hint="default"/>
        <w:lang w:val="en-US" w:eastAsia="en-US" w:bidi="ar-SA"/>
      </w:rPr>
    </w:lvl>
    <w:lvl w:ilvl="4">
      <w:start w:val="0"/>
      <w:numFmt w:val="bullet"/>
      <w:lvlText w:val="•"/>
      <w:lvlJc w:val="left"/>
      <w:pPr>
        <w:ind w:left="4716" w:hanging="543"/>
      </w:pPr>
      <w:rPr>
        <w:rFonts w:hint="default"/>
        <w:lang w:val="en-US" w:eastAsia="en-US" w:bidi="ar-SA"/>
      </w:rPr>
    </w:lvl>
    <w:lvl w:ilvl="5">
      <w:start w:val="0"/>
      <w:numFmt w:val="bullet"/>
      <w:lvlText w:val="•"/>
      <w:lvlJc w:val="left"/>
      <w:pPr>
        <w:ind w:left="5660" w:hanging="543"/>
      </w:pPr>
      <w:rPr>
        <w:rFonts w:hint="default"/>
        <w:lang w:val="en-US" w:eastAsia="en-US" w:bidi="ar-SA"/>
      </w:rPr>
    </w:lvl>
    <w:lvl w:ilvl="6">
      <w:start w:val="0"/>
      <w:numFmt w:val="bullet"/>
      <w:lvlText w:val="•"/>
      <w:lvlJc w:val="left"/>
      <w:pPr>
        <w:ind w:left="6604" w:hanging="543"/>
      </w:pPr>
      <w:rPr>
        <w:rFonts w:hint="default"/>
        <w:lang w:val="en-US" w:eastAsia="en-US" w:bidi="ar-SA"/>
      </w:rPr>
    </w:lvl>
    <w:lvl w:ilvl="7">
      <w:start w:val="0"/>
      <w:numFmt w:val="bullet"/>
      <w:lvlText w:val="•"/>
      <w:lvlJc w:val="left"/>
      <w:pPr>
        <w:ind w:left="7548" w:hanging="543"/>
      </w:pPr>
      <w:rPr>
        <w:rFonts w:hint="default"/>
        <w:lang w:val="en-US" w:eastAsia="en-US" w:bidi="ar-SA"/>
      </w:rPr>
    </w:lvl>
    <w:lvl w:ilvl="8">
      <w:start w:val="0"/>
      <w:numFmt w:val="bullet"/>
      <w:lvlText w:val="•"/>
      <w:lvlJc w:val="left"/>
      <w:pPr>
        <w:ind w:left="8492" w:hanging="543"/>
      </w:pPr>
      <w:rPr>
        <w:rFonts w:hint="default"/>
        <w:lang w:val="en-US" w:eastAsia="en-US" w:bidi="ar-SA"/>
      </w:rPr>
    </w:lvl>
  </w:abstractNum>
  <w:abstractNum w:abstractNumId="4">
    <w:multiLevelType w:val="hybridMultilevel"/>
    <w:lvl w:ilvl="0">
      <w:start w:val="2"/>
      <w:numFmt w:val="decimal"/>
      <w:lvlText w:val="%1"/>
      <w:lvlJc w:val="left"/>
      <w:pPr>
        <w:ind w:left="932" w:hanging="540"/>
        <w:jc w:val="left"/>
      </w:pPr>
      <w:rPr>
        <w:rFonts w:hint="default"/>
        <w:lang w:val="en-US" w:eastAsia="en-US" w:bidi="ar-SA"/>
      </w:rPr>
    </w:lvl>
    <w:lvl w:ilvl="1">
      <w:start w:val="4"/>
      <w:numFmt w:val="decimal"/>
      <w:lvlText w:val="%1.%2"/>
      <w:lvlJc w:val="left"/>
      <w:pPr>
        <w:ind w:left="932" w:hanging="540"/>
        <w:jc w:val="left"/>
      </w:pPr>
      <w:rPr>
        <w:rFonts w:hint="default"/>
        <w:lang w:val="en-US" w:eastAsia="en-US" w:bidi="ar-SA"/>
      </w:rPr>
    </w:lvl>
    <w:lvl w:ilvl="2">
      <w:start w:val="4"/>
      <w:numFmt w:val="decimal"/>
      <w:lvlText w:val="%1.%2.%3"/>
      <w:lvlJc w:val="left"/>
      <w:pPr>
        <w:ind w:left="93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72" w:hanging="540"/>
      </w:pPr>
      <w:rPr>
        <w:rFonts w:hint="default"/>
        <w:lang w:val="en-US" w:eastAsia="en-US" w:bidi="ar-SA"/>
      </w:rPr>
    </w:lvl>
    <w:lvl w:ilvl="4">
      <w:start w:val="0"/>
      <w:numFmt w:val="bullet"/>
      <w:lvlText w:val="•"/>
      <w:lvlJc w:val="left"/>
      <w:pPr>
        <w:ind w:left="4716" w:hanging="540"/>
      </w:pPr>
      <w:rPr>
        <w:rFonts w:hint="default"/>
        <w:lang w:val="en-US" w:eastAsia="en-US" w:bidi="ar-SA"/>
      </w:rPr>
    </w:lvl>
    <w:lvl w:ilvl="5">
      <w:start w:val="0"/>
      <w:numFmt w:val="bullet"/>
      <w:lvlText w:val="•"/>
      <w:lvlJc w:val="left"/>
      <w:pPr>
        <w:ind w:left="5660" w:hanging="540"/>
      </w:pPr>
      <w:rPr>
        <w:rFonts w:hint="default"/>
        <w:lang w:val="en-US" w:eastAsia="en-US" w:bidi="ar-SA"/>
      </w:rPr>
    </w:lvl>
    <w:lvl w:ilvl="6">
      <w:start w:val="0"/>
      <w:numFmt w:val="bullet"/>
      <w:lvlText w:val="•"/>
      <w:lvlJc w:val="left"/>
      <w:pPr>
        <w:ind w:left="6604" w:hanging="540"/>
      </w:pPr>
      <w:rPr>
        <w:rFonts w:hint="default"/>
        <w:lang w:val="en-US" w:eastAsia="en-US" w:bidi="ar-SA"/>
      </w:rPr>
    </w:lvl>
    <w:lvl w:ilvl="7">
      <w:start w:val="0"/>
      <w:numFmt w:val="bullet"/>
      <w:lvlText w:val="•"/>
      <w:lvlJc w:val="left"/>
      <w:pPr>
        <w:ind w:left="7548" w:hanging="540"/>
      </w:pPr>
      <w:rPr>
        <w:rFonts w:hint="default"/>
        <w:lang w:val="en-US" w:eastAsia="en-US" w:bidi="ar-SA"/>
      </w:rPr>
    </w:lvl>
    <w:lvl w:ilvl="8">
      <w:start w:val="0"/>
      <w:numFmt w:val="bullet"/>
      <w:lvlText w:val="•"/>
      <w:lvlJc w:val="left"/>
      <w:pPr>
        <w:ind w:left="8492" w:hanging="540"/>
      </w:pPr>
      <w:rPr>
        <w:rFonts w:hint="default"/>
        <w:lang w:val="en-US" w:eastAsia="en-US" w:bidi="ar-SA"/>
      </w:rPr>
    </w:lvl>
  </w:abstractNum>
  <w:abstractNum w:abstractNumId="3">
    <w:multiLevelType w:val="hybridMultilevel"/>
    <w:lvl w:ilvl="0">
      <w:start w:val="2"/>
      <w:numFmt w:val="decimal"/>
      <w:lvlText w:val="%1"/>
      <w:lvlJc w:val="left"/>
      <w:pPr>
        <w:ind w:left="903" w:hanging="360"/>
        <w:jc w:val="left"/>
      </w:pPr>
      <w:rPr>
        <w:rFonts w:hint="default"/>
        <w:lang w:val="en-US" w:eastAsia="en-US" w:bidi="ar-SA"/>
      </w:rPr>
    </w:lvl>
    <w:lvl w:ilvl="1">
      <w:start w:val="4"/>
      <w:numFmt w:val="decimal"/>
      <w:lvlText w:val="%1.%2"/>
      <w:lvlJc w:val="left"/>
      <w:pPr>
        <w:ind w:left="90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992"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84" w:hanging="600"/>
      </w:pPr>
      <w:rPr>
        <w:rFonts w:hint="default"/>
        <w:lang w:val="en-US" w:eastAsia="en-US" w:bidi="ar-SA"/>
      </w:rPr>
    </w:lvl>
    <w:lvl w:ilvl="4">
      <w:start w:val="0"/>
      <w:numFmt w:val="bullet"/>
      <w:lvlText w:val="•"/>
      <w:lvlJc w:val="left"/>
      <w:pPr>
        <w:ind w:left="4126" w:hanging="600"/>
      </w:pPr>
      <w:rPr>
        <w:rFonts w:hint="default"/>
        <w:lang w:val="en-US" w:eastAsia="en-US" w:bidi="ar-SA"/>
      </w:rPr>
    </w:lvl>
    <w:lvl w:ilvl="5">
      <w:start w:val="0"/>
      <w:numFmt w:val="bullet"/>
      <w:lvlText w:val="•"/>
      <w:lvlJc w:val="left"/>
      <w:pPr>
        <w:ind w:left="5168" w:hanging="600"/>
      </w:pPr>
      <w:rPr>
        <w:rFonts w:hint="default"/>
        <w:lang w:val="en-US" w:eastAsia="en-US" w:bidi="ar-SA"/>
      </w:rPr>
    </w:lvl>
    <w:lvl w:ilvl="6">
      <w:start w:val="0"/>
      <w:numFmt w:val="bullet"/>
      <w:lvlText w:val="•"/>
      <w:lvlJc w:val="left"/>
      <w:pPr>
        <w:ind w:left="6211" w:hanging="600"/>
      </w:pPr>
      <w:rPr>
        <w:rFonts w:hint="default"/>
        <w:lang w:val="en-US" w:eastAsia="en-US" w:bidi="ar-SA"/>
      </w:rPr>
    </w:lvl>
    <w:lvl w:ilvl="7">
      <w:start w:val="0"/>
      <w:numFmt w:val="bullet"/>
      <w:lvlText w:val="•"/>
      <w:lvlJc w:val="left"/>
      <w:pPr>
        <w:ind w:left="7253" w:hanging="600"/>
      </w:pPr>
      <w:rPr>
        <w:rFonts w:hint="default"/>
        <w:lang w:val="en-US" w:eastAsia="en-US" w:bidi="ar-SA"/>
      </w:rPr>
    </w:lvl>
    <w:lvl w:ilvl="8">
      <w:start w:val="0"/>
      <w:numFmt w:val="bullet"/>
      <w:lvlText w:val="•"/>
      <w:lvlJc w:val="left"/>
      <w:pPr>
        <w:ind w:left="8295" w:hanging="600"/>
      </w:pPr>
      <w:rPr>
        <w:rFonts w:hint="default"/>
        <w:lang w:val="en-US" w:eastAsia="en-US" w:bidi="ar-SA"/>
      </w:rPr>
    </w:lvl>
  </w:abstractNum>
  <w:abstractNum w:abstractNumId="2">
    <w:multiLevelType w:val="hybridMultilevel"/>
    <w:lvl w:ilvl="0">
      <w:start w:val="2"/>
      <w:numFmt w:val="decimal"/>
      <w:lvlText w:val="%1"/>
      <w:lvlJc w:val="left"/>
      <w:pPr>
        <w:ind w:left="963" w:hanging="420"/>
        <w:jc w:val="left"/>
      </w:pPr>
      <w:rPr>
        <w:rFonts w:hint="default"/>
        <w:lang w:val="en-US" w:eastAsia="en-US" w:bidi="ar-SA"/>
      </w:rPr>
    </w:lvl>
    <w:lvl w:ilvl="1">
      <w:start w:val="3"/>
      <w:numFmt w:val="decimal"/>
      <w:lvlText w:val="%1.%2."/>
      <w:lvlJc w:val="left"/>
      <w:pPr>
        <w:ind w:left="963"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93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53" w:hanging="540"/>
      </w:pPr>
      <w:rPr>
        <w:rFonts w:hint="default"/>
        <w:lang w:val="en-US" w:eastAsia="en-US" w:bidi="ar-SA"/>
      </w:rPr>
    </w:lvl>
    <w:lvl w:ilvl="4">
      <w:start w:val="0"/>
      <w:numFmt w:val="bullet"/>
      <w:lvlText w:val="•"/>
      <w:lvlJc w:val="left"/>
      <w:pPr>
        <w:ind w:left="4100" w:hanging="540"/>
      </w:pPr>
      <w:rPr>
        <w:rFonts w:hint="default"/>
        <w:lang w:val="en-US" w:eastAsia="en-US" w:bidi="ar-SA"/>
      </w:rPr>
    </w:lvl>
    <w:lvl w:ilvl="5">
      <w:start w:val="0"/>
      <w:numFmt w:val="bullet"/>
      <w:lvlText w:val="•"/>
      <w:lvlJc w:val="left"/>
      <w:pPr>
        <w:ind w:left="5146" w:hanging="540"/>
      </w:pPr>
      <w:rPr>
        <w:rFonts w:hint="default"/>
        <w:lang w:val="en-US" w:eastAsia="en-US" w:bidi="ar-SA"/>
      </w:rPr>
    </w:lvl>
    <w:lvl w:ilvl="6">
      <w:start w:val="0"/>
      <w:numFmt w:val="bullet"/>
      <w:lvlText w:val="•"/>
      <w:lvlJc w:val="left"/>
      <w:pPr>
        <w:ind w:left="6193" w:hanging="540"/>
      </w:pPr>
      <w:rPr>
        <w:rFonts w:hint="default"/>
        <w:lang w:val="en-US" w:eastAsia="en-US" w:bidi="ar-SA"/>
      </w:rPr>
    </w:lvl>
    <w:lvl w:ilvl="7">
      <w:start w:val="0"/>
      <w:numFmt w:val="bullet"/>
      <w:lvlText w:val="•"/>
      <w:lvlJc w:val="left"/>
      <w:pPr>
        <w:ind w:left="7240" w:hanging="540"/>
      </w:pPr>
      <w:rPr>
        <w:rFonts w:hint="default"/>
        <w:lang w:val="en-US" w:eastAsia="en-US" w:bidi="ar-SA"/>
      </w:rPr>
    </w:lvl>
    <w:lvl w:ilvl="8">
      <w:start w:val="0"/>
      <w:numFmt w:val="bullet"/>
      <w:lvlText w:val="•"/>
      <w:lvlJc w:val="left"/>
      <w:pPr>
        <w:ind w:left="8286" w:hanging="540"/>
      </w:pPr>
      <w:rPr>
        <w:rFonts w:hint="default"/>
        <w:lang w:val="en-US" w:eastAsia="en-US" w:bidi="ar-SA"/>
      </w:rPr>
    </w:lvl>
  </w:abstractNum>
  <w:abstractNum w:abstractNumId="1">
    <w:multiLevelType w:val="hybridMultilevel"/>
    <w:lvl w:ilvl="0">
      <w:start w:val="2"/>
      <w:numFmt w:val="decimal"/>
      <w:lvlText w:val="%1"/>
      <w:lvlJc w:val="left"/>
      <w:pPr>
        <w:ind w:left="752" w:hanging="360"/>
        <w:jc w:val="left"/>
      </w:pPr>
      <w:rPr>
        <w:rFonts w:hint="default"/>
        <w:lang w:val="en-US" w:eastAsia="en-US" w:bidi="ar-SA"/>
      </w:rPr>
    </w:lvl>
    <w:lvl w:ilvl="1">
      <w:start w:val="0"/>
      <w:numFmt w:val="decimal"/>
      <w:lvlText w:val="%1.%2"/>
      <w:lvlJc w:val="left"/>
      <w:pPr>
        <w:ind w:left="752" w:hanging="360"/>
        <w:jc w:val="right"/>
      </w:pPr>
      <w:rPr>
        <w:rFonts w:hint="default"/>
        <w:spacing w:val="0"/>
        <w:w w:val="100"/>
        <w:lang w:val="en-US" w:eastAsia="en-US" w:bidi="ar-SA"/>
      </w:rPr>
    </w:lvl>
    <w:lvl w:ilvl="2">
      <w:start w:val="0"/>
      <w:numFmt w:val="bullet"/>
      <w:lvlText w:val="•"/>
      <w:lvlJc w:val="left"/>
      <w:pPr>
        <w:ind w:left="2684" w:hanging="360"/>
      </w:pPr>
      <w:rPr>
        <w:rFonts w:hint="default"/>
        <w:lang w:val="en-US" w:eastAsia="en-US" w:bidi="ar-SA"/>
      </w:rPr>
    </w:lvl>
    <w:lvl w:ilvl="3">
      <w:start w:val="0"/>
      <w:numFmt w:val="bullet"/>
      <w:lvlText w:val="•"/>
      <w:lvlJc w:val="left"/>
      <w:pPr>
        <w:ind w:left="364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70" w:hanging="360"/>
      </w:pPr>
      <w:rPr>
        <w:rFonts w:hint="default"/>
        <w:lang w:val="en-US" w:eastAsia="en-US" w:bidi="ar-SA"/>
      </w:rPr>
    </w:lvl>
    <w:lvl w:ilvl="6">
      <w:start w:val="0"/>
      <w:numFmt w:val="bullet"/>
      <w:lvlText w:val="•"/>
      <w:lvlJc w:val="left"/>
      <w:pPr>
        <w:ind w:left="6532" w:hanging="360"/>
      </w:pPr>
      <w:rPr>
        <w:rFonts w:hint="default"/>
        <w:lang w:val="en-US" w:eastAsia="en-US" w:bidi="ar-SA"/>
      </w:rPr>
    </w:lvl>
    <w:lvl w:ilvl="7">
      <w:start w:val="0"/>
      <w:numFmt w:val="bullet"/>
      <w:lvlText w:val="•"/>
      <w:lvlJc w:val="left"/>
      <w:pPr>
        <w:ind w:left="7494" w:hanging="360"/>
      </w:pPr>
      <w:rPr>
        <w:rFonts w:hint="default"/>
        <w:lang w:val="en-US" w:eastAsia="en-US" w:bidi="ar-SA"/>
      </w:rPr>
    </w:lvl>
    <w:lvl w:ilvl="8">
      <w:start w:val="0"/>
      <w:numFmt w:val="bullet"/>
      <w:lvlText w:val="•"/>
      <w:lvlJc w:val="left"/>
      <w:pPr>
        <w:ind w:left="8456" w:hanging="360"/>
      </w:pPr>
      <w:rPr>
        <w:rFonts w:hint="default"/>
        <w:lang w:val="en-US" w:eastAsia="en-US" w:bidi="ar-SA"/>
      </w:rPr>
    </w:lvl>
  </w:abstractNum>
  <w:abstractNum w:abstractNumId="0">
    <w:multiLevelType w:val="hybridMultilevel"/>
    <w:lvl w:ilvl="0">
      <w:start w:val="1"/>
      <w:numFmt w:val="decimal"/>
      <w:lvlText w:val="%1"/>
      <w:lvlJc w:val="left"/>
      <w:pPr>
        <w:ind w:left="752" w:hanging="360"/>
        <w:jc w:val="left"/>
      </w:pPr>
      <w:rPr>
        <w:rFonts w:hint="default"/>
        <w:lang w:val="en-US" w:eastAsia="en-US" w:bidi="ar-SA"/>
      </w:rPr>
    </w:lvl>
    <w:lvl w:ilvl="1">
      <w:start w:val="0"/>
      <w:numFmt w:val="decimal"/>
      <w:lvlText w:val="%1.%2"/>
      <w:lvlJc w:val="left"/>
      <w:pPr>
        <w:ind w:left="752" w:hanging="360"/>
        <w:jc w:val="right"/>
      </w:pPr>
      <w:rPr>
        <w:rFonts w:hint="default"/>
        <w:spacing w:val="0"/>
        <w:w w:val="100"/>
        <w:lang w:val="en-US" w:eastAsia="en-US" w:bidi="ar-SA"/>
      </w:rPr>
    </w:lvl>
    <w:lvl w:ilvl="2">
      <w:start w:val="1"/>
      <w:numFmt w:val="decimal"/>
      <w:lvlText w:val="%1.%2.%3"/>
      <w:lvlJc w:val="left"/>
      <w:pPr>
        <w:ind w:left="93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37" w:hanging="540"/>
      </w:pPr>
      <w:rPr>
        <w:rFonts w:hint="default"/>
        <w:lang w:val="en-US" w:eastAsia="en-US" w:bidi="ar-SA"/>
      </w:rPr>
    </w:lvl>
    <w:lvl w:ilvl="4">
      <w:start w:val="0"/>
      <w:numFmt w:val="bullet"/>
      <w:lvlText w:val="•"/>
      <w:lvlJc w:val="left"/>
      <w:pPr>
        <w:ind w:left="4086" w:hanging="540"/>
      </w:pPr>
      <w:rPr>
        <w:rFonts w:hint="default"/>
        <w:lang w:val="en-US" w:eastAsia="en-US" w:bidi="ar-SA"/>
      </w:rPr>
    </w:lvl>
    <w:lvl w:ilvl="5">
      <w:start w:val="0"/>
      <w:numFmt w:val="bullet"/>
      <w:lvlText w:val="•"/>
      <w:lvlJc w:val="left"/>
      <w:pPr>
        <w:ind w:left="5135" w:hanging="540"/>
      </w:pPr>
      <w:rPr>
        <w:rFonts w:hint="default"/>
        <w:lang w:val="en-US" w:eastAsia="en-US" w:bidi="ar-SA"/>
      </w:rPr>
    </w:lvl>
    <w:lvl w:ilvl="6">
      <w:start w:val="0"/>
      <w:numFmt w:val="bullet"/>
      <w:lvlText w:val="•"/>
      <w:lvlJc w:val="left"/>
      <w:pPr>
        <w:ind w:left="6184" w:hanging="540"/>
      </w:pPr>
      <w:rPr>
        <w:rFonts w:hint="default"/>
        <w:lang w:val="en-US" w:eastAsia="en-US" w:bidi="ar-SA"/>
      </w:rPr>
    </w:lvl>
    <w:lvl w:ilvl="7">
      <w:start w:val="0"/>
      <w:numFmt w:val="bullet"/>
      <w:lvlText w:val="•"/>
      <w:lvlJc w:val="left"/>
      <w:pPr>
        <w:ind w:left="7233" w:hanging="540"/>
      </w:pPr>
      <w:rPr>
        <w:rFonts w:hint="default"/>
        <w:lang w:val="en-US" w:eastAsia="en-US" w:bidi="ar-SA"/>
      </w:rPr>
    </w:lvl>
    <w:lvl w:ilvl="8">
      <w:start w:val="0"/>
      <w:numFmt w:val="bullet"/>
      <w:lvlText w:val="•"/>
      <w:lvlJc w:val="left"/>
      <w:pPr>
        <w:ind w:left="8282" w:hanging="540"/>
      </w:pPr>
      <w:rPr>
        <w:rFonts w:hint="default"/>
        <w:lang w:val="en-US" w:eastAsia="en-US" w:bidi="ar-SA"/>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392"/>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392"/>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76"/>
      <w:ind w:left="932" w:hanging="54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6"/>
      <w:ind w:left="903" w:hanging="36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276"/>
      <w:ind w:left="902" w:hanging="359"/>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38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276"/>
      <w:ind w:left="932"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3"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www.simulations-plus.com/Products.aspx?pID=11&amp;mID=12" TargetMode="External"/><Relationship Id="rId8" Type="http://schemas.openxmlformats.org/officeDocument/2006/relationships/image" Target="media/image1.jpeg"/><Relationship Id="rId9" Type="http://schemas.openxmlformats.org/officeDocument/2006/relationships/hyperlink" Target="http://en.wikipedia.org/wiki/Tinidazole" TargetMode="External"/><Relationship Id="rId10" Type="http://schemas.openxmlformats.org/officeDocument/2006/relationships/hyperlink" Target="http://pubchem.ncbi.nlm.nih.gov/compound/5-nitroimidazole" TargetMode="External"/><Relationship Id="rId11" Type="http://schemas.openxmlformats.org/officeDocument/2006/relationships/hyperlink" Target="http://pubchem.ncbi.nlm.nih.gov/compound/nitrite" TargetMode="External"/><Relationship Id="rId12" Type="http://schemas.openxmlformats.org/officeDocument/2006/relationships/hyperlink" Target="http://pubchem.ncbi.nlm.nih.gov/compound/metronidazole" TargetMode="External"/><Relationship Id="rId13" Type="http://schemas.openxmlformats.org/officeDocument/2006/relationships/hyperlink" Target="http://pubchem.ncbi.nlm.nih.gov/compound/Metronidazole"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cdsco.nic.in/html/BE%20Guidelines%20Draft%20Ver10%20March%2016%2C%25" TargetMode="External"/><Relationship Id="rId25" Type="http://schemas.openxmlformats.org/officeDocument/2006/relationships/hyperlink" Target="http://www.accessdata.fda.gov/scripts/cdrh/cfdocs/cfcfr/" TargetMode="Externa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footer" Target="footer3.xml"/><Relationship Id="rId32" Type="http://schemas.openxmlformats.org/officeDocument/2006/relationships/image" Target="media/image17.jpeg"/><Relationship Id="rId33" Type="http://schemas.openxmlformats.org/officeDocument/2006/relationships/footer" Target="footer4.xml"/><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USER</dc:creator>
  <dcterms:created xsi:type="dcterms:W3CDTF">2023-11-04T08:16:15Z</dcterms:created>
  <dcterms:modified xsi:type="dcterms:W3CDTF">2023-11-04T08:16:15Z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2017-05-09T00:00:00Z</vt:filetime>
  </property>
  <property fmtid="{D5CDD505-2E9C-101B-9397-08002B2CF9AE}" pid="3" name="Creator">
    <vt:lpwstr>Microsoft® Office Word 2007</vt:lpwstr>
  </property>
  <property fmtid="{D5CDD505-2E9C-101B-9397-08002B2CF9AE}" pid="4" name="LastSaved">
    <vt:filetime>2023-11-04T00:00:00Z</vt:filetime>
  </property>
  <property fmtid="{D5CDD505-2E9C-101B-9397-08002B2CF9AE}" pid="5" name="Producer">
    <vt:lpwstr>Microsoft® Office Word 2007</vt:lpwstr>
  </property>
</Properties>
</file>