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79"/>
        <w:ind w:left="877" w:right="1717" w:hanging="5"/>
        <w:jc w:val="center"/>
        <w:rPr>
          <w:b/>
          <w:sz w:val="24"/>
        </w:rPr>
      </w:pPr>
      <w:r>
        <w:rPr>
          <w:b/>
          <w:sz w:val="24"/>
        </w:rPr>
        <w:t>CHRONOMODULATED NIFEDIPINE ADMINISTRATION AND MICROVASCULAR</w:t>
      </w:r>
      <w:r>
        <w:rPr>
          <w:b/>
          <w:spacing w:val="-12"/>
          <w:sz w:val="24"/>
        </w:rPr>
        <w:t> </w:t>
      </w:r>
      <w:r>
        <w:rPr>
          <w:b/>
          <w:sz w:val="24"/>
        </w:rPr>
        <w:t>COMPLICATIONS</w:t>
      </w:r>
      <w:r>
        <w:rPr>
          <w:b/>
          <w:spacing w:val="-12"/>
          <w:sz w:val="24"/>
        </w:rPr>
        <w:t> </w:t>
      </w:r>
      <w:r>
        <w:rPr>
          <w:b/>
          <w:sz w:val="24"/>
        </w:rPr>
        <w:t>IN</w:t>
      </w:r>
      <w:r>
        <w:rPr>
          <w:b/>
          <w:spacing w:val="-12"/>
          <w:sz w:val="24"/>
        </w:rPr>
        <w:t> </w:t>
      </w:r>
      <w:r>
        <w:rPr>
          <w:b/>
          <w:sz w:val="24"/>
        </w:rPr>
        <w:t>GLIMEPIRIDE-TREATED HYPERGLYCAEMIC RATS</w:t>
      </w:r>
    </w:p>
    <w:p>
      <w:pPr>
        <w:pStyle w:val="BodyText"/>
        <w:rPr>
          <w:b/>
        </w:rPr>
      </w:pPr>
    </w:p>
    <w:p>
      <w:pPr>
        <w:pStyle w:val="BodyText"/>
        <w:rPr>
          <w:b/>
        </w:rPr>
      </w:pPr>
    </w:p>
    <w:p>
      <w:pPr>
        <w:pStyle w:val="BodyText"/>
        <w:rPr>
          <w:b/>
        </w:rPr>
      </w:pPr>
    </w:p>
    <w:p>
      <w:pPr>
        <w:pStyle w:val="BodyText"/>
        <w:spacing w:before="138"/>
        <w:rPr>
          <w:b/>
        </w:rPr>
      </w:pPr>
    </w:p>
    <w:p>
      <w:pPr>
        <w:spacing w:before="0"/>
        <w:ind w:left="961" w:right="1802" w:firstLine="0"/>
        <w:jc w:val="center"/>
        <w:rPr>
          <w:b/>
          <w:sz w:val="24"/>
        </w:rPr>
      </w:pPr>
      <w:r>
        <w:rPr>
          <w:b/>
          <w:spacing w:val="-5"/>
          <w:sz w:val="24"/>
        </w:rPr>
        <w:t>By</w:t>
      </w:r>
    </w:p>
    <w:p>
      <w:pPr>
        <w:pStyle w:val="BodyText"/>
        <w:rPr>
          <w:b/>
        </w:rPr>
      </w:pPr>
    </w:p>
    <w:p>
      <w:pPr>
        <w:pStyle w:val="BodyText"/>
        <w:rPr>
          <w:b/>
        </w:rPr>
      </w:pPr>
    </w:p>
    <w:p>
      <w:pPr>
        <w:spacing w:line="360" w:lineRule="auto" w:before="1"/>
        <w:ind w:left="956" w:right="1802" w:firstLine="0"/>
        <w:jc w:val="center"/>
        <w:rPr>
          <w:b/>
          <w:sz w:val="24"/>
        </w:rPr>
      </w:pPr>
      <w:r>
        <w:rPr>
          <w:b/>
          <w:sz w:val="24"/>
        </w:rPr>
        <w:t>Michael</w:t>
      </w:r>
      <w:r>
        <w:rPr>
          <w:b/>
          <w:spacing w:val="-7"/>
          <w:sz w:val="24"/>
        </w:rPr>
        <w:t> </w:t>
      </w:r>
      <w:r>
        <w:rPr>
          <w:b/>
          <w:sz w:val="24"/>
        </w:rPr>
        <w:t>Ikechukwu</w:t>
      </w:r>
      <w:r>
        <w:rPr>
          <w:b/>
          <w:spacing w:val="-7"/>
          <w:sz w:val="24"/>
        </w:rPr>
        <w:t> </w:t>
      </w:r>
      <w:r>
        <w:rPr>
          <w:b/>
          <w:sz w:val="24"/>
        </w:rPr>
        <w:t>ORAEBOSI,</w:t>
      </w:r>
      <w:r>
        <w:rPr>
          <w:b/>
          <w:spacing w:val="-7"/>
          <w:sz w:val="24"/>
        </w:rPr>
        <w:t> </w:t>
      </w:r>
      <w:r>
        <w:rPr>
          <w:b/>
          <w:sz w:val="24"/>
        </w:rPr>
        <w:t>B.Sc</w:t>
      </w:r>
      <w:r>
        <w:rPr>
          <w:b/>
          <w:spacing w:val="-8"/>
          <w:sz w:val="24"/>
        </w:rPr>
        <w:t> </w:t>
      </w:r>
      <w:r>
        <w:rPr>
          <w:b/>
          <w:sz w:val="24"/>
        </w:rPr>
        <w:t>SLT</w:t>
      </w:r>
      <w:r>
        <w:rPr>
          <w:b/>
          <w:spacing w:val="-7"/>
          <w:sz w:val="24"/>
        </w:rPr>
        <w:t> </w:t>
      </w:r>
      <w:r>
        <w:rPr>
          <w:b/>
          <w:sz w:val="24"/>
        </w:rPr>
        <w:t>(UNIJOS)</w:t>
      </w:r>
      <w:r>
        <w:rPr>
          <w:b/>
          <w:spacing w:val="-7"/>
          <w:sz w:val="24"/>
        </w:rPr>
        <w:t> </w:t>
      </w:r>
      <w:r>
        <w:rPr>
          <w:b/>
          <w:sz w:val="24"/>
        </w:rPr>
        <w:t>2011 </w:t>
      </w:r>
      <w:r>
        <w:rPr>
          <w:b/>
          <w:spacing w:val="-2"/>
          <w:sz w:val="24"/>
        </w:rPr>
        <w:t>P13PHPG8015</w:t>
      </w:r>
    </w:p>
    <w:p>
      <w:pPr>
        <w:pStyle w:val="BodyText"/>
        <w:rPr>
          <w:b/>
        </w:rPr>
      </w:pPr>
    </w:p>
    <w:p>
      <w:pPr>
        <w:pStyle w:val="BodyText"/>
        <w:rPr>
          <w:b/>
        </w:rPr>
      </w:pPr>
    </w:p>
    <w:p>
      <w:pPr>
        <w:pStyle w:val="BodyText"/>
        <w:rPr>
          <w:b/>
        </w:rPr>
      </w:pPr>
    </w:p>
    <w:p>
      <w:pPr>
        <w:pStyle w:val="BodyText"/>
        <w:spacing w:before="137"/>
        <w:rPr>
          <w:b/>
        </w:rPr>
      </w:pPr>
    </w:p>
    <w:p>
      <w:pPr>
        <w:spacing w:line="360" w:lineRule="auto" w:before="0"/>
        <w:ind w:left="656" w:right="1503" w:firstLine="0"/>
        <w:jc w:val="center"/>
        <w:rPr>
          <w:b/>
          <w:sz w:val="24"/>
        </w:rPr>
      </w:pPr>
      <w:r>
        <w:rPr>
          <w:b/>
          <w:sz w:val="24"/>
        </w:rPr>
        <w:t>A</w:t>
      </w:r>
      <w:r>
        <w:rPr>
          <w:b/>
          <w:spacing w:val="-7"/>
          <w:sz w:val="24"/>
        </w:rPr>
        <w:t> </w:t>
      </w:r>
      <w:r>
        <w:rPr>
          <w:b/>
          <w:sz w:val="24"/>
        </w:rPr>
        <w:t>DISSERTATION</w:t>
      </w:r>
      <w:r>
        <w:rPr>
          <w:b/>
          <w:spacing w:val="-5"/>
          <w:sz w:val="24"/>
        </w:rPr>
        <w:t> </w:t>
      </w:r>
      <w:r>
        <w:rPr>
          <w:b/>
          <w:sz w:val="24"/>
        </w:rPr>
        <w:t>SUBMITTED</w:t>
      </w:r>
      <w:r>
        <w:rPr>
          <w:b/>
          <w:spacing w:val="-6"/>
          <w:sz w:val="24"/>
        </w:rPr>
        <w:t> </w:t>
      </w:r>
      <w:r>
        <w:rPr>
          <w:b/>
          <w:sz w:val="24"/>
        </w:rPr>
        <w:t>TO</w:t>
      </w:r>
      <w:r>
        <w:rPr>
          <w:b/>
          <w:spacing w:val="-6"/>
          <w:sz w:val="24"/>
        </w:rPr>
        <w:t> </w:t>
      </w:r>
      <w:r>
        <w:rPr>
          <w:b/>
          <w:sz w:val="24"/>
        </w:rPr>
        <w:t>THE</w:t>
      </w:r>
      <w:r>
        <w:rPr>
          <w:b/>
          <w:spacing w:val="-6"/>
          <w:sz w:val="24"/>
        </w:rPr>
        <w:t> </w:t>
      </w:r>
      <w:r>
        <w:rPr>
          <w:b/>
          <w:sz w:val="24"/>
        </w:rPr>
        <w:t>SCHOOL</w:t>
      </w:r>
      <w:r>
        <w:rPr>
          <w:b/>
          <w:spacing w:val="-6"/>
          <w:sz w:val="24"/>
        </w:rPr>
        <w:t> </w:t>
      </w:r>
      <w:r>
        <w:rPr>
          <w:b/>
          <w:sz w:val="24"/>
        </w:rPr>
        <w:t>OF</w:t>
      </w:r>
      <w:r>
        <w:rPr>
          <w:b/>
          <w:spacing w:val="-9"/>
          <w:sz w:val="24"/>
        </w:rPr>
        <w:t> </w:t>
      </w:r>
      <w:r>
        <w:rPr>
          <w:b/>
          <w:sz w:val="24"/>
        </w:rPr>
        <w:t>POSTGRADUATE STUDIES, AHMADU BELLO UNIVERSITY ZARIA,</w:t>
      </w:r>
    </w:p>
    <w:p>
      <w:pPr>
        <w:spacing w:line="360" w:lineRule="auto" w:before="0"/>
        <w:ind w:left="350" w:right="1192" w:firstLine="0"/>
        <w:jc w:val="center"/>
        <w:rPr>
          <w:b/>
          <w:sz w:val="24"/>
        </w:rPr>
      </w:pP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5"/>
          <w:sz w:val="24"/>
        </w:rPr>
        <w:t> </w:t>
      </w:r>
      <w:r>
        <w:rPr>
          <w:b/>
          <w:sz w:val="24"/>
        </w:rPr>
        <w:t>THE</w:t>
      </w:r>
      <w:r>
        <w:rPr>
          <w:b/>
          <w:spacing w:val="-4"/>
          <w:sz w:val="24"/>
        </w:rPr>
        <w:t> </w:t>
      </w:r>
      <w:r>
        <w:rPr>
          <w:b/>
          <w:sz w:val="24"/>
        </w:rPr>
        <w:t>REQUIREMENTS</w:t>
      </w:r>
      <w:r>
        <w:rPr>
          <w:b/>
          <w:spacing w:val="-4"/>
          <w:sz w:val="24"/>
        </w:rPr>
        <w:t> </w:t>
      </w:r>
      <w:r>
        <w:rPr>
          <w:b/>
          <w:sz w:val="24"/>
        </w:rPr>
        <w:t>FOR</w:t>
      </w:r>
      <w:r>
        <w:rPr>
          <w:b/>
          <w:spacing w:val="-4"/>
          <w:sz w:val="24"/>
        </w:rPr>
        <w:t> </w:t>
      </w:r>
      <w:r>
        <w:rPr>
          <w:b/>
          <w:sz w:val="24"/>
        </w:rPr>
        <w:t>THE</w:t>
      </w:r>
      <w:r>
        <w:rPr>
          <w:b/>
          <w:spacing w:val="-4"/>
          <w:sz w:val="24"/>
        </w:rPr>
        <w:t> </w:t>
      </w:r>
      <w:r>
        <w:rPr>
          <w:b/>
          <w:sz w:val="24"/>
        </w:rPr>
        <w:t>AWARD</w:t>
      </w:r>
      <w:r>
        <w:rPr>
          <w:b/>
          <w:spacing w:val="-5"/>
          <w:sz w:val="24"/>
        </w:rPr>
        <w:t> </w:t>
      </w:r>
      <w:r>
        <w:rPr>
          <w:b/>
          <w:sz w:val="24"/>
        </w:rPr>
        <w:t>OF A MASTER DEGREE IN PHARMACOLOGY</w:t>
      </w:r>
    </w:p>
    <w:p>
      <w:pPr>
        <w:pStyle w:val="BodyText"/>
        <w:spacing w:before="140"/>
        <w:rPr>
          <w:b/>
        </w:rPr>
      </w:pPr>
    </w:p>
    <w:p>
      <w:pPr>
        <w:spacing w:line="360" w:lineRule="auto" w:before="0"/>
        <w:ind w:left="956" w:right="1802" w:firstLine="0"/>
        <w:jc w:val="center"/>
        <w:rPr>
          <w:b/>
          <w:sz w:val="24"/>
        </w:rPr>
      </w:pPr>
      <w:r>
        <w:rPr>
          <w:b/>
          <w:sz w:val="24"/>
        </w:rPr>
        <w:t>DEPARTMENT</w:t>
      </w:r>
      <w:r>
        <w:rPr>
          <w:b/>
          <w:spacing w:val="-11"/>
          <w:sz w:val="24"/>
        </w:rPr>
        <w:t> </w:t>
      </w:r>
      <w:r>
        <w:rPr>
          <w:b/>
          <w:sz w:val="24"/>
        </w:rPr>
        <w:t>OF</w:t>
      </w:r>
      <w:r>
        <w:rPr>
          <w:b/>
          <w:spacing w:val="-11"/>
          <w:sz w:val="24"/>
        </w:rPr>
        <w:t> </w:t>
      </w:r>
      <w:r>
        <w:rPr>
          <w:b/>
          <w:sz w:val="24"/>
        </w:rPr>
        <w:t>PHARMACOLOGY</w:t>
      </w:r>
      <w:r>
        <w:rPr>
          <w:b/>
          <w:spacing w:val="-10"/>
          <w:sz w:val="24"/>
        </w:rPr>
        <w:t> </w:t>
      </w:r>
      <w:r>
        <w:rPr>
          <w:b/>
          <w:sz w:val="24"/>
        </w:rPr>
        <w:t>AND</w:t>
      </w:r>
      <w:r>
        <w:rPr>
          <w:b/>
          <w:spacing w:val="-11"/>
          <w:sz w:val="24"/>
        </w:rPr>
        <w:t> </w:t>
      </w:r>
      <w:r>
        <w:rPr>
          <w:b/>
          <w:sz w:val="24"/>
        </w:rPr>
        <w:t>THERAPEUTICS, FACULTY OF PHARMACEUTICAL SCIENCES</w:t>
      </w:r>
    </w:p>
    <w:p>
      <w:pPr>
        <w:spacing w:line="360" w:lineRule="auto" w:before="0"/>
        <w:ind w:left="2011" w:right="2797" w:firstLine="0"/>
        <w:jc w:val="center"/>
        <w:rPr>
          <w:b/>
          <w:sz w:val="24"/>
        </w:rPr>
      </w:pPr>
      <w:r>
        <w:rPr>
          <w:b/>
          <w:sz w:val="24"/>
        </w:rPr>
        <w:t>AHMADU</w:t>
      </w:r>
      <w:r>
        <w:rPr>
          <w:b/>
          <w:spacing w:val="-14"/>
          <w:sz w:val="24"/>
        </w:rPr>
        <w:t> </w:t>
      </w:r>
      <w:r>
        <w:rPr>
          <w:b/>
          <w:sz w:val="24"/>
        </w:rPr>
        <w:t>BELLO</w:t>
      </w:r>
      <w:r>
        <w:rPr>
          <w:b/>
          <w:spacing w:val="-14"/>
          <w:sz w:val="24"/>
        </w:rPr>
        <w:t> </w:t>
      </w:r>
      <w:r>
        <w:rPr>
          <w:b/>
          <w:sz w:val="24"/>
        </w:rPr>
        <w:t>UNIVERSITY,</w:t>
      </w:r>
      <w:r>
        <w:rPr>
          <w:b/>
          <w:spacing w:val="-14"/>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7"/>
        <w:rPr>
          <w:b/>
        </w:rPr>
      </w:pPr>
    </w:p>
    <w:p>
      <w:pPr>
        <w:spacing w:before="1"/>
        <w:ind w:left="350" w:right="1194" w:firstLine="0"/>
        <w:jc w:val="center"/>
        <w:rPr>
          <w:b/>
          <w:sz w:val="24"/>
        </w:rPr>
      </w:pPr>
      <w:r>
        <w:rPr>
          <w:b/>
          <w:sz w:val="24"/>
        </w:rPr>
        <w:t>MAY,</w:t>
      </w:r>
      <w:r>
        <w:rPr>
          <w:b/>
          <w:spacing w:val="-2"/>
          <w:sz w:val="24"/>
        </w:rPr>
        <w:t> </w:t>
      </w:r>
      <w:r>
        <w:rPr>
          <w:b/>
          <w:spacing w:val="-4"/>
          <w:sz w:val="24"/>
        </w:rPr>
        <w:t>2016</w:t>
      </w:r>
    </w:p>
    <w:p>
      <w:pPr>
        <w:spacing w:after="0"/>
        <w:jc w:val="center"/>
        <w:rPr>
          <w:sz w:val="24"/>
        </w:rPr>
        <w:sectPr>
          <w:footerReference w:type="default" r:id="rId5"/>
          <w:type w:val="continuous"/>
          <w:pgSz w:w="12240" w:h="15840"/>
          <w:pgMar w:header="0" w:footer="1015" w:top="1360" w:bottom="1200" w:left="1720" w:right="300"/>
          <w:pgNumType w:start="1"/>
        </w:sectPr>
      </w:pPr>
    </w:p>
    <w:p>
      <w:pPr>
        <w:pStyle w:val="Heading1"/>
        <w:ind w:left="962"/>
      </w:pPr>
      <w:bookmarkStart w:name="_TOC_250080" w:id="1"/>
      <w:bookmarkEnd w:id="1"/>
      <w:r>
        <w:rPr>
          <w:spacing w:val="-2"/>
        </w:rPr>
        <w:t>DECLARATION</w:t>
      </w:r>
    </w:p>
    <w:p>
      <w:pPr>
        <w:pStyle w:val="BodyText"/>
        <w:spacing w:line="360" w:lineRule="auto" w:before="274"/>
        <w:ind w:left="296" w:right="1138"/>
        <w:jc w:val="both"/>
      </w:pPr>
      <w:r>
        <w:rPr/>
        <w:t>I declare that the work in this dissertation entitled Chronomodulated Nifedipine Administration and Microvascular Complications in Glimepiride-Treated Hyperglycaemic Rats has been carried out by me in the Department of Pharmacology and Therapeutics, under the joint supervision of Dr. T.O. Olurishe and Dr. L.O. Ayanwuyi. The information derived from the literature has been duly acknowledged in the text and a list of references provided. No part of this dissertation has been previously presented for another Degree or Diploma at this or another University.</w:t>
      </w:r>
    </w:p>
    <w:p>
      <w:pPr>
        <w:pStyle w:val="BodyText"/>
      </w:pPr>
    </w:p>
    <w:p>
      <w:pPr>
        <w:pStyle w:val="BodyText"/>
      </w:pPr>
    </w:p>
    <w:p>
      <w:pPr>
        <w:pStyle w:val="BodyText"/>
      </w:pPr>
    </w:p>
    <w:p>
      <w:pPr>
        <w:pStyle w:val="BodyText"/>
        <w:spacing w:before="130"/>
      </w:pPr>
    </w:p>
    <w:p>
      <w:pPr>
        <w:spacing w:before="0"/>
        <w:ind w:left="296" w:right="0" w:firstLine="0"/>
        <w:jc w:val="both"/>
        <w:rPr>
          <w:b/>
          <w:sz w:val="24"/>
        </w:rPr>
      </w:pPr>
      <w:r>
        <w:rPr>
          <w:b/>
          <w:sz w:val="24"/>
        </w:rPr>
        <w:t>ORAEBOSI,</w:t>
      </w:r>
      <w:r>
        <w:rPr>
          <w:b/>
          <w:spacing w:val="-1"/>
          <w:sz w:val="24"/>
        </w:rPr>
        <w:t> </w:t>
      </w:r>
      <w:r>
        <w:rPr>
          <w:b/>
          <w:sz w:val="24"/>
        </w:rPr>
        <w:t>MICHAEL</w:t>
      </w:r>
      <w:r>
        <w:rPr>
          <w:b/>
          <w:spacing w:val="-1"/>
          <w:sz w:val="24"/>
        </w:rPr>
        <w:t> </w:t>
      </w:r>
      <w:r>
        <w:rPr>
          <w:b/>
          <w:spacing w:val="-5"/>
          <w:sz w:val="24"/>
        </w:rPr>
        <w:t>I.</w:t>
      </w:r>
    </w:p>
    <w:p>
      <w:pPr>
        <w:pStyle w:val="BodyText"/>
        <w:spacing w:before="151"/>
        <w:rPr>
          <w:b/>
          <w:sz w:val="20"/>
        </w:rPr>
      </w:pPr>
      <w:r>
        <w:rPr/>
        <mc:AlternateContent>
          <mc:Choice Requires="wps">
            <w:drawing>
              <wp:anchor distT="0" distB="0" distL="0" distR="0" allowOverlap="1" layoutInCell="1" locked="0" behindDoc="1" simplePos="0" relativeHeight="487587840">
                <wp:simplePos x="0" y="0"/>
                <wp:positionH relativeFrom="page">
                  <wp:posOffset>1280413</wp:posOffset>
                </wp:positionH>
                <wp:positionV relativeFrom="paragraph">
                  <wp:posOffset>257527</wp:posOffset>
                </wp:positionV>
                <wp:extent cx="1752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752600" cy="1270"/>
                        </a:xfrm>
                        <a:custGeom>
                          <a:avLst/>
                          <a:gdLst/>
                          <a:ahLst/>
                          <a:cxnLst/>
                          <a:rect l="l" t="t" r="r" b="b"/>
                          <a:pathLst>
                            <a:path w="1752600" h="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82pt;margin-top:20.27776pt;width:138pt;height:.1pt;mso-position-horizontal-relative:page;mso-position-vertical-relative:paragraph;z-index:-15728640;mso-wrap-distance-left:0;mso-wrap-distance-right:0" id="docshape2" coordorigin="2016,406" coordsize="2760,0" path="m2016,406l4776,40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3566795</wp:posOffset>
                </wp:positionH>
                <wp:positionV relativeFrom="paragraph">
                  <wp:posOffset>257527</wp:posOffset>
                </wp:positionV>
                <wp:extent cx="1524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524000" cy="1270"/>
                        </a:xfrm>
                        <a:custGeom>
                          <a:avLst/>
                          <a:gdLst/>
                          <a:ahLst/>
                          <a:cxnLst/>
                          <a:rect l="l" t="t" r="r" b="b"/>
                          <a:pathLst>
                            <a:path w="1524000" h="0">
                              <a:moveTo>
                                <a:pt x="0" y="0"/>
                              </a:moveTo>
                              <a:lnTo>
                                <a:pt x="152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0.850006pt;margin-top:20.27776pt;width:120pt;height:.1pt;mso-position-horizontal-relative:page;mso-position-vertical-relative:paragraph;z-index:-15728128;mso-wrap-distance-left:0;mso-wrap-distance-right:0" id="docshape3" coordorigin="5617,406" coordsize="2400,0" path="m5617,406l8017,40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5433695</wp:posOffset>
                </wp:positionH>
                <wp:positionV relativeFrom="paragraph">
                  <wp:posOffset>257527</wp:posOffset>
                </wp:positionV>
                <wp:extent cx="13716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371600" cy="1270"/>
                        </a:xfrm>
                        <a:custGeom>
                          <a:avLst/>
                          <a:gdLst/>
                          <a:ahLst/>
                          <a:cxnLst/>
                          <a:rect l="l" t="t" r="r" b="b"/>
                          <a:pathLst>
                            <a:path w="1371600" h="0">
                              <a:moveTo>
                                <a:pt x="0" y="0"/>
                              </a:moveTo>
                              <a:lnTo>
                                <a:pt x="137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7.850006pt;margin-top:20.27776pt;width:108pt;height:.1pt;mso-position-horizontal-relative:page;mso-position-vertical-relative:paragraph;z-index:-15727616;mso-wrap-distance-left:0;mso-wrap-distance-right:0" id="docshape4" coordorigin="8557,406" coordsize="2160,0" path="m8557,406l10717,406e" filled="false" stroked="true" strokeweight=".487125pt" strokecolor="#000000">
                <v:path arrowok="t"/>
                <v:stroke dashstyle="solid"/>
                <w10:wrap type="topAndBottom"/>
              </v:shape>
            </w:pict>
          </mc:Fallback>
        </mc:AlternateContent>
      </w:r>
    </w:p>
    <w:p>
      <w:pPr>
        <w:pStyle w:val="BodyText"/>
        <w:tabs>
          <w:tab w:pos="4616" w:val="left" w:leader="none"/>
          <w:tab w:pos="7497" w:val="left" w:leader="none"/>
        </w:tabs>
        <w:spacing w:before="137"/>
        <w:ind w:left="296"/>
      </w:pPr>
      <w:r>
        <w:rPr/>
        <w:t>Name</w:t>
      </w:r>
      <w:r>
        <w:rPr>
          <w:spacing w:val="-2"/>
        </w:rPr>
        <w:t> </w:t>
      </w:r>
      <w:r>
        <w:rPr/>
        <w:t>of</w:t>
      </w:r>
      <w:r>
        <w:rPr>
          <w:spacing w:val="-2"/>
        </w:rPr>
        <w:t> student</w:t>
      </w:r>
      <w:r>
        <w:rPr/>
        <w:tab/>
      </w:r>
      <w:r>
        <w:rPr>
          <w:spacing w:val="-2"/>
        </w:rPr>
        <w:t>Signature</w:t>
      </w:r>
      <w:r>
        <w:rPr/>
        <w:tab/>
      </w:r>
      <w:r>
        <w:rPr>
          <w:spacing w:val="-4"/>
        </w:rPr>
        <w:t>Date</w:t>
      </w:r>
    </w:p>
    <w:p>
      <w:pPr>
        <w:spacing w:after="0"/>
        <w:sectPr>
          <w:pgSz w:w="12240" w:h="15840"/>
          <w:pgMar w:header="0" w:footer="1015" w:top="1360" w:bottom="1200" w:left="1720" w:right="300"/>
        </w:sectPr>
      </w:pPr>
    </w:p>
    <w:p>
      <w:pPr>
        <w:pStyle w:val="Heading1"/>
        <w:ind w:left="957"/>
      </w:pPr>
      <w:bookmarkStart w:name="_TOC_250079" w:id="2"/>
      <w:bookmarkEnd w:id="2"/>
      <w:r>
        <w:rPr>
          <w:spacing w:val="-2"/>
        </w:rPr>
        <w:t>CERTIFICATION</w:t>
      </w:r>
    </w:p>
    <w:p>
      <w:pPr>
        <w:pStyle w:val="BodyText"/>
        <w:spacing w:line="360" w:lineRule="auto" w:before="274"/>
        <w:ind w:left="296" w:right="1137"/>
        <w:jc w:val="both"/>
      </w:pPr>
      <w:r>
        <w:rPr/>
        <w:t>This dissertation entitled CHRONOMODULATED NIFEDIPINE ADMINISTRATION AND</w:t>
      </w:r>
      <w:r>
        <w:rPr>
          <w:spacing w:val="67"/>
          <w:w w:val="150"/>
        </w:rPr>
        <w:t>  </w:t>
      </w:r>
      <w:r>
        <w:rPr/>
        <w:t>MICROVASCULAR</w:t>
      </w:r>
      <w:r>
        <w:rPr>
          <w:spacing w:val="67"/>
          <w:w w:val="150"/>
        </w:rPr>
        <w:t>  </w:t>
      </w:r>
      <w:r>
        <w:rPr/>
        <w:t>COMPLICATIONS</w:t>
      </w:r>
      <w:r>
        <w:rPr>
          <w:spacing w:val="69"/>
          <w:w w:val="150"/>
        </w:rPr>
        <w:t>  </w:t>
      </w:r>
      <w:r>
        <w:rPr/>
        <w:t>IN</w:t>
      </w:r>
      <w:r>
        <w:rPr>
          <w:spacing w:val="68"/>
          <w:w w:val="150"/>
        </w:rPr>
        <w:t>  </w:t>
      </w:r>
      <w:r>
        <w:rPr/>
        <w:t>GLIMEPIRIDE-</w:t>
      </w:r>
      <w:r>
        <w:rPr>
          <w:spacing w:val="-2"/>
        </w:rPr>
        <w:t>TREATED</w:t>
      </w:r>
    </w:p>
    <w:p>
      <w:pPr>
        <w:pStyle w:val="BodyText"/>
        <w:spacing w:line="360" w:lineRule="auto" w:before="1"/>
        <w:ind w:left="296" w:right="1141"/>
        <w:jc w:val="both"/>
      </w:pPr>
      <w:r>
        <w:rPr/>
        <w:t>HYPERGLYCAEMIC RATS by Michael Ikechukwu ORAEBOSI meets the regulations governing the award of the degree of Master of Science (Pharmacology) of the Ahmadu Bello University, and is approved for its contribution to knowledge and literary </w:t>
      </w:r>
      <w:r>
        <w:rPr>
          <w:spacing w:val="-2"/>
        </w:rPr>
        <w:t>presentation.</w:t>
      </w:r>
    </w:p>
    <w:p>
      <w:pPr>
        <w:pStyle w:val="BodyText"/>
        <w:rPr>
          <w:sz w:val="20"/>
        </w:rPr>
      </w:pPr>
    </w:p>
    <w:p>
      <w:pPr>
        <w:pStyle w:val="BodyText"/>
        <w:rPr>
          <w:sz w:val="20"/>
        </w:rPr>
      </w:pPr>
    </w:p>
    <w:p>
      <w:pPr>
        <w:pStyle w:val="BodyText"/>
        <w:spacing w:before="37"/>
        <w:rPr>
          <w:sz w:val="20"/>
        </w:rPr>
      </w:pPr>
      <w:r>
        <w:rPr/>
        <mc:AlternateContent>
          <mc:Choice Requires="wps">
            <w:drawing>
              <wp:anchor distT="0" distB="0" distL="0" distR="0" allowOverlap="1" layoutInCell="1" locked="0" behindDoc="1" simplePos="0" relativeHeight="487589376">
                <wp:simplePos x="0" y="0"/>
                <wp:positionH relativeFrom="page">
                  <wp:posOffset>1269364</wp:posOffset>
                </wp:positionH>
                <wp:positionV relativeFrom="paragraph">
                  <wp:posOffset>184958</wp:posOffset>
                </wp:positionV>
                <wp:extent cx="239014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390140" cy="1270"/>
                        </a:xfrm>
                        <a:custGeom>
                          <a:avLst/>
                          <a:gdLst/>
                          <a:ahLst/>
                          <a:cxnLst/>
                          <a:rect l="l" t="t" r="r" b="b"/>
                          <a:pathLst>
                            <a:path w="2390140" h="0">
                              <a:moveTo>
                                <a:pt x="0" y="0"/>
                              </a:moveTo>
                              <a:lnTo>
                                <a:pt x="23901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949997pt;margin-top:14.563672pt;width:188.2pt;height:.1pt;mso-position-horizontal-relative:page;mso-position-vertical-relative:paragraph;z-index:-15727104;mso-wrap-distance-left:0;mso-wrap-distance-right:0" id="docshape5" coordorigin="1999,291" coordsize="3764,0" path="m1999,291l5763,291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5852159</wp:posOffset>
                </wp:positionH>
                <wp:positionV relativeFrom="paragraph">
                  <wp:posOffset>337358</wp:posOffset>
                </wp:positionV>
                <wp:extent cx="152019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520190" cy="1270"/>
                        </a:xfrm>
                        <a:custGeom>
                          <a:avLst/>
                          <a:gdLst/>
                          <a:ahLst/>
                          <a:cxnLst/>
                          <a:rect l="l" t="t" r="r" b="b"/>
                          <a:pathLst>
                            <a:path w="1520190" h="0">
                              <a:moveTo>
                                <a:pt x="0" y="0"/>
                              </a:moveTo>
                              <a:lnTo>
                                <a:pt x="152018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0.799988pt;margin-top:26.563671pt;width:119.7pt;height:.1pt;mso-position-horizontal-relative:page;mso-position-vertical-relative:paragraph;z-index:-15726592;mso-wrap-distance-left:0;mso-wrap-distance-right:0" id="docshape6" coordorigin="9216,531" coordsize="2394,0" path="m9216,531l11610,531e" filled="false" stroked="true" strokeweight=".75pt" strokecolor="#000000">
                <v:path arrowok="t"/>
                <v:stroke dashstyle="solid"/>
                <w10:wrap type="topAndBottom"/>
              </v:shape>
            </w:pict>
          </mc:Fallback>
        </mc:AlternateContent>
      </w:r>
    </w:p>
    <w:p>
      <w:pPr>
        <w:pStyle w:val="BodyText"/>
        <w:spacing w:before="1"/>
        <w:rPr>
          <w:sz w:val="18"/>
        </w:rPr>
      </w:pPr>
    </w:p>
    <w:p>
      <w:pPr>
        <w:pStyle w:val="BodyText"/>
        <w:tabs>
          <w:tab w:pos="7997" w:val="left" w:leader="none"/>
        </w:tabs>
        <w:spacing w:before="242"/>
        <w:ind w:left="296"/>
      </w:pPr>
      <w:r>
        <w:rPr/>
        <w:t>Dr.</w:t>
      </w:r>
      <w:r>
        <w:rPr>
          <w:spacing w:val="-5"/>
        </w:rPr>
        <w:t> </w:t>
      </w:r>
      <w:r>
        <w:rPr/>
        <w:t>T.O.</w:t>
      </w:r>
      <w:r>
        <w:rPr>
          <w:spacing w:val="-1"/>
        </w:rPr>
        <w:t> </w:t>
      </w:r>
      <w:r>
        <w:rPr>
          <w:spacing w:val="-2"/>
        </w:rPr>
        <w:t>Olurishe,</w:t>
      </w:r>
      <w:r>
        <w:rPr/>
        <w:tab/>
      </w:r>
      <w:r>
        <w:rPr>
          <w:spacing w:val="-4"/>
        </w:rPr>
        <w:t>Date</w:t>
      </w:r>
    </w:p>
    <w:p>
      <w:pPr>
        <w:pStyle w:val="BodyText"/>
        <w:spacing w:before="140"/>
        <w:ind w:left="296"/>
      </w:pPr>
      <w:r>
        <w:rPr/>
        <w:t>Chairman, Supervisory</w:t>
      </w:r>
      <w:r>
        <w:rPr>
          <w:spacing w:val="-4"/>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590400">
                <wp:simplePos x="0" y="0"/>
                <wp:positionH relativeFrom="page">
                  <wp:posOffset>1269364</wp:posOffset>
                </wp:positionH>
                <wp:positionV relativeFrom="paragraph">
                  <wp:posOffset>231524</wp:posOffset>
                </wp:positionV>
                <wp:extent cx="259969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599690" cy="1270"/>
                        </a:xfrm>
                        <a:custGeom>
                          <a:avLst/>
                          <a:gdLst/>
                          <a:ahLst/>
                          <a:cxnLst/>
                          <a:rect l="l" t="t" r="r" b="b"/>
                          <a:pathLst>
                            <a:path w="2599690" h="0">
                              <a:moveTo>
                                <a:pt x="0" y="0"/>
                              </a:moveTo>
                              <a:lnTo>
                                <a:pt x="25996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949997pt;margin-top:18.230274pt;width:204.7pt;height:.1pt;mso-position-horizontal-relative:page;mso-position-vertical-relative:paragraph;z-index:-15726080;mso-wrap-distance-left:0;mso-wrap-distance-right:0" id="docshape7" coordorigin="1999,365" coordsize="4094,0" path="m1999,365l6093,365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5807709</wp:posOffset>
                </wp:positionH>
                <wp:positionV relativeFrom="paragraph">
                  <wp:posOffset>296929</wp:posOffset>
                </wp:positionV>
                <wp:extent cx="156464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564640" cy="1270"/>
                        </a:xfrm>
                        <a:custGeom>
                          <a:avLst/>
                          <a:gdLst/>
                          <a:ahLst/>
                          <a:cxnLst/>
                          <a:rect l="l" t="t" r="r" b="b"/>
                          <a:pathLst>
                            <a:path w="1564640" h="0">
                              <a:moveTo>
                                <a:pt x="0" y="0"/>
                              </a:moveTo>
                              <a:lnTo>
                                <a:pt x="156463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7.299988pt;margin-top:23.380274pt;width:123.2pt;height:.1pt;mso-position-horizontal-relative:page;mso-position-vertical-relative:paragraph;z-index:-15725568;mso-wrap-distance-left:0;mso-wrap-distance-right:0" id="docshape8" coordorigin="9146,468" coordsize="2464,0" path="m9146,468l11610,468e" filled="false" stroked="true" strokeweight=".75pt" strokecolor="#000000">
                <v:path arrowok="t"/>
                <v:stroke dashstyle="solid"/>
                <w10:wrap type="topAndBottom"/>
              </v:shape>
            </w:pict>
          </mc:Fallback>
        </mc:AlternateContent>
      </w:r>
    </w:p>
    <w:p>
      <w:pPr>
        <w:pStyle w:val="BodyText"/>
        <w:spacing w:before="2"/>
        <w:rPr>
          <w:sz w:val="6"/>
        </w:rPr>
      </w:pPr>
    </w:p>
    <w:p>
      <w:pPr>
        <w:pStyle w:val="BodyText"/>
        <w:tabs>
          <w:tab w:pos="8217" w:val="left" w:leader="none"/>
        </w:tabs>
        <w:spacing w:before="215"/>
        <w:ind w:left="296"/>
      </w:pPr>
      <w:r>
        <w:rPr/>
        <w:t>Dr.</w:t>
      </w:r>
      <w:r>
        <w:rPr>
          <w:spacing w:val="-1"/>
        </w:rPr>
        <w:t> </w:t>
      </w:r>
      <w:r>
        <w:rPr/>
        <w:t>L.O.</w:t>
      </w:r>
      <w:r>
        <w:rPr>
          <w:spacing w:val="-2"/>
        </w:rPr>
        <w:t> Ayanwuyi</w:t>
      </w:r>
      <w:r>
        <w:rPr/>
        <w:tab/>
      </w:r>
      <w:r>
        <w:rPr>
          <w:spacing w:val="-4"/>
        </w:rPr>
        <w:t>Date</w:t>
      </w:r>
    </w:p>
    <w:p>
      <w:pPr>
        <w:pStyle w:val="BodyText"/>
        <w:spacing w:before="137"/>
        <w:ind w:left="296"/>
      </w:pPr>
      <w:r>
        <w:rPr/>
        <w:t>Member, Supervisory</w:t>
      </w:r>
      <w:r>
        <w:rPr>
          <w:spacing w:val="-5"/>
        </w:rPr>
        <w:t> </w:t>
      </w:r>
      <w:r>
        <w:rPr>
          <w:spacing w:val="-2"/>
        </w:rPr>
        <w:t>Committee</w:t>
      </w:r>
    </w:p>
    <w:p>
      <w:pPr>
        <w:pStyle w:val="BodyText"/>
        <w:rPr>
          <w:sz w:val="20"/>
        </w:rPr>
      </w:pPr>
    </w:p>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591424">
                <wp:simplePos x="0" y="0"/>
                <wp:positionH relativeFrom="page">
                  <wp:posOffset>1269364</wp:posOffset>
                </wp:positionH>
                <wp:positionV relativeFrom="paragraph">
                  <wp:posOffset>232159</wp:posOffset>
                </wp:positionV>
                <wp:extent cx="259969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2599690" cy="1270"/>
                        </a:xfrm>
                        <a:custGeom>
                          <a:avLst/>
                          <a:gdLst/>
                          <a:ahLst/>
                          <a:cxnLst/>
                          <a:rect l="l" t="t" r="r" b="b"/>
                          <a:pathLst>
                            <a:path w="2599690" h="0">
                              <a:moveTo>
                                <a:pt x="0" y="0"/>
                              </a:moveTo>
                              <a:lnTo>
                                <a:pt x="25996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949997pt;margin-top:18.280273pt;width:204.7pt;height:.1pt;mso-position-horizontal-relative:page;mso-position-vertical-relative:paragraph;z-index:-15725056;mso-wrap-distance-left:0;mso-wrap-distance-right:0" id="docshape9" coordorigin="1999,366" coordsize="4094,0" path="m1999,366l6093,366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5852159</wp:posOffset>
                </wp:positionH>
                <wp:positionV relativeFrom="paragraph">
                  <wp:posOffset>297564</wp:posOffset>
                </wp:positionV>
                <wp:extent cx="156464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564640" cy="1270"/>
                        </a:xfrm>
                        <a:custGeom>
                          <a:avLst/>
                          <a:gdLst/>
                          <a:ahLst/>
                          <a:cxnLst/>
                          <a:rect l="l" t="t" r="r" b="b"/>
                          <a:pathLst>
                            <a:path w="1564640" h="0">
                              <a:moveTo>
                                <a:pt x="0" y="0"/>
                              </a:moveTo>
                              <a:lnTo>
                                <a:pt x="156463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0.799988pt;margin-top:23.430273pt;width:123.2pt;height:.1pt;mso-position-horizontal-relative:page;mso-position-vertical-relative:paragraph;z-index:-15724544;mso-wrap-distance-left:0;mso-wrap-distance-right:0" id="docshape10" coordorigin="9216,469" coordsize="2464,0" path="m9216,469l11680,469e" filled="false" stroked="true" strokeweight=".75pt" strokecolor="#000000">
                <v:path arrowok="t"/>
                <v:stroke dashstyle="solid"/>
                <w10:wrap type="topAndBottom"/>
              </v:shape>
            </w:pict>
          </mc:Fallback>
        </mc:AlternateContent>
      </w:r>
    </w:p>
    <w:p>
      <w:pPr>
        <w:pStyle w:val="BodyText"/>
        <w:spacing w:before="2"/>
        <w:rPr>
          <w:sz w:val="6"/>
        </w:rPr>
      </w:pPr>
    </w:p>
    <w:p>
      <w:pPr>
        <w:pStyle w:val="BodyText"/>
        <w:tabs>
          <w:tab w:pos="8217" w:val="left" w:leader="none"/>
        </w:tabs>
        <w:spacing w:before="214"/>
        <w:ind w:left="296"/>
      </w:pPr>
      <w:r>
        <w:rPr/>
        <w:t>Dr.</w:t>
      </w:r>
      <w:r>
        <w:rPr>
          <w:spacing w:val="-4"/>
        </w:rPr>
        <w:t> </w:t>
      </w:r>
      <w:r>
        <w:rPr/>
        <w:t>N.M.</w:t>
      </w:r>
      <w:r>
        <w:rPr>
          <w:spacing w:val="-1"/>
        </w:rPr>
        <w:t> </w:t>
      </w:r>
      <w:r>
        <w:rPr>
          <w:spacing w:val="-2"/>
        </w:rPr>
        <w:t>Danjuma</w:t>
      </w:r>
      <w:r>
        <w:rPr/>
        <w:tab/>
      </w:r>
      <w:r>
        <w:rPr>
          <w:spacing w:val="-4"/>
        </w:rPr>
        <w:t>Date</w:t>
      </w:r>
    </w:p>
    <w:p>
      <w:pPr>
        <w:pStyle w:val="BodyText"/>
        <w:spacing w:before="139"/>
        <w:ind w:left="296"/>
      </w:pPr>
      <w:r>
        <w:rPr>
          <w:spacing w:val="-4"/>
        </w:rPr>
        <w:t>Head,</w:t>
      </w:r>
    </w:p>
    <w:p>
      <w:pPr>
        <w:pStyle w:val="BodyText"/>
        <w:spacing w:line="360" w:lineRule="auto" w:before="137"/>
        <w:ind w:left="296" w:right="5399"/>
      </w:pPr>
      <w:r>
        <w:rPr/>
        <w:t>Department of Pharmacology and Therapeutics,</w:t>
      </w:r>
      <w:r>
        <w:rPr>
          <w:spacing w:val="-11"/>
        </w:rPr>
        <w:t> </w:t>
      </w:r>
      <w:r>
        <w:rPr/>
        <w:t>Ahmadu</w:t>
      </w:r>
      <w:r>
        <w:rPr>
          <w:spacing w:val="-9"/>
        </w:rPr>
        <w:t> </w:t>
      </w:r>
      <w:r>
        <w:rPr/>
        <w:t>Bello</w:t>
      </w:r>
      <w:r>
        <w:rPr>
          <w:spacing w:val="-11"/>
        </w:rPr>
        <w:t> </w:t>
      </w:r>
      <w:r>
        <w:rPr/>
        <w:t>University,</w:t>
      </w:r>
      <w:r>
        <w:rPr>
          <w:spacing w:val="-9"/>
        </w:rPr>
        <w:t> </w:t>
      </w:r>
      <w:r>
        <w:rPr/>
        <w:t>Zaria</w:t>
      </w:r>
    </w:p>
    <w:p>
      <w:pPr>
        <w:pStyle w:val="BodyText"/>
        <w:rPr>
          <w:sz w:val="20"/>
        </w:rPr>
      </w:pPr>
    </w:p>
    <w:p>
      <w:pPr>
        <w:pStyle w:val="BodyText"/>
        <w:spacing w:before="122"/>
        <w:rPr>
          <w:sz w:val="20"/>
        </w:rPr>
      </w:pPr>
      <w:r>
        <w:rPr/>
        <mc:AlternateContent>
          <mc:Choice Requires="wps">
            <w:drawing>
              <wp:anchor distT="0" distB="0" distL="0" distR="0" allowOverlap="1" layoutInCell="1" locked="0" behindDoc="1" simplePos="0" relativeHeight="487592448">
                <wp:simplePos x="0" y="0"/>
                <wp:positionH relativeFrom="page">
                  <wp:posOffset>5937250</wp:posOffset>
                </wp:positionH>
                <wp:positionV relativeFrom="paragraph">
                  <wp:posOffset>239164</wp:posOffset>
                </wp:positionV>
                <wp:extent cx="154241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542415" cy="1270"/>
                        </a:xfrm>
                        <a:custGeom>
                          <a:avLst/>
                          <a:gdLst/>
                          <a:ahLst/>
                          <a:cxnLst/>
                          <a:rect l="l" t="t" r="r" b="b"/>
                          <a:pathLst>
                            <a:path w="1542415" h="0">
                              <a:moveTo>
                                <a:pt x="0" y="0"/>
                              </a:moveTo>
                              <a:lnTo>
                                <a:pt x="15424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5pt;margin-top:18.831837pt;width:121.45pt;height:.1pt;mso-position-horizontal-relative:page;mso-position-vertical-relative:paragraph;z-index:-15724032;mso-wrap-distance-left:0;mso-wrap-distance-right:0" id="docshape11" coordorigin="9350,377" coordsize="2429,0" path="m9350,377l11779,377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1269364</wp:posOffset>
                </wp:positionH>
                <wp:positionV relativeFrom="paragraph">
                  <wp:posOffset>294409</wp:posOffset>
                </wp:positionV>
                <wp:extent cx="271018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710180" cy="1270"/>
                        </a:xfrm>
                        <a:custGeom>
                          <a:avLst/>
                          <a:gdLst/>
                          <a:ahLst/>
                          <a:cxnLst/>
                          <a:rect l="l" t="t" r="r" b="b"/>
                          <a:pathLst>
                            <a:path w="2710180" h="0">
                              <a:moveTo>
                                <a:pt x="0" y="0"/>
                              </a:moveTo>
                              <a:lnTo>
                                <a:pt x="27101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949997pt;margin-top:23.181835pt;width:213.4pt;height:.1pt;mso-position-horizontal-relative:page;mso-position-vertical-relative:paragraph;z-index:-15723520;mso-wrap-distance-left:0;mso-wrap-distance-right:0" id="docshape12" coordorigin="1999,464" coordsize="4268,0" path="m1999,464l6267,464e" filled="false" stroked="true" strokeweight=".75pt" strokecolor="#000000">
                <v:path arrowok="t"/>
                <v:stroke dashstyle="solid"/>
                <w10:wrap type="topAndBottom"/>
              </v:shape>
            </w:pict>
          </mc:Fallback>
        </mc:AlternateContent>
      </w:r>
    </w:p>
    <w:p>
      <w:pPr>
        <w:pStyle w:val="BodyText"/>
        <w:spacing w:before="9"/>
        <w:rPr>
          <w:sz w:val="4"/>
        </w:rPr>
      </w:pPr>
    </w:p>
    <w:p>
      <w:pPr>
        <w:pStyle w:val="BodyText"/>
        <w:tabs>
          <w:tab w:pos="8217" w:val="left" w:leader="none"/>
        </w:tabs>
        <w:spacing w:before="127"/>
        <w:ind w:left="296"/>
      </w:pPr>
      <w:r>
        <w:rPr/>
        <w:t>Prof</w:t>
      </w:r>
      <w:r>
        <w:rPr>
          <w:spacing w:val="-5"/>
        </w:rPr>
        <w:t> </w:t>
      </w:r>
      <w:r>
        <w:rPr/>
        <w:t>K. </w:t>
      </w:r>
      <w:r>
        <w:rPr>
          <w:spacing w:val="-4"/>
        </w:rPr>
        <w:t>Bala</w:t>
      </w:r>
      <w:r>
        <w:rPr/>
        <w:tab/>
      </w:r>
      <w:r>
        <w:rPr>
          <w:spacing w:val="-4"/>
        </w:rPr>
        <w:t>Date</w:t>
      </w:r>
    </w:p>
    <w:p>
      <w:pPr>
        <w:pStyle w:val="BodyText"/>
        <w:spacing w:before="140"/>
        <w:ind w:left="296"/>
      </w:pPr>
      <w:r>
        <w:rPr>
          <w:spacing w:val="-4"/>
        </w:rPr>
        <w:t>Dean,</w:t>
      </w:r>
    </w:p>
    <w:p>
      <w:pPr>
        <w:pStyle w:val="BodyText"/>
        <w:spacing w:line="360" w:lineRule="auto" w:before="136"/>
        <w:ind w:left="296" w:right="6064"/>
      </w:pPr>
      <w:r>
        <w:rPr/>
        <w:t>School of Postgraduate Studies, Ahmadu</w:t>
      </w:r>
      <w:r>
        <w:rPr>
          <w:spacing w:val="-3"/>
        </w:rPr>
        <w:t> </w:t>
      </w:r>
      <w:r>
        <w:rPr/>
        <w:t>Bello</w:t>
      </w:r>
      <w:r>
        <w:rPr>
          <w:spacing w:val="-2"/>
        </w:rPr>
        <w:t> </w:t>
      </w:r>
      <w:r>
        <w:rPr/>
        <w:t>University,</w:t>
      </w:r>
      <w:r>
        <w:rPr>
          <w:spacing w:val="2"/>
        </w:rPr>
        <w:t> </w:t>
      </w:r>
      <w:r>
        <w:rPr>
          <w:spacing w:val="-4"/>
        </w:rPr>
        <w:t>Zaria</w:t>
      </w:r>
    </w:p>
    <w:p>
      <w:pPr>
        <w:spacing w:after="0" w:line="360" w:lineRule="auto"/>
        <w:sectPr>
          <w:pgSz w:w="12240" w:h="15840"/>
          <w:pgMar w:header="0" w:footer="1015" w:top="1360" w:bottom="1200" w:left="1720" w:right="300"/>
        </w:sectPr>
      </w:pPr>
    </w:p>
    <w:p>
      <w:pPr>
        <w:pStyle w:val="Heading1"/>
        <w:ind w:left="3342" w:right="0"/>
        <w:jc w:val="left"/>
      </w:pPr>
      <w:bookmarkStart w:name="_TOC_250078" w:id="3"/>
      <w:bookmarkEnd w:id="3"/>
      <w:r>
        <w:rPr>
          <w:spacing w:val="-2"/>
        </w:rPr>
        <w:t>ACKNOWLEDGEMENT</w:t>
      </w:r>
    </w:p>
    <w:p>
      <w:pPr>
        <w:pStyle w:val="BodyText"/>
        <w:spacing w:line="360" w:lineRule="auto" w:before="274"/>
        <w:ind w:left="296" w:right="1136"/>
        <w:jc w:val="both"/>
      </w:pPr>
      <w:r>
        <w:rPr/>
        <w:t>I acknowledge God for showing me abundant mercy, grace and unmerited favour throughout the period of this work. My sincere gratitude goes to my supervisors; Dr. T.O. Olurishe and Dr. L.O. Ayanwuyi for their support, encouragement, sacrifices and constructive criticisms. I also wish to acknowledge the support and assistance of Dr. Comfort Olurishe whom I run to whenever I need someone to talk to. You are a good mummy indeed. Many thanks to my family; Dominic, Chinwe, Ngozi, Ebuka, Chinenye Azuka, and Rita Ezeamama for their patience, sacrifices and support towards the success</w:t>
      </w:r>
      <w:r>
        <w:rPr>
          <w:spacing w:val="40"/>
        </w:rPr>
        <w:t> </w:t>
      </w:r>
      <w:r>
        <w:rPr/>
        <w:t>of this work.</w:t>
      </w:r>
      <w:r>
        <w:rPr>
          <w:spacing w:val="80"/>
        </w:rPr>
        <w:t> </w:t>
      </w:r>
      <w:r>
        <w:rPr/>
        <w:t>Thanks to my friends and brothers in research; Mohammed Mustapha, Abdulrasheed Usman (Journal), Umar Suleiman and Chukwumerije Chibuike.</w:t>
      </w:r>
    </w:p>
    <w:p>
      <w:pPr>
        <w:spacing w:after="0" w:line="360" w:lineRule="auto"/>
        <w:jc w:val="both"/>
        <w:sectPr>
          <w:pgSz w:w="12240" w:h="15840"/>
          <w:pgMar w:header="0" w:footer="1015" w:top="1360" w:bottom="1200" w:left="1720" w:right="300"/>
        </w:sectPr>
      </w:pPr>
    </w:p>
    <w:p>
      <w:pPr>
        <w:pStyle w:val="Heading1"/>
        <w:ind w:left="962"/>
      </w:pPr>
      <w:bookmarkStart w:name="_TOC_250077" w:id="4"/>
      <w:bookmarkEnd w:id="4"/>
      <w:r>
        <w:rPr>
          <w:spacing w:val="-2"/>
        </w:rPr>
        <w:t>DEDICATION</w:t>
      </w:r>
    </w:p>
    <w:p>
      <w:pPr>
        <w:pStyle w:val="BodyText"/>
        <w:spacing w:before="274"/>
        <w:ind w:left="296"/>
      </w:pPr>
      <w:r>
        <w:rPr/>
        <w:t>This</w:t>
      </w:r>
      <w:r>
        <w:rPr>
          <w:spacing w:val="-3"/>
        </w:rPr>
        <w:t> </w:t>
      </w:r>
      <w:r>
        <w:rPr/>
        <w:t>work</w:t>
      </w:r>
      <w:r>
        <w:rPr>
          <w:spacing w:val="-1"/>
        </w:rPr>
        <w:t> </w:t>
      </w:r>
      <w:r>
        <w:rPr/>
        <w:t>is</w:t>
      </w:r>
      <w:r>
        <w:rPr>
          <w:spacing w:val="-1"/>
        </w:rPr>
        <w:t> </w:t>
      </w:r>
      <w:r>
        <w:rPr/>
        <w:t>dedicated</w:t>
      </w:r>
      <w:r>
        <w:rPr>
          <w:spacing w:val="-1"/>
        </w:rPr>
        <w:t> </w:t>
      </w:r>
      <w:r>
        <w:rPr/>
        <w:t>to</w:t>
      </w:r>
      <w:r>
        <w:rPr>
          <w:spacing w:val="1"/>
        </w:rPr>
        <w:t> </w:t>
      </w:r>
      <w:r>
        <w:rPr/>
        <w:t>Very</w:t>
      </w:r>
      <w:r>
        <w:rPr>
          <w:spacing w:val="-5"/>
        </w:rPr>
        <w:t> </w:t>
      </w:r>
      <w:r>
        <w:rPr/>
        <w:t>Rev.</w:t>
      </w:r>
      <w:r>
        <w:rPr>
          <w:spacing w:val="1"/>
        </w:rPr>
        <w:t> </w:t>
      </w:r>
      <w:r>
        <w:rPr/>
        <w:t>Fr.</w:t>
      </w:r>
      <w:r>
        <w:rPr>
          <w:spacing w:val="-1"/>
        </w:rPr>
        <w:t> </w:t>
      </w:r>
      <w:r>
        <w:rPr/>
        <w:t>Okolo</w:t>
      </w:r>
      <w:r>
        <w:rPr>
          <w:spacing w:val="-1"/>
        </w:rPr>
        <w:t> </w:t>
      </w:r>
      <w:r>
        <w:rPr/>
        <w:t>Emmanuel </w:t>
      </w:r>
      <w:r>
        <w:rPr>
          <w:spacing w:val="-2"/>
        </w:rPr>
        <w:t>Uchechukwu.</w:t>
      </w:r>
    </w:p>
    <w:p>
      <w:pPr>
        <w:spacing w:after="0"/>
        <w:sectPr>
          <w:pgSz w:w="12240" w:h="15840"/>
          <w:pgMar w:header="0" w:footer="1015" w:top="1360" w:bottom="1200" w:left="1720" w:right="300"/>
        </w:sectPr>
      </w:pPr>
    </w:p>
    <w:p>
      <w:pPr>
        <w:pStyle w:val="BodyText"/>
        <w:spacing w:before="72"/>
        <w:ind w:left="962" w:right="1802"/>
        <w:jc w:val="center"/>
      </w:pPr>
      <w:r>
        <w:rPr/>
        <w:t>TABLE</w:t>
      </w:r>
      <w:r>
        <w:rPr>
          <w:spacing w:val="-2"/>
        </w:rPr>
        <w:t> </w:t>
      </w:r>
      <w:r>
        <w:rPr/>
        <w:t>OF</w:t>
      </w:r>
      <w:r>
        <w:rPr>
          <w:spacing w:val="-2"/>
        </w:rPr>
        <w:t> CONTENTS</w:t>
      </w:r>
    </w:p>
    <w:p>
      <w:pPr>
        <w:spacing w:after="0"/>
        <w:jc w:val="center"/>
        <w:sectPr>
          <w:pgSz w:w="12240" w:h="15840"/>
          <w:pgMar w:header="0" w:footer="1015" w:top="1360" w:bottom="1966" w:left="1720" w:right="300"/>
        </w:sectPr>
      </w:pPr>
    </w:p>
    <w:sdt>
      <w:sdtPr>
        <w:docPartObj>
          <w:docPartGallery w:val="Table of Contents"/>
          <w:docPartUnique/>
        </w:docPartObj>
      </w:sdtPr>
      <w:sdtEndPr/>
      <w:sdtContent>
        <w:p>
          <w:pPr>
            <w:pStyle w:val="TOC2"/>
            <w:tabs>
              <w:tab w:pos="9071" w:val="right" w:leader="dot"/>
            </w:tabs>
            <w:ind w:left="296" w:firstLine="0"/>
          </w:pPr>
          <w:r>
            <w:rPr/>
            <w:t>Tittle</w:t>
          </w:r>
          <w:r>
            <w:rPr>
              <w:spacing w:val="-2"/>
            </w:rPr>
            <w:t> </w:t>
          </w:r>
          <w:r>
            <w:rPr>
              <w:spacing w:val="-4"/>
            </w:rPr>
            <w:t>page</w:t>
          </w:r>
          <w:r>
            <w:rPr/>
            <w:tab/>
          </w:r>
          <w:r>
            <w:rPr>
              <w:spacing w:val="-10"/>
            </w:rPr>
            <w:t>i</w:t>
          </w:r>
        </w:p>
        <w:p>
          <w:pPr>
            <w:pStyle w:val="TOC1"/>
            <w:tabs>
              <w:tab w:pos="9072" w:val="right" w:leader="dot"/>
            </w:tabs>
            <w:ind w:left="296" w:firstLine="0"/>
          </w:pPr>
          <w:hyperlink w:history="true" w:anchor="_TOC_250080">
            <w:r>
              <w:rPr>
                <w:spacing w:val="-2"/>
              </w:rPr>
              <w:t>Declaration</w:t>
            </w:r>
            <w:r>
              <w:rPr/>
              <w:tab/>
            </w:r>
            <w:r>
              <w:rPr>
                <w:spacing w:val="-5"/>
              </w:rPr>
              <w:t>ii</w:t>
            </w:r>
          </w:hyperlink>
        </w:p>
        <w:p>
          <w:pPr>
            <w:pStyle w:val="TOC1"/>
            <w:tabs>
              <w:tab w:pos="9074" w:val="right" w:leader="dot"/>
            </w:tabs>
            <w:ind w:left="296" w:firstLine="0"/>
          </w:pPr>
          <w:hyperlink w:history="true" w:anchor="_TOC_250079">
            <w:r>
              <w:rPr>
                <w:spacing w:val="-2"/>
              </w:rPr>
              <w:t>Certification</w:t>
            </w:r>
            <w:r>
              <w:rPr/>
              <w:tab/>
            </w:r>
            <w:r>
              <w:rPr>
                <w:spacing w:val="-5"/>
              </w:rPr>
              <w:t>iii</w:t>
            </w:r>
          </w:hyperlink>
        </w:p>
        <w:p>
          <w:pPr>
            <w:pStyle w:val="TOC1"/>
            <w:tabs>
              <w:tab w:pos="9072" w:val="right" w:leader="dot"/>
            </w:tabs>
            <w:ind w:left="296" w:firstLine="0"/>
          </w:pPr>
          <w:hyperlink w:history="true" w:anchor="_TOC_250078">
            <w:r>
              <w:rPr>
                <w:spacing w:val="-2"/>
              </w:rPr>
              <w:t>Acknowledgement</w:t>
            </w:r>
            <w:r>
              <w:rPr/>
              <w:tab/>
            </w:r>
            <w:r>
              <w:rPr>
                <w:spacing w:val="-5"/>
              </w:rPr>
              <w:t>iv</w:t>
            </w:r>
          </w:hyperlink>
        </w:p>
        <w:p>
          <w:pPr>
            <w:pStyle w:val="TOC1"/>
            <w:tabs>
              <w:tab w:pos="9072" w:val="right" w:leader="dot"/>
            </w:tabs>
            <w:ind w:left="296" w:firstLine="0"/>
          </w:pPr>
          <w:hyperlink w:history="true" w:anchor="_TOC_250077">
            <w:r>
              <w:rPr>
                <w:spacing w:val="-2"/>
              </w:rPr>
              <w:t>Dedication</w:t>
            </w:r>
            <w:r>
              <w:rPr/>
              <w:tab/>
            </w:r>
            <w:r>
              <w:rPr>
                <w:spacing w:val="-10"/>
              </w:rPr>
              <w:t>v</w:t>
            </w:r>
          </w:hyperlink>
        </w:p>
        <w:p>
          <w:pPr>
            <w:pStyle w:val="TOC1"/>
            <w:tabs>
              <w:tab w:pos="9072" w:val="right" w:leader="dot"/>
            </w:tabs>
            <w:ind w:left="296" w:firstLine="0"/>
          </w:pPr>
          <w:hyperlink w:history="true" w:anchor="_TOC_250076">
            <w:r>
              <w:rPr/>
              <w:t>List</w:t>
            </w:r>
            <w:r>
              <w:rPr>
                <w:spacing w:val="-2"/>
              </w:rPr>
              <w:t> </w:t>
            </w:r>
            <w:r>
              <w:rPr/>
              <w:t>of</w:t>
            </w:r>
            <w:r>
              <w:rPr>
                <w:spacing w:val="-1"/>
              </w:rPr>
              <w:t> </w:t>
            </w:r>
            <w:r>
              <w:rPr>
                <w:spacing w:val="-2"/>
              </w:rPr>
              <w:t>tables</w:t>
            </w:r>
            <w:r>
              <w:rPr/>
              <w:tab/>
            </w:r>
            <w:r>
              <w:rPr>
                <w:spacing w:val="-10"/>
              </w:rPr>
              <w:t>x</w:t>
            </w:r>
          </w:hyperlink>
        </w:p>
        <w:p>
          <w:pPr>
            <w:pStyle w:val="TOC1"/>
            <w:tabs>
              <w:tab w:pos="9076" w:val="right" w:leader="dot"/>
            </w:tabs>
            <w:spacing w:before="277"/>
            <w:ind w:left="296" w:firstLine="0"/>
          </w:pPr>
          <w:hyperlink w:history="true" w:anchor="_TOC_250075">
            <w:r>
              <w:rPr/>
              <w:t>List</w:t>
            </w:r>
            <w:r>
              <w:rPr>
                <w:spacing w:val="-2"/>
              </w:rPr>
              <w:t> </w:t>
            </w:r>
            <w:r>
              <w:rPr/>
              <w:t>of</w:t>
            </w:r>
            <w:r>
              <w:rPr>
                <w:spacing w:val="-1"/>
              </w:rPr>
              <w:t> </w:t>
            </w:r>
            <w:r>
              <w:rPr>
                <w:spacing w:val="-2"/>
              </w:rPr>
              <w:t>plates</w:t>
            </w:r>
            <w:r>
              <w:rPr/>
              <w:tab/>
            </w:r>
            <w:r>
              <w:rPr>
                <w:spacing w:val="-5"/>
              </w:rPr>
              <w:t>xi</w:t>
            </w:r>
          </w:hyperlink>
        </w:p>
        <w:p>
          <w:pPr>
            <w:pStyle w:val="TOC1"/>
            <w:tabs>
              <w:tab w:pos="9073" w:val="right" w:leader="dot"/>
            </w:tabs>
            <w:ind w:left="296" w:firstLine="0"/>
          </w:pPr>
          <w:hyperlink w:history="true" w:anchor="_TOC_250074">
            <w:r>
              <w:rPr/>
              <w:t>List</w:t>
            </w:r>
            <w:r>
              <w:rPr>
                <w:spacing w:val="-2"/>
              </w:rPr>
              <w:t> </w:t>
            </w:r>
            <w:r>
              <w:rPr/>
              <w:t>of</w:t>
            </w:r>
            <w:r>
              <w:rPr>
                <w:spacing w:val="-1"/>
              </w:rPr>
              <w:t> </w:t>
            </w:r>
            <w:r>
              <w:rPr>
                <w:spacing w:val="-2"/>
              </w:rPr>
              <w:t>figures</w:t>
            </w:r>
            <w:r>
              <w:rPr/>
              <w:tab/>
            </w:r>
            <w:r>
              <w:rPr>
                <w:spacing w:val="-5"/>
              </w:rPr>
              <w:t>xii</w:t>
            </w:r>
          </w:hyperlink>
        </w:p>
        <w:p>
          <w:pPr>
            <w:pStyle w:val="TOC1"/>
            <w:tabs>
              <w:tab w:pos="9073" w:val="right" w:leader="dot"/>
            </w:tabs>
            <w:ind w:left="296" w:firstLine="0"/>
          </w:pPr>
          <w:hyperlink w:history="true" w:anchor="_TOC_250073">
            <w:r>
              <w:rPr/>
              <w:t>List</w:t>
            </w:r>
            <w:r>
              <w:rPr>
                <w:spacing w:val="-2"/>
              </w:rPr>
              <w:t> </w:t>
            </w:r>
            <w:r>
              <w:rPr/>
              <w:t>of</w:t>
            </w:r>
            <w:r>
              <w:rPr>
                <w:spacing w:val="-1"/>
              </w:rPr>
              <w:t> </w:t>
            </w:r>
            <w:r>
              <w:rPr>
                <w:spacing w:val="-2"/>
              </w:rPr>
              <w:t>appendices</w:t>
            </w:r>
            <w:r>
              <w:rPr/>
              <w:tab/>
            </w:r>
            <w:r>
              <w:rPr>
                <w:spacing w:val="-5"/>
              </w:rPr>
              <w:t>xiv</w:t>
            </w:r>
          </w:hyperlink>
        </w:p>
        <w:p>
          <w:pPr>
            <w:pStyle w:val="TOC1"/>
            <w:tabs>
              <w:tab w:pos="9073" w:val="right" w:leader="dot"/>
            </w:tabs>
            <w:ind w:left="296" w:firstLine="0"/>
          </w:pPr>
          <w:hyperlink w:history="true" w:anchor="_TOC_250072">
            <w:r>
              <w:rPr/>
              <w:t>List</w:t>
            </w:r>
            <w:r>
              <w:rPr>
                <w:spacing w:val="-4"/>
              </w:rPr>
              <w:t> </w:t>
            </w:r>
            <w:r>
              <w:rPr/>
              <w:t>of</w:t>
            </w:r>
            <w:r>
              <w:rPr>
                <w:spacing w:val="-1"/>
              </w:rPr>
              <w:t> </w:t>
            </w:r>
            <w:r>
              <w:rPr>
                <w:spacing w:val="-2"/>
              </w:rPr>
              <w:t>abbreviations</w:t>
            </w:r>
            <w:r>
              <w:rPr/>
              <w:tab/>
            </w:r>
            <w:r>
              <w:rPr>
                <w:spacing w:val="-5"/>
              </w:rPr>
              <w:t>xiv</w:t>
            </w:r>
          </w:hyperlink>
        </w:p>
        <w:p>
          <w:pPr>
            <w:pStyle w:val="TOC1"/>
            <w:tabs>
              <w:tab w:pos="9073" w:val="right" w:leader="dot"/>
            </w:tabs>
            <w:ind w:left="296" w:firstLine="0"/>
          </w:pPr>
          <w:hyperlink w:history="true" w:anchor="_TOC_250071">
            <w:r>
              <w:rPr>
                <w:spacing w:val="-2"/>
              </w:rPr>
              <w:t>Abstract</w:t>
            </w:r>
            <w:r>
              <w:rPr/>
              <w:tab/>
            </w:r>
            <w:r>
              <w:rPr>
                <w:spacing w:val="-5"/>
              </w:rPr>
              <w:t>xvi</w:t>
            </w:r>
          </w:hyperlink>
        </w:p>
        <w:p>
          <w:pPr>
            <w:pStyle w:val="TOC1"/>
            <w:tabs>
              <w:tab w:pos="9072" w:val="right" w:leader="dot"/>
            </w:tabs>
            <w:ind w:left="296" w:firstLine="0"/>
          </w:pPr>
          <w:hyperlink w:history="true" w:anchor="_TOC_250070">
            <w:r>
              <w:rPr/>
              <w:t>CHAPTER</w:t>
            </w:r>
            <w:r>
              <w:rPr>
                <w:spacing w:val="-1"/>
              </w:rPr>
              <w:t> </w:t>
            </w:r>
            <w:r>
              <w:rPr>
                <w:spacing w:val="-5"/>
              </w:rPr>
              <w:t>ONE</w:t>
            </w:r>
            <w:r>
              <w:rPr/>
              <w:tab/>
            </w:r>
            <w:r>
              <w:rPr>
                <w:spacing w:val="-10"/>
              </w:rPr>
              <w:t>1</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9">
            <w:r>
              <w:rPr>
                <w:spacing w:val="-2"/>
              </w:rPr>
              <w:t>Introduction</w:t>
            </w:r>
            <w:r>
              <w:rPr/>
              <w:tab/>
            </w:r>
            <w:r>
              <w:rPr>
                <w:spacing w:val="-10"/>
              </w:rPr>
              <w:t>1</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8">
            <w:r>
              <w:rPr>
                <w:spacing w:val="-2"/>
              </w:rPr>
              <w:t>Background</w:t>
            </w:r>
            <w:r>
              <w:rPr/>
              <w:tab/>
            </w:r>
            <w:r>
              <w:rPr>
                <w:spacing w:val="-10"/>
              </w:rPr>
              <w:t>1</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7">
            <w:r>
              <w:rPr/>
              <w:t>Statement</w:t>
            </w:r>
            <w:r>
              <w:rPr>
                <w:spacing w:val="-2"/>
              </w:rPr>
              <w:t> </w:t>
            </w:r>
            <w:r>
              <w:rPr/>
              <w:t>of</w:t>
            </w:r>
            <w:r>
              <w:rPr>
                <w:spacing w:val="-3"/>
              </w:rPr>
              <w:t> </w:t>
            </w:r>
            <w:r>
              <w:rPr/>
              <w:t>research</w:t>
            </w:r>
            <w:r>
              <w:rPr>
                <w:spacing w:val="-1"/>
              </w:rPr>
              <w:t> </w:t>
            </w:r>
            <w:r>
              <w:rPr>
                <w:spacing w:val="-2"/>
              </w:rPr>
              <w:t>problem</w:t>
            </w:r>
            <w:r>
              <w:rPr/>
              <w:tab/>
            </w:r>
            <w:r>
              <w:rPr>
                <w:spacing w:val="-10"/>
              </w:rPr>
              <w:t>3</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6">
            <w:r>
              <w:rPr>
                <w:spacing w:val="-2"/>
              </w:rPr>
              <w:t>Justification</w:t>
            </w:r>
            <w:r>
              <w:rPr/>
              <w:tab/>
            </w:r>
            <w:r>
              <w:rPr>
                <w:spacing w:val="-10"/>
              </w:rPr>
              <w:t>4</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5">
            <w:r>
              <w:rPr>
                <w:spacing w:val="-5"/>
              </w:rPr>
              <w:t>Aim</w:t>
            </w:r>
            <w:r>
              <w:rPr/>
              <w:tab/>
            </w:r>
            <w:r>
              <w:rPr>
                <w:spacing w:val="-10"/>
              </w:rPr>
              <w:t>5</w:t>
            </w:r>
          </w:hyperlink>
        </w:p>
        <w:p>
          <w:pPr>
            <w:pStyle w:val="TOC2"/>
            <w:numPr>
              <w:ilvl w:val="1"/>
              <w:numId w:val="1"/>
            </w:numPr>
            <w:tabs>
              <w:tab w:pos="956" w:val="left" w:leader="none"/>
              <w:tab w:pos="9072" w:val="right" w:leader="dot"/>
            </w:tabs>
            <w:spacing w:line="240" w:lineRule="auto" w:before="276" w:after="0"/>
            <w:ind w:left="956" w:right="0" w:hanging="660"/>
            <w:jc w:val="left"/>
          </w:pPr>
          <w:hyperlink w:history="true" w:anchor="_TOC_250064">
            <w:r>
              <w:rPr/>
              <w:t>Specific</w:t>
            </w:r>
            <w:r>
              <w:rPr>
                <w:spacing w:val="-2"/>
              </w:rPr>
              <w:t> objectives</w:t>
            </w:r>
            <w:r>
              <w:rPr/>
              <w:tab/>
            </w:r>
            <w:r>
              <w:rPr>
                <w:spacing w:val="-10"/>
              </w:rPr>
              <w:t>5</w:t>
            </w:r>
          </w:hyperlink>
        </w:p>
        <w:p>
          <w:pPr>
            <w:pStyle w:val="TOC2"/>
            <w:numPr>
              <w:ilvl w:val="1"/>
              <w:numId w:val="1"/>
            </w:numPr>
            <w:tabs>
              <w:tab w:pos="956" w:val="left" w:leader="none"/>
              <w:tab w:pos="9072" w:val="right" w:leader="dot"/>
            </w:tabs>
            <w:spacing w:line="240" w:lineRule="auto" w:before="277" w:after="0"/>
            <w:ind w:left="956" w:right="0" w:hanging="660"/>
            <w:jc w:val="left"/>
          </w:pPr>
          <w:hyperlink w:history="true" w:anchor="_TOC_250063">
            <w:r>
              <w:rPr>
                <w:spacing w:val="-2"/>
              </w:rPr>
              <w:t>Hypothesis</w:t>
            </w:r>
            <w:r>
              <w:rPr/>
              <w:tab/>
            </w:r>
            <w:r>
              <w:rPr>
                <w:spacing w:val="-10"/>
              </w:rPr>
              <w:t>5</w:t>
            </w:r>
          </w:hyperlink>
        </w:p>
        <w:p>
          <w:pPr>
            <w:pStyle w:val="TOC1"/>
            <w:tabs>
              <w:tab w:pos="9072" w:val="right" w:leader="dot"/>
            </w:tabs>
            <w:ind w:left="296" w:firstLine="0"/>
          </w:pPr>
          <w:hyperlink w:history="true" w:anchor="_TOC_250062">
            <w:r>
              <w:rPr/>
              <w:t>CHAPTER</w:t>
            </w:r>
            <w:r>
              <w:rPr>
                <w:spacing w:val="-1"/>
              </w:rPr>
              <w:t> </w:t>
            </w:r>
            <w:r>
              <w:rPr>
                <w:spacing w:val="-5"/>
              </w:rPr>
              <w:t>TWO</w:t>
            </w:r>
            <w:r>
              <w:rPr/>
              <w:tab/>
            </w:r>
            <w:r>
              <w:rPr>
                <w:spacing w:val="-10"/>
              </w:rPr>
              <w:t>6</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61">
            <w:r>
              <w:rPr/>
              <w:t>Literature</w:t>
            </w:r>
            <w:r>
              <w:rPr>
                <w:spacing w:val="-4"/>
              </w:rPr>
              <w:t> </w:t>
            </w:r>
            <w:r>
              <w:rPr>
                <w:spacing w:val="-2"/>
              </w:rPr>
              <w:t>review</w:t>
            </w:r>
            <w:r>
              <w:rPr/>
              <w:tab/>
            </w:r>
            <w:r>
              <w:rPr>
                <w:spacing w:val="-10"/>
              </w:rPr>
              <w:t>6</w:t>
            </w:r>
          </w:hyperlink>
        </w:p>
        <w:p>
          <w:pPr>
            <w:pStyle w:val="TOC2"/>
            <w:numPr>
              <w:ilvl w:val="1"/>
              <w:numId w:val="2"/>
            </w:numPr>
            <w:tabs>
              <w:tab w:pos="956" w:val="left" w:leader="none"/>
              <w:tab w:pos="9072" w:val="right" w:leader="dot"/>
            </w:tabs>
            <w:spacing w:line="240" w:lineRule="auto" w:before="276" w:after="20"/>
            <w:ind w:left="956" w:right="0" w:hanging="660"/>
            <w:jc w:val="left"/>
          </w:pPr>
          <w:hyperlink w:history="true" w:anchor="_TOC_250060">
            <w:r>
              <w:rPr/>
              <w:t>Chronobiology</w:t>
            </w:r>
            <w:r>
              <w:rPr>
                <w:spacing w:val="-6"/>
              </w:rPr>
              <w:t> </w:t>
            </w:r>
            <w:r>
              <w:rPr/>
              <w:t>and biological </w:t>
            </w:r>
            <w:r>
              <w:rPr>
                <w:spacing w:val="-2"/>
              </w:rPr>
              <w:t>rhythms</w:t>
            </w:r>
            <w:r>
              <w:rPr/>
              <w:tab/>
            </w:r>
            <w:r>
              <w:rPr>
                <w:spacing w:val="-10"/>
              </w:rPr>
              <w:t>6</w:t>
            </w:r>
          </w:hyperlink>
        </w:p>
        <w:p>
          <w:pPr>
            <w:pStyle w:val="TOC2"/>
            <w:numPr>
              <w:ilvl w:val="1"/>
              <w:numId w:val="2"/>
            </w:numPr>
            <w:tabs>
              <w:tab w:pos="956" w:val="left" w:leader="none"/>
              <w:tab w:pos="9072" w:val="right" w:leader="dot"/>
            </w:tabs>
            <w:spacing w:line="240" w:lineRule="auto" w:before="72" w:after="0"/>
            <w:ind w:left="956" w:right="0" w:hanging="660"/>
            <w:jc w:val="left"/>
          </w:pPr>
          <w:hyperlink w:history="true" w:anchor="_TOC_250059">
            <w:r>
              <w:rPr>
                <w:spacing w:val="-2"/>
              </w:rPr>
              <w:t>Chronopharmacology</w:t>
            </w:r>
            <w:r>
              <w:rPr/>
              <w:tab/>
            </w:r>
            <w:r>
              <w:rPr>
                <w:spacing w:val="-10"/>
              </w:rPr>
              <w:t>7</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58">
            <w:r>
              <w:rPr>
                <w:spacing w:val="-2"/>
              </w:rPr>
              <w:t>Chronopharmacokinetics</w:t>
            </w:r>
            <w:r>
              <w:rPr/>
              <w:tab/>
            </w:r>
            <w:r>
              <w:rPr>
                <w:spacing w:val="-10"/>
              </w:rPr>
              <w:t>7</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57">
            <w:r>
              <w:rPr>
                <w:spacing w:val="-2"/>
              </w:rPr>
              <w:t>Chronopharmacodynamics</w:t>
            </w:r>
            <w:r>
              <w:rPr/>
              <w:tab/>
            </w:r>
            <w:r>
              <w:rPr>
                <w:spacing w:val="-10"/>
              </w:rPr>
              <w:t>8</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56">
            <w:r>
              <w:rPr>
                <w:spacing w:val="-2"/>
              </w:rPr>
              <w:t>Chronotoxicology</w:t>
            </w:r>
            <w:r>
              <w:rPr/>
              <w:tab/>
            </w:r>
            <w:r>
              <w:rPr>
                <w:spacing w:val="-10"/>
              </w:rPr>
              <w:t>8</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55">
            <w:r>
              <w:rPr>
                <w:spacing w:val="-2"/>
              </w:rPr>
              <w:t>Chronotherapy</w:t>
            </w:r>
            <w:r>
              <w:rPr/>
              <w:tab/>
            </w:r>
            <w:r>
              <w:rPr>
                <w:spacing w:val="-10"/>
              </w:rPr>
              <w:t>9</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54">
            <w:r>
              <w:rPr/>
              <w:t>Diabetes</w:t>
            </w:r>
            <w:r>
              <w:rPr>
                <w:spacing w:val="-5"/>
              </w:rPr>
              <w:t> </w:t>
            </w:r>
            <w:r>
              <w:rPr>
                <w:spacing w:val="-2"/>
              </w:rPr>
              <w:t>mellitus</w:t>
            </w:r>
            <w:r>
              <w:rPr/>
              <w:tab/>
            </w:r>
            <w:r>
              <w:rPr>
                <w:spacing w:val="-7"/>
              </w:rPr>
              <w:t>10</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53">
            <w:r>
              <w:rPr/>
              <w:t>Types</w:t>
            </w:r>
            <w:r>
              <w:rPr>
                <w:spacing w:val="-2"/>
              </w:rPr>
              <w:t> </w:t>
            </w:r>
            <w:r>
              <w:rPr/>
              <w:t>of</w:t>
            </w:r>
            <w:r>
              <w:rPr>
                <w:spacing w:val="-2"/>
              </w:rPr>
              <w:t> </w:t>
            </w:r>
            <w:r>
              <w:rPr/>
              <w:t>diabetes</w:t>
            </w:r>
            <w:r>
              <w:rPr>
                <w:spacing w:val="-2"/>
              </w:rPr>
              <w:t> mellitus</w:t>
            </w:r>
            <w:r>
              <w:rPr/>
              <w:tab/>
            </w:r>
            <w:r>
              <w:rPr>
                <w:spacing w:val="-5"/>
              </w:rPr>
              <w:t>10</w:t>
            </w:r>
          </w:hyperlink>
        </w:p>
        <w:p>
          <w:pPr>
            <w:pStyle w:val="TOC2"/>
            <w:numPr>
              <w:ilvl w:val="1"/>
              <w:numId w:val="2"/>
            </w:numPr>
            <w:tabs>
              <w:tab w:pos="956" w:val="left" w:leader="none"/>
              <w:tab w:pos="9072" w:val="right" w:leader="dot"/>
            </w:tabs>
            <w:spacing w:line="240" w:lineRule="auto" w:before="277" w:after="0"/>
            <w:ind w:left="956" w:right="0" w:hanging="660"/>
            <w:jc w:val="left"/>
          </w:pPr>
          <w:hyperlink w:history="true" w:anchor="_TOC_250052">
            <w:r>
              <w:rPr/>
              <w:t>Pathogenesis</w:t>
            </w:r>
            <w:r>
              <w:rPr>
                <w:spacing w:val="-1"/>
              </w:rPr>
              <w:t> </w:t>
            </w:r>
            <w:r>
              <w:rPr/>
              <w:t>and</w:t>
            </w:r>
            <w:r>
              <w:rPr>
                <w:spacing w:val="-1"/>
              </w:rPr>
              <w:t> </w:t>
            </w:r>
            <w:r>
              <w:rPr/>
              <w:t>pathophysiology</w:t>
            </w:r>
            <w:r>
              <w:rPr>
                <w:spacing w:val="-6"/>
              </w:rPr>
              <w:t> </w:t>
            </w:r>
            <w:r>
              <w:rPr/>
              <w:t>of</w:t>
            </w:r>
            <w:r>
              <w:rPr>
                <w:spacing w:val="-1"/>
              </w:rPr>
              <w:t> </w:t>
            </w:r>
            <w:r>
              <w:rPr/>
              <w:t>diabetes </w:t>
            </w:r>
            <w:r>
              <w:rPr>
                <w:spacing w:val="-2"/>
              </w:rPr>
              <w:t>mellitus</w:t>
            </w:r>
            <w:r>
              <w:rPr/>
              <w:tab/>
            </w:r>
            <w:r>
              <w:rPr>
                <w:spacing w:val="-5"/>
              </w:rPr>
              <w:t>12</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51">
            <w:r>
              <w:rPr/>
              <w:t>Prevalence</w:t>
            </w:r>
            <w:r>
              <w:rPr>
                <w:spacing w:val="-3"/>
              </w:rPr>
              <w:t> </w:t>
            </w:r>
            <w:r>
              <w:rPr/>
              <w:t>of</w:t>
            </w:r>
            <w:r>
              <w:rPr>
                <w:spacing w:val="-1"/>
              </w:rPr>
              <w:t> </w:t>
            </w:r>
            <w:r>
              <w:rPr/>
              <w:t>diabetes</w:t>
            </w:r>
            <w:r>
              <w:rPr>
                <w:spacing w:val="-1"/>
              </w:rPr>
              <w:t> </w:t>
            </w:r>
            <w:r>
              <w:rPr>
                <w:spacing w:val="-2"/>
              </w:rPr>
              <w:t>mellitus</w:t>
            </w:r>
            <w:r>
              <w:rPr/>
              <w:tab/>
            </w:r>
            <w:r>
              <w:rPr>
                <w:spacing w:val="-5"/>
              </w:rPr>
              <w:t>13</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50">
            <w:r>
              <w:rPr/>
              <w:t>Diabetic</w:t>
            </w:r>
            <w:r>
              <w:rPr>
                <w:spacing w:val="-3"/>
              </w:rPr>
              <w:t> </w:t>
            </w:r>
            <w:r>
              <w:rPr>
                <w:spacing w:val="-2"/>
              </w:rPr>
              <w:t>complications</w:t>
            </w:r>
            <w:r>
              <w:rPr/>
              <w:tab/>
            </w:r>
            <w:r>
              <w:rPr>
                <w:spacing w:val="-5"/>
              </w:rPr>
              <w:t>14</w:t>
            </w:r>
          </w:hyperlink>
        </w:p>
        <w:p>
          <w:pPr>
            <w:pStyle w:val="TOC2"/>
            <w:numPr>
              <w:ilvl w:val="2"/>
              <w:numId w:val="2"/>
            </w:numPr>
            <w:tabs>
              <w:tab w:pos="1016" w:val="left" w:leader="none"/>
              <w:tab w:pos="9072" w:val="right" w:leader="dot"/>
            </w:tabs>
            <w:spacing w:line="240" w:lineRule="auto" w:before="276" w:after="0"/>
            <w:ind w:left="1016" w:right="0" w:hanging="720"/>
            <w:jc w:val="left"/>
          </w:pPr>
          <w:hyperlink w:history="true" w:anchor="_TOC_250049">
            <w:r>
              <w:rPr/>
              <w:t>Microvascular</w:t>
            </w:r>
            <w:r>
              <w:rPr>
                <w:spacing w:val="-3"/>
              </w:rPr>
              <w:t> </w:t>
            </w:r>
            <w:r>
              <w:rPr>
                <w:spacing w:val="-2"/>
              </w:rPr>
              <w:t>complications</w:t>
            </w:r>
            <w:r>
              <w:rPr/>
              <w:tab/>
            </w:r>
            <w:r>
              <w:rPr>
                <w:spacing w:val="-5"/>
              </w:rPr>
              <w:t>14</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8">
            <w:r>
              <w:rPr/>
              <w:t>Macrovascular</w:t>
            </w:r>
            <w:r>
              <w:rPr>
                <w:spacing w:val="-3"/>
              </w:rPr>
              <w:t> </w:t>
            </w:r>
            <w:r>
              <w:rPr>
                <w:spacing w:val="-2"/>
              </w:rPr>
              <w:t>complications</w:t>
            </w:r>
            <w:r>
              <w:rPr/>
              <w:tab/>
            </w:r>
            <w:r>
              <w:rPr>
                <w:spacing w:val="-5"/>
              </w:rPr>
              <w:t>17</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47">
            <w:r>
              <w:rPr/>
              <w:t>Management</w:t>
            </w:r>
            <w:r>
              <w:rPr>
                <w:spacing w:val="-2"/>
              </w:rPr>
              <w:t> </w:t>
            </w:r>
            <w:r>
              <w:rPr/>
              <w:t>of</w:t>
            </w:r>
            <w:r>
              <w:rPr>
                <w:spacing w:val="-2"/>
              </w:rPr>
              <w:t> </w:t>
            </w:r>
            <w:r>
              <w:rPr/>
              <w:t>diabetes </w:t>
            </w:r>
            <w:r>
              <w:rPr>
                <w:spacing w:val="-2"/>
              </w:rPr>
              <w:t>mellitus</w:t>
            </w:r>
            <w:r>
              <w:rPr/>
              <w:tab/>
            </w:r>
            <w:r>
              <w:rPr>
                <w:spacing w:val="-5"/>
              </w:rPr>
              <w:t>17</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6">
            <w:r>
              <w:rPr/>
              <w:t>Lifestyle</w:t>
            </w:r>
            <w:r>
              <w:rPr>
                <w:spacing w:val="-6"/>
              </w:rPr>
              <w:t> </w:t>
            </w:r>
            <w:r>
              <w:rPr>
                <w:spacing w:val="-2"/>
              </w:rPr>
              <w:t>management</w:t>
            </w:r>
            <w:r>
              <w:rPr/>
              <w:tab/>
            </w:r>
            <w:r>
              <w:rPr>
                <w:spacing w:val="-5"/>
              </w:rPr>
              <w:t>17</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5">
            <w:r>
              <w:rPr>
                <w:spacing w:val="-2"/>
              </w:rPr>
              <w:t>Pharmacotherapy</w:t>
            </w:r>
            <w:r>
              <w:rPr/>
              <w:tab/>
            </w:r>
            <w:r>
              <w:rPr>
                <w:spacing w:val="-5"/>
              </w:rPr>
              <w:t>18</w:t>
            </w:r>
          </w:hyperlink>
        </w:p>
        <w:p>
          <w:pPr>
            <w:pStyle w:val="TOC2"/>
            <w:numPr>
              <w:ilvl w:val="1"/>
              <w:numId w:val="2"/>
            </w:numPr>
            <w:tabs>
              <w:tab w:pos="956" w:val="left" w:leader="none"/>
              <w:tab w:pos="9072" w:val="right" w:leader="dot"/>
            </w:tabs>
            <w:spacing w:line="240" w:lineRule="auto" w:before="276" w:after="0"/>
            <w:ind w:left="956" w:right="0" w:hanging="660"/>
            <w:jc w:val="left"/>
          </w:pPr>
          <w:hyperlink w:history="true" w:anchor="_TOC_250044">
            <w:r>
              <w:rPr/>
              <w:t>Calcium</w:t>
            </w:r>
            <w:r>
              <w:rPr>
                <w:spacing w:val="-2"/>
              </w:rPr>
              <w:t> </w:t>
            </w:r>
            <w:r>
              <w:rPr/>
              <w:t>channel</w:t>
            </w:r>
            <w:r>
              <w:rPr>
                <w:spacing w:val="-2"/>
              </w:rPr>
              <w:t> blockers</w:t>
            </w:r>
            <w:r>
              <w:rPr/>
              <w:tab/>
            </w:r>
            <w:r>
              <w:rPr>
                <w:spacing w:val="-5"/>
              </w:rPr>
              <w:t>23</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3">
            <w:r>
              <w:rPr>
                <w:spacing w:val="-2"/>
              </w:rPr>
              <w:t>Dihydropyridines</w:t>
            </w:r>
            <w:r>
              <w:rPr/>
              <w:tab/>
            </w:r>
            <w:r>
              <w:rPr>
                <w:spacing w:val="-5"/>
              </w:rPr>
              <w:t>23</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2">
            <w:r>
              <w:rPr>
                <w:spacing w:val="-2"/>
              </w:rPr>
              <w:t>Phenylalkylamines</w:t>
            </w:r>
            <w:r>
              <w:rPr/>
              <w:tab/>
            </w:r>
            <w:r>
              <w:rPr>
                <w:spacing w:val="-5"/>
              </w:rPr>
              <w:t>24</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41">
            <w:r>
              <w:rPr>
                <w:spacing w:val="-2"/>
              </w:rPr>
              <w:t>Benzothiazepines</w:t>
            </w:r>
            <w:r>
              <w:rPr/>
              <w:tab/>
            </w:r>
            <w:r>
              <w:rPr>
                <w:spacing w:val="-5"/>
              </w:rPr>
              <w:t>24</w:t>
            </w:r>
          </w:hyperlink>
        </w:p>
        <w:p>
          <w:pPr>
            <w:pStyle w:val="TOC2"/>
            <w:numPr>
              <w:ilvl w:val="1"/>
              <w:numId w:val="2"/>
            </w:numPr>
            <w:tabs>
              <w:tab w:pos="956" w:val="left" w:leader="none"/>
              <w:tab w:pos="9072" w:val="right" w:leader="dot"/>
            </w:tabs>
            <w:spacing w:line="240" w:lineRule="auto" w:before="277" w:after="0"/>
            <w:ind w:left="956" w:right="0" w:hanging="660"/>
            <w:jc w:val="left"/>
          </w:pPr>
          <w:hyperlink w:history="true" w:anchor="_TOC_250040">
            <w:r>
              <w:rPr/>
              <w:t>Drug</w:t>
            </w:r>
            <w:r>
              <w:rPr>
                <w:spacing w:val="-3"/>
              </w:rPr>
              <w:t> </w:t>
            </w:r>
            <w:r>
              <w:rPr>
                <w:spacing w:val="-2"/>
              </w:rPr>
              <w:t>interaction</w:t>
            </w:r>
            <w:r>
              <w:rPr/>
              <w:tab/>
            </w:r>
            <w:r>
              <w:rPr>
                <w:spacing w:val="-5"/>
              </w:rPr>
              <w:t>25</w:t>
            </w:r>
          </w:hyperlink>
        </w:p>
        <w:p>
          <w:pPr>
            <w:pStyle w:val="TOC2"/>
            <w:numPr>
              <w:ilvl w:val="2"/>
              <w:numId w:val="2"/>
            </w:numPr>
            <w:tabs>
              <w:tab w:pos="1177" w:val="left" w:leader="none"/>
              <w:tab w:pos="9072" w:val="right" w:leader="dot"/>
            </w:tabs>
            <w:spacing w:line="240" w:lineRule="auto" w:before="276" w:after="0"/>
            <w:ind w:left="1177" w:right="0" w:hanging="881"/>
            <w:jc w:val="left"/>
          </w:pPr>
          <w:hyperlink w:history="true" w:anchor="_TOC_250039">
            <w:r>
              <w:rPr/>
              <w:t>Drug</w:t>
            </w:r>
            <w:r>
              <w:rPr>
                <w:spacing w:val="-6"/>
              </w:rPr>
              <w:t> </w:t>
            </w:r>
            <w:r>
              <w:rPr/>
              <w:t>interaction</w:t>
            </w:r>
            <w:r>
              <w:rPr>
                <w:spacing w:val="-1"/>
              </w:rPr>
              <w:t> </w:t>
            </w:r>
            <w:r>
              <w:rPr/>
              <w:t>with</w:t>
            </w:r>
            <w:r>
              <w:rPr>
                <w:spacing w:val="-1"/>
              </w:rPr>
              <w:t> </w:t>
            </w:r>
            <w:r>
              <w:rPr/>
              <w:t>Oral</w:t>
            </w:r>
            <w:r>
              <w:rPr>
                <w:spacing w:val="-1"/>
              </w:rPr>
              <w:t> </w:t>
            </w:r>
            <w:r>
              <w:rPr/>
              <w:t>anti-diabetic</w:t>
            </w:r>
            <w:r>
              <w:rPr>
                <w:spacing w:val="-2"/>
              </w:rPr>
              <w:t> agents</w:t>
            </w:r>
            <w:r>
              <w:rPr/>
              <w:tab/>
            </w:r>
            <w:r>
              <w:rPr>
                <w:spacing w:val="-5"/>
              </w:rPr>
              <w:t>26</w:t>
            </w:r>
          </w:hyperlink>
        </w:p>
        <w:p>
          <w:pPr>
            <w:pStyle w:val="TOC1"/>
            <w:tabs>
              <w:tab w:pos="9072" w:val="right" w:leader="dot"/>
            </w:tabs>
            <w:ind w:left="296" w:firstLine="0"/>
          </w:pPr>
          <w:hyperlink w:history="true" w:anchor="_TOC_250038">
            <w:r>
              <w:rPr/>
              <w:t>CHAPTER</w:t>
            </w:r>
            <w:r>
              <w:rPr>
                <w:spacing w:val="-1"/>
              </w:rPr>
              <w:t> </w:t>
            </w:r>
            <w:r>
              <w:rPr>
                <w:spacing w:val="-2"/>
              </w:rPr>
              <w:t>THREE</w:t>
            </w:r>
            <w:r>
              <w:rPr/>
              <w:tab/>
            </w:r>
            <w:r>
              <w:rPr>
                <w:spacing w:val="-5"/>
              </w:rPr>
              <w:t>28</w:t>
            </w:r>
          </w:hyperlink>
        </w:p>
        <w:p>
          <w:pPr>
            <w:pStyle w:val="TOC2"/>
            <w:numPr>
              <w:ilvl w:val="1"/>
              <w:numId w:val="3"/>
            </w:numPr>
            <w:tabs>
              <w:tab w:pos="956" w:val="left" w:leader="none"/>
              <w:tab w:pos="9072" w:val="right" w:leader="dot"/>
            </w:tabs>
            <w:spacing w:line="240" w:lineRule="auto" w:before="276" w:after="20"/>
            <w:ind w:left="956" w:right="0" w:hanging="660"/>
            <w:jc w:val="left"/>
          </w:pPr>
          <w:hyperlink w:history="true" w:anchor="_TOC_250037">
            <w:r>
              <w:rPr/>
              <w:t>Materials</w:t>
            </w:r>
            <w:r>
              <w:rPr>
                <w:spacing w:val="-3"/>
              </w:rPr>
              <w:t> </w:t>
            </w:r>
            <w:r>
              <w:rPr/>
              <w:t>and</w:t>
            </w:r>
            <w:r>
              <w:rPr>
                <w:spacing w:val="-2"/>
              </w:rPr>
              <w:t> Methods</w:t>
            </w:r>
            <w:r>
              <w:rPr/>
              <w:tab/>
            </w:r>
            <w:r>
              <w:rPr>
                <w:spacing w:val="-5"/>
              </w:rPr>
              <w:t>28</w:t>
            </w:r>
          </w:hyperlink>
        </w:p>
        <w:p>
          <w:pPr>
            <w:pStyle w:val="TOC2"/>
            <w:numPr>
              <w:ilvl w:val="1"/>
              <w:numId w:val="3"/>
            </w:numPr>
            <w:tabs>
              <w:tab w:pos="956" w:val="left" w:leader="none"/>
              <w:tab w:pos="8832" w:val="left" w:leader="dot"/>
            </w:tabs>
            <w:spacing w:line="240" w:lineRule="auto" w:before="72" w:after="0"/>
            <w:ind w:left="956" w:right="0" w:hanging="660"/>
            <w:jc w:val="left"/>
          </w:pPr>
          <w:hyperlink w:history="true" w:anchor="_TOC_250036">
            <w:r>
              <w:rPr>
                <w:spacing w:val="-2"/>
              </w:rPr>
              <w:t>Materials</w:t>
            </w:r>
            <w:r>
              <w:rPr/>
              <w:tab/>
            </w:r>
            <w:r>
              <w:rPr>
                <w:spacing w:val="-5"/>
              </w:rPr>
              <w:t>28</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35">
            <w:r>
              <w:rPr>
                <w:spacing w:val="-2"/>
              </w:rPr>
              <w:t>Animals</w:t>
            </w:r>
            <w:r>
              <w:rPr/>
              <w:tab/>
            </w:r>
            <w:r>
              <w:rPr>
                <w:spacing w:val="-5"/>
              </w:rPr>
              <w:t>28</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34">
            <w:r>
              <w:rPr/>
              <w:t>Chemicals</w:t>
            </w:r>
            <w:r>
              <w:rPr>
                <w:spacing w:val="-3"/>
              </w:rPr>
              <w:t> </w:t>
            </w:r>
            <w:r>
              <w:rPr/>
              <w:t>and</w:t>
            </w:r>
            <w:r>
              <w:rPr>
                <w:spacing w:val="-1"/>
              </w:rPr>
              <w:t> </w:t>
            </w:r>
            <w:r>
              <w:rPr>
                <w:spacing w:val="-4"/>
              </w:rPr>
              <w:t>Drugs</w:t>
            </w:r>
            <w:r>
              <w:rPr/>
              <w:tab/>
            </w:r>
            <w:r>
              <w:rPr>
                <w:spacing w:val="-5"/>
              </w:rPr>
              <w:t>28</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33">
            <w:r>
              <w:rPr/>
              <w:t>Equipment</w:t>
            </w:r>
            <w:r>
              <w:rPr>
                <w:spacing w:val="-1"/>
              </w:rPr>
              <w:t> </w:t>
            </w:r>
            <w:r>
              <w:rPr/>
              <w:t>and</w:t>
            </w:r>
            <w:r>
              <w:rPr>
                <w:spacing w:val="-1"/>
              </w:rPr>
              <w:t> </w:t>
            </w:r>
            <w:r>
              <w:rPr/>
              <w:t>Other</w:t>
            </w:r>
            <w:r>
              <w:rPr>
                <w:spacing w:val="-2"/>
              </w:rPr>
              <w:t> Materials</w:t>
            </w:r>
            <w:r>
              <w:rPr/>
              <w:tab/>
            </w:r>
            <w:r>
              <w:rPr>
                <w:spacing w:val="-5"/>
              </w:rPr>
              <w:t>28</w:t>
            </w:r>
          </w:hyperlink>
        </w:p>
        <w:p>
          <w:pPr>
            <w:pStyle w:val="TOC2"/>
            <w:numPr>
              <w:ilvl w:val="1"/>
              <w:numId w:val="3"/>
            </w:numPr>
            <w:tabs>
              <w:tab w:pos="956" w:val="left" w:leader="none"/>
              <w:tab w:pos="8832" w:val="left" w:leader="dot"/>
            </w:tabs>
            <w:spacing w:line="240" w:lineRule="auto" w:before="276" w:after="0"/>
            <w:ind w:left="956" w:right="0" w:hanging="660"/>
            <w:jc w:val="left"/>
          </w:pPr>
          <w:hyperlink w:history="true" w:anchor="_TOC_250032">
            <w:r>
              <w:rPr>
                <w:spacing w:val="-2"/>
              </w:rPr>
              <w:t>Methods</w:t>
            </w:r>
            <w:r>
              <w:rPr/>
              <w:tab/>
            </w:r>
            <w:r>
              <w:rPr>
                <w:spacing w:val="-5"/>
              </w:rPr>
              <w:t>29</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31">
            <w:r>
              <w:rPr/>
              <w:t>Induction</w:t>
            </w:r>
            <w:r>
              <w:rPr>
                <w:spacing w:val="-2"/>
              </w:rPr>
              <w:t> </w:t>
            </w:r>
            <w:r>
              <w:rPr/>
              <w:t>of</w:t>
            </w:r>
            <w:r>
              <w:rPr>
                <w:spacing w:val="-2"/>
              </w:rPr>
              <w:t> diabetes</w:t>
            </w:r>
            <w:r>
              <w:rPr/>
              <w:tab/>
            </w:r>
            <w:r>
              <w:rPr>
                <w:spacing w:val="-5"/>
              </w:rPr>
              <w:t>29</w:t>
            </w:r>
          </w:hyperlink>
        </w:p>
        <w:p>
          <w:pPr>
            <w:pStyle w:val="TOC2"/>
            <w:numPr>
              <w:ilvl w:val="2"/>
              <w:numId w:val="3"/>
            </w:numPr>
            <w:tabs>
              <w:tab w:pos="1177" w:val="left" w:leader="none"/>
              <w:tab w:pos="8832" w:val="left" w:leader="dot"/>
            </w:tabs>
            <w:spacing w:line="240" w:lineRule="auto" w:before="276" w:after="0"/>
            <w:ind w:left="1177" w:right="0" w:hanging="881"/>
            <w:jc w:val="left"/>
          </w:pPr>
          <w:r>
            <w:rPr/>
            <w:t>Preparation</w:t>
          </w:r>
          <w:r>
            <w:rPr>
              <w:spacing w:val="-3"/>
            </w:rPr>
            <w:t> </w:t>
          </w:r>
          <w:r>
            <w:rPr/>
            <w:t>of</w:t>
          </w:r>
          <w:r>
            <w:rPr>
              <w:spacing w:val="-2"/>
            </w:rPr>
            <w:t> </w:t>
          </w:r>
          <w:r>
            <w:rPr/>
            <w:t>drug</w:t>
          </w:r>
          <w:r>
            <w:rPr>
              <w:spacing w:val="-3"/>
            </w:rPr>
            <w:t> </w:t>
          </w:r>
          <w:r>
            <w:rPr>
              <w:spacing w:val="-2"/>
            </w:rPr>
            <w:t>solutions</w:t>
          </w:r>
          <w:r>
            <w:rPr/>
            <w:tab/>
          </w:r>
          <w:r>
            <w:rPr>
              <w:spacing w:val="-5"/>
            </w:rPr>
            <w:t>30</w:t>
          </w:r>
        </w:p>
        <w:p>
          <w:pPr>
            <w:pStyle w:val="TOC2"/>
            <w:numPr>
              <w:ilvl w:val="2"/>
              <w:numId w:val="3"/>
            </w:numPr>
            <w:tabs>
              <w:tab w:pos="1177" w:val="left" w:leader="none"/>
              <w:tab w:pos="8832" w:val="left" w:leader="dot"/>
            </w:tabs>
            <w:spacing w:line="240" w:lineRule="auto" w:before="277" w:after="0"/>
            <w:ind w:left="1177" w:right="0" w:hanging="881"/>
            <w:jc w:val="left"/>
          </w:pPr>
          <w:r>
            <w:rPr/>
            <w:t>Experimental</w:t>
          </w:r>
          <w:r>
            <w:rPr>
              <w:spacing w:val="-1"/>
            </w:rPr>
            <w:t> </w:t>
          </w:r>
          <w:r>
            <w:rPr>
              <w:spacing w:val="-2"/>
            </w:rPr>
            <w:t>design</w:t>
          </w:r>
          <w:r>
            <w:rPr/>
            <w:tab/>
          </w:r>
          <w:r>
            <w:rPr>
              <w:spacing w:val="-5"/>
            </w:rPr>
            <w:t>30</w:t>
          </w:r>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30">
            <w:r>
              <w:rPr/>
              <w:t>Body</w:t>
            </w:r>
            <w:r>
              <w:rPr>
                <w:spacing w:val="-5"/>
              </w:rPr>
              <w:t> </w:t>
            </w:r>
            <w:r>
              <w:rPr>
                <w:spacing w:val="-2"/>
              </w:rPr>
              <w:t>weight</w:t>
            </w:r>
            <w:r>
              <w:rPr/>
              <w:tab/>
            </w:r>
            <w:r>
              <w:rPr>
                <w:spacing w:val="-5"/>
              </w:rPr>
              <w:t>31</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29">
            <w:r>
              <w:rPr/>
              <w:t>Evaluation</w:t>
            </w:r>
            <w:r>
              <w:rPr>
                <w:spacing w:val="-3"/>
              </w:rPr>
              <w:t> </w:t>
            </w:r>
            <w:r>
              <w:rPr/>
              <w:t>of</w:t>
            </w:r>
            <w:r>
              <w:rPr>
                <w:spacing w:val="-1"/>
              </w:rPr>
              <w:t> </w:t>
            </w:r>
            <w:r>
              <w:rPr/>
              <w:t>Fasting Blood</w:t>
            </w:r>
            <w:r>
              <w:rPr>
                <w:spacing w:val="-1"/>
              </w:rPr>
              <w:t> </w:t>
            </w:r>
            <w:r>
              <w:rPr/>
              <w:t>Glucose</w:t>
            </w:r>
            <w:r>
              <w:rPr>
                <w:spacing w:val="-2"/>
              </w:rPr>
              <w:t> </w:t>
            </w:r>
            <w:r>
              <w:rPr/>
              <w:t>and Random</w:t>
            </w:r>
            <w:r>
              <w:rPr>
                <w:spacing w:val="-1"/>
              </w:rPr>
              <w:t> </w:t>
            </w:r>
            <w:r>
              <w:rPr/>
              <w:t>Blood </w:t>
            </w:r>
            <w:r>
              <w:rPr>
                <w:spacing w:val="-2"/>
              </w:rPr>
              <w:t>Glucose</w:t>
            </w:r>
            <w:r>
              <w:rPr/>
              <w:tab/>
            </w:r>
            <w:r>
              <w:rPr>
                <w:spacing w:val="-5"/>
              </w:rPr>
              <w:t>31</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28">
            <w:r>
              <w:rPr/>
              <w:t>Evaluation</w:t>
            </w:r>
            <w:r>
              <w:rPr>
                <w:spacing w:val="-2"/>
              </w:rPr>
              <w:t> </w:t>
            </w:r>
            <w:r>
              <w:rPr/>
              <w:t>of</w:t>
            </w:r>
            <w:r>
              <w:rPr>
                <w:spacing w:val="-1"/>
              </w:rPr>
              <w:t> </w:t>
            </w:r>
            <w:r>
              <w:rPr/>
              <w:t>Peripheral</w:t>
            </w:r>
            <w:r>
              <w:rPr>
                <w:spacing w:val="1"/>
              </w:rPr>
              <w:t> </w:t>
            </w:r>
            <w:r>
              <w:rPr>
                <w:spacing w:val="-2"/>
              </w:rPr>
              <w:t>Neuropathy</w:t>
            </w:r>
            <w:r>
              <w:rPr/>
              <w:tab/>
            </w:r>
            <w:r>
              <w:rPr>
                <w:spacing w:val="-5"/>
              </w:rPr>
              <w:t>31</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27">
            <w:r>
              <w:rPr/>
              <w:t>Assessment</w:t>
            </w:r>
            <w:r>
              <w:rPr>
                <w:spacing w:val="-1"/>
              </w:rPr>
              <w:t> </w:t>
            </w:r>
            <w:r>
              <w:rPr/>
              <w:t>of</w:t>
            </w:r>
            <w:r>
              <w:rPr>
                <w:spacing w:val="-1"/>
              </w:rPr>
              <w:t> </w:t>
            </w:r>
            <w:r>
              <w:rPr>
                <w:spacing w:val="-2"/>
              </w:rPr>
              <w:t>nephropathy</w:t>
            </w:r>
            <w:r>
              <w:rPr/>
              <w:tab/>
            </w:r>
            <w:r>
              <w:rPr>
                <w:spacing w:val="-5"/>
              </w:rPr>
              <w:t>32</w:t>
            </w:r>
          </w:hyperlink>
        </w:p>
        <w:p>
          <w:pPr>
            <w:pStyle w:val="TOC2"/>
            <w:numPr>
              <w:ilvl w:val="2"/>
              <w:numId w:val="3"/>
            </w:numPr>
            <w:tabs>
              <w:tab w:pos="1177" w:val="left" w:leader="none"/>
              <w:tab w:pos="8832" w:val="left" w:leader="dot"/>
            </w:tabs>
            <w:spacing w:line="240" w:lineRule="auto" w:before="276" w:after="0"/>
            <w:ind w:left="1177" w:right="0" w:hanging="881"/>
            <w:jc w:val="left"/>
          </w:pPr>
          <w:hyperlink w:history="true" w:anchor="_TOC_250026">
            <w:r>
              <w:rPr/>
              <w:t>Assessment</w:t>
            </w:r>
            <w:r>
              <w:rPr>
                <w:spacing w:val="-1"/>
              </w:rPr>
              <w:t> </w:t>
            </w:r>
            <w:r>
              <w:rPr/>
              <w:t>of</w:t>
            </w:r>
            <w:r>
              <w:rPr>
                <w:spacing w:val="-1"/>
              </w:rPr>
              <w:t> </w:t>
            </w:r>
            <w:r>
              <w:rPr>
                <w:spacing w:val="-2"/>
              </w:rPr>
              <w:t>retinopathy</w:t>
            </w:r>
            <w:r>
              <w:rPr/>
              <w:tab/>
            </w:r>
            <w:r>
              <w:rPr>
                <w:spacing w:val="-5"/>
              </w:rPr>
              <w:t>36</w:t>
            </w:r>
          </w:hyperlink>
        </w:p>
        <w:p>
          <w:pPr>
            <w:pStyle w:val="TOC2"/>
            <w:numPr>
              <w:ilvl w:val="1"/>
              <w:numId w:val="3"/>
            </w:numPr>
            <w:tabs>
              <w:tab w:pos="1016" w:val="left" w:leader="none"/>
              <w:tab w:pos="8832" w:val="left" w:leader="dot"/>
            </w:tabs>
            <w:spacing w:line="240" w:lineRule="auto" w:before="276" w:after="0"/>
            <w:ind w:left="1016" w:right="0" w:hanging="720"/>
            <w:jc w:val="left"/>
          </w:pPr>
          <w:hyperlink w:history="true" w:anchor="_TOC_250025">
            <w:r>
              <w:rPr/>
              <w:t>Data</w:t>
            </w:r>
            <w:r>
              <w:rPr>
                <w:spacing w:val="-4"/>
              </w:rPr>
              <w:t> </w:t>
            </w:r>
            <w:r>
              <w:rPr>
                <w:spacing w:val="-2"/>
              </w:rPr>
              <w:t>analysis</w:t>
            </w:r>
            <w:r>
              <w:rPr/>
              <w:tab/>
            </w:r>
            <w:r>
              <w:rPr>
                <w:spacing w:val="-7"/>
              </w:rPr>
              <w:t>38</w:t>
            </w:r>
          </w:hyperlink>
        </w:p>
        <w:p>
          <w:pPr>
            <w:pStyle w:val="TOC1"/>
            <w:tabs>
              <w:tab w:pos="8832" w:val="left" w:leader="dot"/>
            </w:tabs>
            <w:ind w:left="296" w:firstLine="0"/>
          </w:pPr>
          <w:hyperlink w:history="true" w:anchor="_TOC_250024">
            <w:r>
              <w:rPr/>
              <w:t>CHAPTER</w:t>
            </w:r>
            <w:r>
              <w:rPr>
                <w:spacing w:val="-3"/>
              </w:rPr>
              <w:t> </w:t>
            </w:r>
            <w:r>
              <w:rPr>
                <w:spacing w:val="-4"/>
              </w:rPr>
              <w:t>FOUR</w:t>
            </w:r>
            <w:r>
              <w:rPr/>
              <w:tab/>
            </w:r>
            <w:r>
              <w:rPr>
                <w:spacing w:val="-5"/>
              </w:rPr>
              <w:t>40</w:t>
            </w:r>
          </w:hyperlink>
        </w:p>
        <w:p>
          <w:pPr>
            <w:pStyle w:val="TOC2"/>
            <w:numPr>
              <w:ilvl w:val="1"/>
              <w:numId w:val="4"/>
            </w:numPr>
            <w:tabs>
              <w:tab w:pos="956" w:val="left" w:leader="none"/>
              <w:tab w:pos="8832" w:val="left" w:leader="dot"/>
            </w:tabs>
            <w:spacing w:line="240" w:lineRule="auto" w:before="276" w:after="0"/>
            <w:ind w:left="956" w:right="0" w:hanging="660"/>
            <w:jc w:val="left"/>
          </w:pPr>
          <w:hyperlink w:history="true" w:anchor="_TOC_250023">
            <w:r>
              <w:rPr>
                <w:spacing w:val="-2"/>
              </w:rPr>
              <w:t>Results</w:t>
            </w:r>
            <w:r>
              <w:rPr/>
              <w:tab/>
            </w:r>
            <w:r>
              <w:rPr>
                <w:spacing w:val="-5"/>
              </w:rPr>
              <w:t>40</w:t>
            </w:r>
          </w:hyperlink>
        </w:p>
        <w:p>
          <w:pPr>
            <w:pStyle w:val="TOC2"/>
            <w:numPr>
              <w:ilvl w:val="1"/>
              <w:numId w:val="4"/>
            </w:numPr>
            <w:tabs>
              <w:tab w:pos="956" w:val="left" w:leader="none"/>
              <w:tab w:pos="8832" w:val="left" w:leader="dot"/>
            </w:tabs>
            <w:spacing w:line="480" w:lineRule="auto" w:before="276" w:after="0"/>
            <w:ind w:left="296" w:right="1145" w:firstLine="0"/>
            <w:jc w:val="left"/>
          </w:pPr>
          <w:hyperlink w:history="true" w:anchor="_TOC_250022">
            <w:r>
              <w:rPr/>
              <w:t>Effect of 21-day chronomodulated nifedipine administration on glycaemic control</w:t>
            </w:r>
            <w:r>
              <w:rPr>
                <w:spacing w:val="40"/>
              </w:rPr>
              <w:t> </w:t>
            </w:r>
            <w:r>
              <w:rPr/>
              <w:t>in</w:t>
            </w:r>
            <w:r>
              <w:rPr>
                <w:spacing w:val="-4"/>
              </w:rPr>
              <w:t> </w:t>
            </w:r>
            <w:r>
              <w:rPr/>
              <w:t>glimepiride-treated</w:t>
            </w:r>
            <w:r>
              <w:rPr>
                <w:spacing w:val="-3"/>
              </w:rPr>
              <w:t> </w:t>
            </w:r>
            <w:r>
              <w:rPr/>
              <w:t>hyperglycaemic</w:t>
            </w:r>
            <w:r>
              <w:rPr>
                <w:spacing w:val="-3"/>
              </w:rPr>
              <w:t> </w:t>
            </w:r>
            <w:r>
              <w:rPr>
                <w:spacing w:val="-4"/>
              </w:rPr>
              <w:t>rats</w:t>
            </w:r>
            <w:r>
              <w:rPr/>
              <w:tab/>
            </w:r>
            <w:r>
              <w:rPr>
                <w:spacing w:val="-5"/>
              </w:rPr>
              <w:t>40</w:t>
            </w:r>
          </w:hyperlink>
        </w:p>
        <w:p>
          <w:pPr>
            <w:pStyle w:val="TOC2"/>
            <w:numPr>
              <w:ilvl w:val="2"/>
              <w:numId w:val="4"/>
            </w:numPr>
            <w:tabs>
              <w:tab w:pos="1177" w:val="left" w:leader="none"/>
              <w:tab w:pos="8832" w:val="left" w:leader="dot"/>
            </w:tabs>
            <w:spacing w:line="240" w:lineRule="auto" w:before="1" w:after="0"/>
            <w:ind w:left="1177" w:right="0" w:hanging="881"/>
            <w:jc w:val="left"/>
          </w:pPr>
          <w:hyperlink w:history="true" w:anchor="_TOC_250021">
            <w:r>
              <w:rPr/>
              <w:t>Fasting</w:t>
            </w:r>
            <w:r>
              <w:rPr>
                <w:spacing w:val="-4"/>
              </w:rPr>
              <w:t> </w:t>
            </w:r>
            <w:r>
              <w:rPr/>
              <w:t>blood </w:t>
            </w:r>
            <w:r>
              <w:rPr>
                <w:spacing w:val="-2"/>
              </w:rPr>
              <w:t>glucose</w:t>
            </w:r>
            <w:r>
              <w:rPr/>
              <w:tab/>
            </w:r>
            <w:r>
              <w:rPr>
                <w:spacing w:val="-5"/>
              </w:rPr>
              <w:t>40</w:t>
            </w:r>
          </w:hyperlink>
        </w:p>
        <w:p>
          <w:pPr>
            <w:pStyle w:val="TOC2"/>
            <w:numPr>
              <w:ilvl w:val="2"/>
              <w:numId w:val="4"/>
            </w:numPr>
            <w:tabs>
              <w:tab w:pos="1177" w:val="left" w:leader="none"/>
              <w:tab w:pos="8832" w:val="left" w:leader="dot"/>
            </w:tabs>
            <w:spacing w:line="240" w:lineRule="auto" w:before="276" w:after="0"/>
            <w:ind w:left="1177" w:right="0" w:hanging="881"/>
            <w:jc w:val="left"/>
          </w:pPr>
          <w:hyperlink w:history="true" w:anchor="_TOC_250020">
            <w:r>
              <w:rPr/>
              <w:t>Random</w:t>
            </w:r>
            <w:r>
              <w:rPr>
                <w:spacing w:val="-1"/>
              </w:rPr>
              <w:t> </w:t>
            </w:r>
            <w:r>
              <w:rPr/>
              <w:t>blood </w:t>
            </w:r>
            <w:r>
              <w:rPr>
                <w:spacing w:val="-2"/>
              </w:rPr>
              <w:t>glucose</w:t>
            </w:r>
            <w:r>
              <w:rPr/>
              <w:tab/>
            </w:r>
            <w:r>
              <w:rPr>
                <w:spacing w:val="-5"/>
              </w:rPr>
              <w:t>42</w:t>
            </w:r>
          </w:hyperlink>
        </w:p>
        <w:p>
          <w:pPr>
            <w:pStyle w:val="TOC2"/>
            <w:numPr>
              <w:ilvl w:val="1"/>
              <w:numId w:val="4"/>
            </w:numPr>
            <w:tabs>
              <w:tab w:pos="956" w:val="left" w:leader="none"/>
              <w:tab w:pos="8832" w:val="left" w:leader="dot"/>
            </w:tabs>
            <w:spacing w:line="480" w:lineRule="auto" w:before="276" w:after="240"/>
            <w:ind w:left="296" w:right="1145" w:firstLine="0"/>
            <w:jc w:val="left"/>
          </w:pPr>
          <w:hyperlink w:history="true" w:anchor="_TOC_250019">
            <w:r>
              <w:rPr/>
              <w:t>Effect of 21-day chronomodulated nifedipine administration on body weight in glimepiride-treated hyperglycaemic rats</w:t>
              <w:tab/>
            </w:r>
            <w:r>
              <w:rPr>
                <w:spacing w:val="-6"/>
              </w:rPr>
              <w:t>44</w:t>
            </w:r>
          </w:hyperlink>
        </w:p>
        <w:p>
          <w:pPr>
            <w:pStyle w:val="TOC2"/>
            <w:numPr>
              <w:ilvl w:val="1"/>
              <w:numId w:val="4"/>
            </w:numPr>
            <w:tabs>
              <w:tab w:pos="956" w:val="left" w:leader="none"/>
              <w:tab w:pos="8832" w:val="left" w:leader="dot"/>
            </w:tabs>
            <w:spacing w:line="480" w:lineRule="auto" w:before="72" w:after="0"/>
            <w:ind w:left="296" w:right="1145" w:firstLine="0"/>
            <w:jc w:val="left"/>
          </w:pPr>
          <w:hyperlink w:history="true" w:anchor="_TOC_250018">
            <w:r>
              <w:rPr/>
              <w:t>Effect of 21-day chronomodulated nifedipine administration on peripheral neuropathy</w:t>
            </w:r>
            <w:r>
              <w:rPr>
                <w:spacing w:val="-9"/>
              </w:rPr>
              <w:t> </w:t>
            </w:r>
            <w:r>
              <w:rPr/>
              <w:t>in glimepiride-treated</w:t>
            </w:r>
            <w:r>
              <w:rPr>
                <w:spacing w:val="-2"/>
              </w:rPr>
              <w:t> </w:t>
            </w:r>
            <w:r>
              <w:rPr/>
              <w:t>hyperglycaemic</w:t>
            </w:r>
            <w:r>
              <w:rPr>
                <w:spacing w:val="-1"/>
              </w:rPr>
              <w:t> </w:t>
            </w:r>
            <w:r>
              <w:rPr>
                <w:spacing w:val="-4"/>
              </w:rPr>
              <w:t>rats</w:t>
            </w:r>
            <w:r>
              <w:rPr/>
              <w:tab/>
            </w:r>
            <w:r>
              <w:rPr>
                <w:spacing w:val="-5"/>
              </w:rPr>
              <w:t>46</w:t>
            </w:r>
          </w:hyperlink>
        </w:p>
        <w:p>
          <w:pPr>
            <w:pStyle w:val="TOC2"/>
            <w:numPr>
              <w:ilvl w:val="2"/>
              <w:numId w:val="4"/>
            </w:numPr>
            <w:tabs>
              <w:tab w:pos="1177" w:val="left" w:leader="none"/>
              <w:tab w:pos="8832" w:val="left" w:leader="dot"/>
            </w:tabs>
            <w:spacing w:line="240" w:lineRule="auto" w:before="0" w:after="0"/>
            <w:ind w:left="1177" w:right="0" w:hanging="881"/>
            <w:jc w:val="left"/>
          </w:pPr>
          <w:hyperlink w:history="true" w:anchor="_TOC_250017">
            <w:r>
              <w:rPr/>
              <w:t>Paw</w:t>
            </w:r>
            <w:r>
              <w:rPr>
                <w:spacing w:val="-5"/>
              </w:rPr>
              <w:t> </w:t>
            </w:r>
            <w:r>
              <w:rPr/>
              <w:t>pressure</w:t>
            </w:r>
            <w:r>
              <w:rPr>
                <w:spacing w:val="-3"/>
              </w:rPr>
              <w:t> </w:t>
            </w:r>
            <w:r>
              <w:rPr>
                <w:spacing w:val="-4"/>
              </w:rPr>
              <w:t>test</w:t>
            </w:r>
            <w:r>
              <w:rPr/>
              <w:tab/>
            </w:r>
            <w:r>
              <w:rPr>
                <w:spacing w:val="-5"/>
              </w:rPr>
              <w:t>46</w:t>
            </w:r>
          </w:hyperlink>
        </w:p>
        <w:p>
          <w:pPr>
            <w:pStyle w:val="TOC2"/>
            <w:numPr>
              <w:ilvl w:val="2"/>
              <w:numId w:val="4"/>
            </w:numPr>
            <w:tabs>
              <w:tab w:pos="1177" w:val="left" w:leader="none"/>
              <w:tab w:pos="8832" w:val="left" w:leader="dot"/>
            </w:tabs>
            <w:spacing w:line="480" w:lineRule="auto" w:before="276" w:after="0"/>
            <w:ind w:left="296" w:right="1145" w:firstLine="0"/>
            <w:jc w:val="left"/>
          </w:pPr>
          <w:hyperlink w:history="true" w:anchor="_TOC_250016">
            <w:r>
              <w:rPr/>
              <w:t>Effect of 21-day chronomodulated nifedipine administration on thermal hyperalgesia</w:t>
            </w:r>
            <w:r>
              <w:rPr>
                <w:spacing w:val="-3"/>
              </w:rPr>
              <w:t> </w:t>
            </w:r>
            <w:r>
              <w:rPr/>
              <w:t>in</w:t>
            </w:r>
            <w:r>
              <w:rPr>
                <w:spacing w:val="-1"/>
              </w:rPr>
              <w:t> </w:t>
            </w:r>
            <w:r>
              <w:rPr/>
              <w:t>glimepiride-treated</w:t>
            </w:r>
            <w:r>
              <w:rPr>
                <w:spacing w:val="-3"/>
              </w:rPr>
              <w:t> </w:t>
            </w:r>
            <w:r>
              <w:rPr/>
              <w:t>hyperglycaemic</w:t>
            </w:r>
            <w:r>
              <w:rPr>
                <w:spacing w:val="-3"/>
              </w:rPr>
              <w:t> </w:t>
            </w:r>
            <w:r>
              <w:rPr>
                <w:spacing w:val="-4"/>
              </w:rPr>
              <w:t>rats</w:t>
            </w:r>
            <w:r>
              <w:rPr/>
              <w:tab/>
            </w:r>
            <w:r>
              <w:rPr>
                <w:spacing w:val="-5"/>
              </w:rPr>
              <w:t>48</w:t>
            </w:r>
          </w:hyperlink>
        </w:p>
        <w:p>
          <w:pPr>
            <w:pStyle w:val="TOC2"/>
            <w:numPr>
              <w:ilvl w:val="1"/>
              <w:numId w:val="4"/>
            </w:numPr>
            <w:tabs>
              <w:tab w:pos="956" w:val="left" w:leader="none"/>
              <w:tab w:pos="8832" w:val="left" w:leader="dot"/>
            </w:tabs>
            <w:spacing w:line="480" w:lineRule="auto" w:before="0" w:after="0"/>
            <w:ind w:left="296" w:right="1145" w:firstLine="0"/>
            <w:jc w:val="left"/>
          </w:pPr>
          <w:hyperlink w:history="true" w:anchor="_TOC_250015">
            <w:r>
              <w:rPr/>
              <w:t>Effect of 21-day chronomodulated nifedipine administration on nephropathy in glimepiride-treated</w:t>
            </w:r>
            <w:r>
              <w:rPr>
                <w:spacing w:val="-5"/>
              </w:rPr>
              <w:t> </w:t>
            </w:r>
            <w:r>
              <w:rPr/>
              <w:t>hyperglycaemic</w:t>
            </w:r>
            <w:r>
              <w:rPr>
                <w:spacing w:val="-5"/>
              </w:rPr>
              <w:t> </w:t>
            </w:r>
            <w:r>
              <w:rPr>
                <w:spacing w:val="-4"/>
              </w:rPr>
              <w:t>rats</w:t>
            </w:r>
            <w:r>
              <w:rPr/>
              <w:tab/>
            </w:r>
            <w:r>
              <w:rPr>
                <w:spacing w:val="-5"/>
              </w:rPr>
              <w:t>50</w:t>
            </w:r>
          </w:hyperlink>
        </w:p>
        <w:p>
          <w:pPr>
            <w:pStyle w:val="TOC2"/>
            <w:numPr>
              <w:ilvl w:val="2"/>
              <w:numId w:val="4"/>
            </w:numPr>
            <w:tabs>
              <w:tab w:pos="1177" w:val="left" w:leader="none"/>
              <w:tab w:pos="8832" w:val="left" w:leader="dot"/>
            </w:tabs>
            <w:spacing w:line="240" w:lineRule="auto" w:before="1" w:after="0"/>
            <w:ind w:left="1177" w:right="0" w:hanging="881"/>
            <w:jc w:val="left"/>
          </w:pPr>
          <w:hyperlink w:history="true" w:anchor="_TOC_250014">
            <w:r>
              <w:rPr/>
              <w:t>Serum</w:t>
            </w:r>
            <w:r>
              <w:rPr>
                <w:spacing w:val="-2"/>
              </w:rPr>
              <w:t> </w:t>
            </w:r>
            <w:r>
              <w:rPr/>
              <w:t>renal</w:t>
            </w:r>
            <w:r>
              <w:rPr>
                <w:spacing w:val="-2"/>
              </w:rPr>
              <w:t> parameters</w:t>
            </w:r>
            <w:r>
              <w:rPr/>
              <w:tab/>
            </w:r>
            <w:r>
              <w:rPr>
                <w:spacing w:val="-5"/>
              </w:rPr>
              <w:t>50</w:t>
            </w:r>
          </w:hyperlink>
        </w:p>
        <w:p>
          <w:pPr>
            <w:pStyle w:val="TOC2"/>
            <w:numPr>
              <w:ilvl w:val="2"/>
              <w:numId w:val="4"/>
            </w:numPr>
            <w:tabs>
              <w:tab w:pos="1177" w:val="left" w:leader="none"/>
              <w:tab w:pos="8832" w:val="left" w:leader="dot"/>
            </w:tabs>
            <w:spacing w:line="240" w:lineRule="auto" w:before="276" w:after="0"/>
            <w:ind w:left="1177" w:right="0" w:hanging="881"/>
            <w:jc w:val="left"/>
          </w:pPr>
          <w:hyperlink w:history="true" w:anchor="_TOC_250013">
            <w:r>
              <w:rPr/>
              <w:t>Relative kidney</w:t>
            </w:r>
            <w:r>
              <w:rPr>
                <w:spacing w:val="-3"/>
              </w:rPr>
              <w:t> </w:t>
            </w:r>
            <w:r>
              <w:rPr>
                <w:spacing w:val="-2"/>
              </w:rPr>
              <w:t>weight</w:t>
            </w:r>
            <w:r>
              <w:rPr/>
              <w:tab/>
            </w:r>
            <w:r>
              <w:rPr>
                <w:spacing w:val="-5"/>
              </w:rPr>
              <w:t>52</w:t>
            </w:r>
          </w:hyperlink>
        </w:p>
        <w:p>
          <w:pPr>
            <w:pStyle w:val="TOC2"/>
            <w:numPr>
              <w:ilvl w:val="2"/>
              <w:numId w:val="4"/>
            </w:numPr>
            <w:tabs>
              <w:tab w:pos="1177" w:val="left" w:leader="none"/>
              <w:tab w:pos="8832" w:val="left" w:leader="dot"/>
            </w:tabs>
            <w:spacing w:line="240" w:lineRule="auto" w:before="276" w:after="0"/>
            <w:ind w:left="1177" w:right="0" w:hanging="881"/>
            <w:jc w:val="left"/>
          </w:pPr>
          <w:hyperlink w:history="true" w:anchor="_TOC_250012">
            <w:r>
              <w:rPr/>
              <w:t>Kidney</w:t>
            </w:r>
            <w:r>
              <w:rPr>
                <w:spacing w:val="-4"/>
              </w:rPr>
              <w:t> </w:t>
            </w:r>
            <w:r>
              <w:rPr>
                <w:spacing w:val="-2"/>
              </w:rPr>
              <w:t>histology</w:t>
            </w:r>
            <w:r>
              <w:rPr/>
              <w:tab/>
            </w:r>
            <w:r>
              <w:rPr>
                <w:spacing w:val="-5"/>
              </w:rPr>
              <w:t>54</w:t>
            </w:r>
          </w:hyperlink>
        </w:p>
        <w:p>
          <w:pPr>
            <w:pStyle w:val="TOC2"/>
            <w:numPr>
              <w:ilvl w:val="1"/>
              <w:numId w:val="4"/>
            </w:numPr>
            <w:tabs>
              <w:tab w:pos="956" w:val="left" w:leader="none"/>
              <w:tab w:pos="8832" w:val="left" w:leader="dot"/>
            </w:tabs>
            <w:spacing w:line="480" w:lineRule="auto" w:before="276" w:after="0"/>
            <w:ind w:left="296" w:right="1145" w:firstLine="0"/>
            <w:jc w:val="left"/>
          </w:pPr>
          <w:hyperlink w:history="true" w:anchor="_TOC_250011">
            <w:r>
              <w:rPr/>
              <w:t>Effect of 21-day chronomodulated nifedipine administration on retinopathy in glimepiride</w:t>
            </w:r>
            <w:r>
              <w:rPr>
                <w:spacing w:val="-3"/>
              </w:rPr>
              <w:t> </w:t>
            </w:r>
            <w:r>
              <w:rPr/>
              <w:t>treated</w:t>
            </w:r>
            <w:r>
              <w:rPr>
                <w:spacing w:val="-3"/>
              </w:rPr>
              <w:t> </w:t>
            </w:r>
            <w:r>
              <w:rPr/>
              <w:t>hyperglycaemic</w:t>
            </w:r>
            <w:r>
              <w:rPr>
                <w:spacing w:val="-3"/>
              </w:rPr>
              <w:t> </w:t>
            </w:r>
            <w:r>
              <w:rPr>
                <w:spacing w:val="-4"/>
              </w:rPr>
              <w:t>rats</w:t>
            </w:r>
            <w:r>
              <w:rPr/>
              <w:tab/>
            </w:r>
            <w:r>
              <w:rPr>
                <w:spacing w:val="-5"/>
              </w:rPr>
              <w:t>59</w:t>
            </w:r>
          </w:hyperlink>
        </w:p>
        <w:p>
          <w:pPr>
            <w:pStyle w:val="TOC2"/>
            <w:numPr>
              <w:ilvl w:val="2"/>
              <w:numId w:val="4"/>
            </w:numPr>
            <w:tabs>
              <w:tab w:pos="1177" w:val="left" w:leader="none"/>
              <w:tab w:pos="8832" w:val="left" w:leader="dot"/>
            </w:tabs>
            <w:spacing w:line="240" w:lineRule="auto" w:before="0" w:after="0"/>
            <w:ind w:left="1177" w:right="0" w:hanging="881"/>
            <w:jc w:val="left"/>
          </w:pPr>
          <w:hyperlink w:history="true" w:anchor="_TOC_250010">
            <w:r>
              <w:rPr/>
              <w:t>Serum</w:t>
            </w:r>
            <w:r>
              <w:rPr>
                <w:spacing w:val="-2"/>
              </w:rPr>
              <w:t> </w:t>
            </w:r>
            <w:r>
              <w:rPr/>
              <w:t>ocular</w:t>
            </w:r>
            <w:r>
              <w:rPr>
                <w:spacing w:val="-3"/>
              </w:rPr>
              <w:t> </w:t>
            </w:r>
            <w:r>
              <w:rPr>
                <w:spacing w:val="-2"/>
              </w:rPr>
              <w:t>markers</w:t>
            </w:r>
            <w:r>
              <w:rPr/>
              <w:tab/>
            </w:r>
            <w:r>
              <w:rPr>
                <w:spacing w:val="-5"/>
              </w:rPr>
              <w:t>59</w:t>
            </w:r>
          </w:hyperlink>
        </w:p>
        <w:p>
          <w:pPr>
            <w:pStyle w:val="TOC2"/>
            <w:numPr>
              <w:ilvl w:val="2"/>
              <w:numId w:val="4"/>
            </w:numPr>
            <w:tabs>
              <w:tab w:pos="1177" w:val="left" w:leader="none"/>
              <w:tab w:pos="8832" w:val="left" w:leader="dot"/>
            </w:tabs>
            <w:spacing w:line="240" w:lineRule="auto" w:before="277" w:after="0"/>
            <w:ind w:left="1177" w:right="0" w:hanging="881"/>
            <w:jc w:val="left"/>
          </w:pPr>
          <w:hyperlink w:history="true" w:anchor="_TOC_250009">
            <w:r>
              <w:rPr/>
              <w:t>Histology</w:t>
            </w:r>
            <w:r>
              <w:rPr>
                <w:spacing w:val="-5"/>
              </w:rPr>
              <w:t> </w:t>
            </w:r>
            <w:r>
              <w:rPr/>
              <w:t>of</w:t>
            </w:r>
            <w:r>
              <w:rPr>
                <w:spacing w:val="1"/>
              </w:rPr>
              <w:t> </w:t>
            </w:r>
            <w:r>
              <w:rPr/>
              <w:t>the</w:t>
            </w:r>
            <w:r>
              <w:rPr>
                <w:spacing w:val="-1"/>
              </w:rPr>
              <w:t> </w:t>
            </w:r>
            <w:r>
              <w:rPr>
                <w:spacing w:val="-2"/>
              </w:rPr>
              <w:t>retina</w:t>
            </w:r>
            <w:r>
              <w:rPr/>
              <w:tab/>
            </w:r>
            <w:r>
              <w:rPr>
                <w:spacing w:val="-5"/>
              </w:rPr>
              <w:t>61</w:t>
            </w:r>
          </w:hyperlink>
        </w:p>
        <w:p>
          <w:pPr>
            <w:pStyle w:val="TOC1"/>
            <w:tabs>
              <w:tab w:pos="8832" w:val="left" w:leader="dot"/>
            </w:tabs>
            <w:ind w:left="296" w:firstLine="0"/>
          </w:pPr>
          <w:hyperlink w:history="true" w:anchor="_TOC_250008">
            <w:r>
              <w:rPr/>
              <w:t>CHAPTER</w:t>
            </w:r>
            <w:r>
              <w:rPr>
                <w:spacing w:val="-3"/>
              </w:rPr>
              <w:t> </w:t>
            </w:r>
            <w:r>
              <w:rPr>
                <w:spacing w:val="-4"/>
              </w:rPr>
              <w:t>FIVE</w:t>
            </w:r>
            <w:r>
              <w:rPr/>
              <w:tab/>
            </w:r>
            <w:r>
              <w:rPr>
                <w:spacing w:val="-5"/>
              </w:rPr>
              <w:t>65</w:t>
            </w:r>
          </w:hyperlink>
        </w:p>
        <w:p>
          <w:pPr>
            <w:pStyle w:val="TOC2"/>
            <w:numPr>
              <w:ilvl w:val="0"/>
              <w:numId w:val="5"/>
            </w:numPr>
            <w:tabs>
              <w:tab w:pos="956" w:val="left" w:leader="none"/>
              <w:tab w:pos="8832" w:val="left" w:leader="dot"/>
            </w:tabs>
            <w:spacing w:line="240" w:lineRule="auto" w:before="276" w:after="0"/>
            <w:ind w:left="956" w:right="0" w:hanging="660"/>
            <w:jc w:val="left"/>
          </w:pPr>
          <w:hyperlink w:history="true" w:anchor="_TOC_250007">
            <w:r>
              <w:rPr>
                <w:spacing w:val="-2"/>
              </w:rPr>
              <w:t>Discussion</w:t>
            </w:r>
            <w:r>
              <w:rPr/>
              <w:tab/>
            </w:r>
            <w:r>
              <w:rPr>
                <w:spacing w:val="-5"/>
              </w:rPr>
              <w:t>65</w:t>
            </w:r>
          </w:hyperlink>
        </w:p>
        <w:p>
          <w:pPr>
            <w:pStyle w:val="TOC1"/>
            <w:tabs>
              <w:tab w:pos="8832" w:val="left" w:leader="dot"/>
            </w:tabs>
            <w:ind w:left="296" w:firstLine="0"/>
          </w:pPr>
          <w:hyperlink w:history="true" w:anchor="_TOC_250006">
            <w:r>
              <w:rPr/>
              <w:t>CHAPTER</w:t>
            </w:r>
            <w:r>
              <w:rPr>
                <w:spacing w:val="-1"/>
              </w:rPr>
              <w:t> </w:t>
            </w:r>
            <w:r>
              <w:rPr>
                <w:spacing w:val="-5"/>
              </w:rPr>
              <w:t>SIX</w:t>
            </w:r>
            <w:r>
              <w:rPr/>
              <w:tab/>
            </w:r>
            <w:r>
              <w:rPr>
                <w:spacing w:val="-5"/>
              </w:rPr>
              <w:t>72</w:t>
            </w:r>
          </w:hyperlink>
        </w:p>
        <w:p>
          <w:pPr>
            <w:pStyle w:val="TOC2"/>
            <w:numPr>
              <w:ilvl w:val="0"/>
              <w:numId w:val="5"/>
            </w:numPr>
            <w:tabs>
              <w:tab w:pos="956" w:val="left" w:leader="none"/>
              <w:tab w:pos="8832" w:val="left" w:leader="dot"/>
            </w:tabs>
            <w:spacing w:line="240" w:lineRule="auto" w:before="276" w:after="0"/>
            <w:ind w:left="956" w:right="0" w:hanging="660"/>
            <w:jc w:val="left"/>
          </w:pPr>
          <w:hyperlink w:history="true" w:anchor="_TOC_250005">
            <w:r>
              <w:rPr/>
              <w:t>Conclusion</w:t>
            </w:r>
            <w:r>
              <w:rPr>
                <w:spacing w:val="-1"/>
              </w:rPr>
              <w:t> </w:t>
            </w:r>
            <w:r>
              <w:rPr/>
              <w:t>and</w:t>
            </w:r>
            <w:r>
              <w:rPr>
                <w:spacing w:val="-1"/>
              </w:rPr>
              <w:t> </w:t>
            </w:r>
            <w:r>
              <w:rPr>
                <w:spacing w:val="-2"/>
              </w:rPr>
              <w:t>Recommendations</w:t>
            </w:r>
            <w:r>
              <w:rPr/>
              <w:tab/>
            </w:r>
            <w:r>
              <w:rPr>
                <w:spacing w:val="-5"/>
              </w:rPr>
              <w:t>72</w:t>
            </w:r>
          </w:hyperlink>
        </w:p>
        <w:p>
          <w:pPr>
            <w:pStyle w:val="TOC2"/>
            <w:numPr>
              <w:ilvl w:val="1"/>
              <w:numId w:val="5"/>
            </w:numPr>
            <w:tabs>
              <w:tab w:pos="956" w:val="left" w:leader="none"/>
              <w:tab w:pos="8832" w:val="left" w:leader="dot"/>
            </w:tabs>
            <w:spacing w:line="240" w:lineRule="auto" w:before="276" w:after="0"/>
            <w:ind w:left="956" w:right="0" w:hanging="660"/>
            <w:jc w:val="left"/>
          </w:pPr>
          <w:hyperlink w:history="true" w:anchor="_TOC_250004">
            <w:r>
              <w:rPr>
                <w:spacing w:val="-2"/>
              </w:rPr>
              <w:t>Conclusion</w:t>
            </w:r>
            <w:r>
              <w:rPr/>
              <w:tab/>
            </w:r>
            <w:r>
              <w:rPr>
                <w:spacing w:val="-5"/>
              </w:rPr>
              <w:t>72</w:t>
            </w:r>
          </w:hyperlink>
        </w:p>
        <w:p>
          <w:pPr>
            <w:pStyle w:val="TOC2"/>
            <w:numPr>
              <w:ilvl w:val="1"/>
              <w:numId w:val="6"/>
            </w:numPr>
            <w:tabs>
              <w:tab w:pos="956" w:val="left" w:leader="none"/>
              <w:tab w:pos="8832" w:val="left" w:leader="dot"/>
            </w:tabs>
            <w:spacing w:line="240" w:lineRule="auto" w:before="276" w:after="0"/>
            <w:ind w:left="956" w:right="0" w:hanging="660"/>
            <w:jc w:val="left"/>
          </w:pPr>
          <w:hyperlink w:history="true" w:anchor="_TOC_250003">
            <w:r>
              <w:rPr/>
              <w:t>Recommendation</w:t>
            </w:r>
            <w:r>
              <w:rPr>
                <w:spacing w:val="-2"/>
              </w:rPr>
              <w:t> </w:t>
            </w:r>
            <w:r>
              <w:rPr/>
              <w:t>and</w:t>
            </w:r>
            <w:r>
              <w:rPr>
                <w:spacing w:val="-2"/>
              </w:rPr>
              <w:t> </w:t>
            </w:r>
            <w:r>
              <w:rPr/>
              <w:t>suggestions</w:t>
            </w:r>
            <w:r>
              <w:rPr>
                <w:spacing w:val="-1"/>
              </w:rPr>
              <w:t> </w:t>
            </w:r>
            <w:r>
              <w:rPr/>
              <w:t>for</w:t>
            </w:r>
            <w:r>
              <w:rPr>
                <w:spacing w:val="-2"/>
              </w:rPr>
              <w:t> </w:t>
            </w:r>
            <w:r>
              <w:rPr/>
              <w:t>further</w:t>
            </w:r>
            <w:r>
              <w:rPr>
                <w:spacing w:val="-1"/>
              </w:rPr>
              <w:t> </w:t>
            </w:r>
            <w:r>
              <w:rPr>
                <w:spacing w:val="-2"/>
              </w:rPr>
              <w:t>studies</w:t>
            </w:r>
            <w:r>
              <w:rPr/>
              <w:tab/>
            </w:r>
            <w:r>
              <w:rPr>
                <w:spacing w:val="-5"/>
              </w:rPr>
              <w:t>72</w:t>
            </w:r>
          </w:hyperlink>
        </w:p>
        <w:p>
          <w:pPr>
            <w:pStyle w:val="TOC1"/>
            <w:tabs>
              <w:tab w:pos="8832" w:val="left" w:leader="dot"/>
            </w:tabs>
            <w:ind w:left="296" w:firstLine="0"/>
          </w:pPr>
          <w:hyperlink w:history="true" w:anchor="_TOC_250002">
            <w:r>
              <w:rPr>
                <w:spacing w:val="-2"/>
              </w:rPr>
              <w:t>REFERENCES</w:t>
            </w:r>
            <w:r>
              <w:rPr/>
              <w:tab/>
            </w:r>
            <w:r>
              <w:rPr>
                <w:spacing w:val="-5"/>
              </w:rPr>
              <w:t>74</w:t>
            </w:r>
          </w:hyperlink>
        </w:p>
        <w:p>
          <w:pPr>
            <w:pStyle w:val="TOC1"/>
            <w:tabs>
              <w:tab w:pos="1616" w:val="left" w:leader="none"/>
              <w:tab w:pos="8832" w:val="left" w:leader="dot"/>
            </w:tabs>
            <w:ind w:left="296" w:firstLine="0"/>
          </w:pPr>
          <w:hyperlink w:history="true" w:anchor="_TOC_250001">
            <w:r>
              <w:rPr>
                <w:spacing w:val="-2"/>
              </w:rPr>
              <w:t>Appendix</w:t>
            </w:r>
            <w:r>
              <w:rPr/>
              <w:tab/>
            </w:r>
            <w:r>
              <w:rPr>
                <w:spacing w:val="-10"/>
              </w:rPr>
              <w:t>I</w:t>
            </w:r>
            <w:r>
              <w:rPr/>
              <w:tab/>
            </w:r>
            <w:r>
              <w:rPr>
                <w:spacing w:val="-5"/>
              </w:rPr>
              <w:t>95</w:t>
            </w:r>
          </w:hyperlink>
        </w:p>
        <w:p>
          <w:pPr>
            <w:pStyle w:val="TOC1"/>
            <w:tabs>
              <w:tab w:pos="1616" w:val="left" w:leader="none"/>
              <w:tab w:pos="8832" w:val="left" w:leader="dot"/>
            </w:tabs>
            <w:ind w:left="296" w:firstLine="0"/>
          </w:pPr>
          <w:hyperlink w:history="true" w:anchor="_TOC_250000">
            <w:r>
              <w:rPr>
                <w:spacing w:val="-2"/>
              </w:rPr>
              <w:t>Appendix</w:t>
            </w:r>
            <w:r>
              <w:rPr/>
              <w:tab/>
            </w:r>
            <w:r>
              <w:rPr>
                <w:spacing w:val="-5"/>
              </w:rPr>
              <w:t>II</w:t>
            </w:r>
            <w:r>
              <w:rPr/>
              <w:tab/>
            </w:r>
            <w:r>
              <w:rPr>
                <w:spacing w:val="-5"/>
              </w:rPr>
              <w:t>96</w:t>
            </w:r>
          </w:hyperlink>
        </w:p>
      </w:sdtContent>
    </w:sdt>
    <w:p>
      <w:pPr>
        <w:spacing w:after="0"/>
        <w:sectPr>
          <w:type w:val="continuous"/>
          <w:pgSz w:w="12240" w:h="15840"/>
          <w:pgMar w:header="0" w:footer="1015" w:top="1359" w:bottom="1966" w:left="1720" w:right="300"/>
        </w:sectPr>
      </w:pPr>
    </w:p>
    <w:p>
      <w:pPr>
        <w:pStyle w:val="Heading1"/>
        <w:spacing w:before="70"/>
        <w:ind w:left="960"/>
      </w:pPr>
      <w:bookmarkStart w:name="_TOC_250076" w:id="5"/>
      <w:r>
        <w:rPr/>
        <w:t>LIST OF</w:t>
      </w:r>
      <w:r>
        <w:rPr>
          <w:spacing w:val="-3"/>
        </w:rPr>
        <w:t> </w:t>
      </w:r>
      <w:bookmarkEnd w:id="5"/>
      <w:r>
        <w:rPr>
          <w:spacing w:val="-2"/>
        </w:rPr>
        <w:t>TABLES</w:t>
      </w:r>
    </w:p>
    <w:p>
      <w:pPr>
        <w:pStyle w:val="BodyText"/>
        <w:tabs>
          <w:tab w:pos="8217" w:val="left" w:leader="none"/>
        </w:tabs>
        <w:spacing w:before="271"/>
        <w:ind w:left="296"/>
      </w:pPr>
      <w:r>
        <w:rPr>
          <w:spacing w:val="-2"/>
        </w:rPr>
        <w:t>Table</w:t>
      </w:r>
      <w:r>
        <w:rPr/>
        <w:tab/>
      </w:r>
      <w:r>
        <w:rPr>
          <w:spacing w:val="-4"/>
        </w:rPr>
        <w:t>Page</w:t>
      </w:r>
    </w:p>
    <w:p>
      <w:pPr>
        <w:pStyle w:val="BodyText"/>
      </w:pPr>
    </w:p>
    <w:p>
      <w:pPr>
        <w:pStyle w:val="ListParagraph"/>
        <w:numPr>
          <w:ilvl w:val="1"/>
          <w:numId w:val="7"/>
        </w:numPr>
        <w:tabs>
          <w:tab w:pos="1016" w:val="left" w:leader="none"/>
        </w:tabs>
        <w:spacing w:line="240" w:lineRule="auto" w:before="0" w:after="0"/>
        <w:ind w:left="1016" w:right="0" w:hanging="720"/>
        <w:jc w:val="left"/>
        <w:rPr>
          <w:sz w:val="24"/>
        </w:rPr>
      </w:pPr>
      <w:r>
        <w:rPr>
          <w:sz w:val="24"/>
        </w:rPr>
        <w:t>Effect</w:t>
      </w:r>
      <w:r>
        <w:rPr>
          <w:spacing w:val="-1"/>
          <w:sz w:val="24"/>
        </w:rPr>
        <w:t> </w:t>
      </w:r>
      <w:r>
        <w:rPr>
          <w:sz w:val="24"/>
        </w:rPr>
        <w:t>of</w:t>
      </w:r>
      <w:r>
        <w:rPr>
          <w:spacing w:val="-1"/>
          <w:sz w:val="24"/>
        </w:rPr>
        <w:t> </w:t>
      </w:r>
      <w:r>
        <w:rPr>
          <w:sz w:val="24"/>
        </w:rPr>
        <w:t>21-day</w:t>
      </w:r>
      <w:r>
        <w:rPr>
          <w:spacing w:val="-4"/>
          <w:sz w:val="24"/>
        </w:rPr>
        <w:t> </w:t>
      </w:r>
      <w:r>
        <w:rPr>
          <w:sz w:val="24"/>
        </w:rPr>
        <w:t>chronomodulated</w:t>
      </w:r>
      <w:r>
        <w:rPr>
          <w:spacing w:val="-1"/>
          <w:sz w:val="24"/>
        </w:rPr>
        <w:t> </w:t>
      </w:r>
      <w:r>
        <w:rPr>
          <w:sz w:val="24"/>
        </w:rPr>
        <w:t>nifedipine</w:t>
      </w:r>
      <w:r>
        <w:rPr>
          <w:spacing w:val="-2"/>
          <w:sz w:val="24"/>
        </w:rPr>
        <w:t> </w:t>
      </w:r>
      <w:r>
        <w:rPr>
          <w:sz w:val="24"/>
        </w:rPr>
        <w:t>administration</w:t>
      </w:r>
      <w:r>
        <w:rPr>
          <w:spacing w:val="3"/>
          <w:sz w:val="24"/>
        </w:rPr>
        <w:t> </w:t>
      </w:r>
      <w:r>
        <w:rPr>
          <w:spacing w:val="-5"/>
          <w:sz w:val="24"/>
        </w:rPr>
        <w:t>on</w:t>
      </w:r>
    </w:p>
    <w:p>
      <w:pPr>
        <w:pStyle w:val="BodyText"/>
      </w:pPr>
    </w:p>
    <w:p>
      <w:pPr>
        <w:pStyle w:val="BodyText"/>
        <w:tabs>
          <w:tab w:pos="8697" w:val="left" w:leader="dot"/>
        </w:tabs>
        <w:ind w:left="1076"/>
      </w:pPr>
      <w:r>
        <w:rPr/>
        <w:t>body</w:t>
      </w:r>
      <w:r>
        <w:rPr>
          <w:spacing w:val="-8"/>
        </w:rPr>
        <w:t> </w:t>
      </w:r>
      <w:r>
        <w:rPr/>
        <w:t>weight</w:t>
      </w:r>
      <w:r>
        <w:rPr>
          <w:spacing w:val="-1"/>
        </w:rPr>
        <w:t> </w:t>
      </w:r>
      <w:r>
        <w:rPr/>
        <w:t>in</w:t>
      </w:r>
      <w:r>
        <w:rPr>
          <w:spacing w:val="2"/>
        </w:rPr>
        <w:t> </w:t>
      </w:r>
      <w:r>
        <w:rPr/>
        <w:t>glimepiride-treated</w:t>
      </w:r>
      <w:r>
        <w:rPr>
          <w:spacing w:val="-1"/>
        </w:rPr>
        <w:t> </w:t>
      </w:r>
      <w:r>
        <w:rPr/>
        <w:t>hyperglycaemic</w:t>
      </w:r>
      <w:r>
        <w:rPr>
          <w:spacing w:val="-1"/>
        </w:rPr>
        <w:t> </w:t>
      </w:r>
      <w:r>
        <w:rPr>
          <w:spacing w:val="-4"/>
        </w:rPr>
        <w:t>rats</w:t>
      </w:r>
      <w:r>
        <w:rPr/>
        <w:tab/>
      </w:r>
      <w:r>
        <w:rPr>
          <w:spacing w:val="-5"/>
        </w:rPr>
        <w:t>45</w:t>
      </w:r>
    </w:p>
    <w:p>
      <w:pPr>
        <w:pStyle w:val="BodyText"/>
      </w:pPr>
    </w:p>
    <w:p>
      <w:pPr>
        <w:pStyle w:val="ListParagraph"/>
        <w:numPr>
          <w:ilvl w:val="1"/>
          <w:numId w:val="7"/>
        </w:numPr>
        <w:tabs>
          <w:tab w:pos="1016" w:val="left" w:leader="none"/>
        </w:tabs>
        <w:spacing w:line="240" w:lineRule="auto" w:before="0" w:after="0"/>
        <w:ind w:left="1016" w:right="0" w:hanging="720"/>
        <w:jc w:val="left"/>
        <w:rPr>
          <w:sz w:val="24"/>
        </w:rPr>
      </w:pPr>
      <w:r>
        <w:rPr>
          <w:sz w:val="24"/>
        </w:rPr>
        <w:t>Effect</w:t>
      </w:r>
      <w:r>
        <w:rPr>
          <w:spacing w:val="-1"/>
          <w:sz w:val="24"/>
        </w:rPr>
        <w:t> </w:t>
      </w:r>
      <w:r>
        <w:rPr>
          <w:sz w:val="24"/>
        </w:rPr>
        <w:t>of</w:t>
      </w:r>
      <w:r>
        <w:rPr>
          <w:spacing w:val="-1"/>
          <w:sz w:val="24"/>
        </w:rPr>
        <w:t> </w:t>
      </w:r>
      <w:r>
        <w:rPr>
          <w:sz w:val="24"/>
        </w:rPr>
        <w:t>21-day</w:t>
      </w:r>
      <w:r>
        <w:rPr>
          <w:spacing w:val="-4"/>
          <w:sz w:val="24"/>
        </w:rPr>
        <w:t> </w:t>
      </w:r>
      <w:r>
        <w:rPr>
          <w:sz w:val="24"/>
        </w:rPr>
        <w:t>chronomodulated</w:t>
      </w:r>
      <w:r>
        <w:rPr>
          <w:spacing w:val="-1"/>
          <w:sz w:val="24"/>
        </w:rPr>
        <w:t> </w:t>
      </w:r>
      <w:r>
        <w:rPr>
          <w:sz w:val="24"/>
        </w:rPr>
        <w:t>nifedipine administration</w:t>
      </w:r>
      <w:r>
        <w:rPr>
          <w:spacing w:val="1"/>
          <w:sz w:val="24"/>
        </w:rPr>
        <w:t> </w:t>
      </w:r>
      <w:r>
        <w:rPr>
          <w:spacing w:val="-5"/>
          <w:sz w:val="24"/>
        </w:rPr>
        <w:t>on</w:t>
      </w:r>
    </w:p>
    <w:p>
      <w:pPr>
        <w:pStyle w:val="BodyText"/>
      </w:pPr>
    </w:p>
    <w:p>
      <w:pPr>
        <w:pStyle w:val="BodyText"/>
        <w:tabs>
          <w:tab w:pos="8729" w:val="left" w:leader="dot"/>
        </w:tabs>
        <w:ind w:left="1016"/>
      </w:pPr>
      <w:r>
        <w:rPr/>
        <w:t>mechanical</w:t>
      </w:r>
      <w:r>
        <w:rPr>
          <w:spacing w:val="-3"/>
        </w:rPr>
        <w:t> </w:t>
      </w:r>
      <w:r>
        <w:rPr/>
        <w:t>hyperalgesia</w:t>
      </w:r>
      <w:r>
        <w:rPr>
          <w:spacing w:val="-1"/>
        </w:rPr>
        <w:t> </w:t>
      </w:r>
      <w:r>
        <w:rPr/>
        <w:t>in</w:t>
      </w:r>
      <w:r>
        <w:rPr>
          <w:spacing w:val="-3"/>
        </w:rPr>
        <w:t> </w:t>
      </w:r>
      <w:r>
        <w:rPr/>
        <w:t>glimepiride-treated</w:t>
      </w:r>
      <w:r>
        <w:rPr>
          <w:spacing w:val="-2"/>
        </w:rPr>
        <w:t> </w:t>
      </w:r>
      <w:r>
        <w:rPr/>
        <w:t>hyperglycaemic</w:t>
      </w:r>
      <w:r>
        <w:rPr>
          <w:spacing w:val="-3"/>
        </w:rPr>
        <w:t> </w:t>
      </w:r>
      <w:r>
        <w:rPr>
          <w:spacing w:val="-4"/>
        </w:rPr>
        <w:t>rats</w:t>
      </w:r>
      <w:r>
        <w:rPr/>
        <w:tab/>
      </w:r>
      <w:r>
        <w:rPr>
          <w:spacing w:val="-5"/>
        </w:rPr>
        <w:t>47</w:t>
      </w:r>
    </w:p>
    <w:p>
      <w:pPr>
        <w:pStyle w:val="BodyText"/>
        <w:spacing w:before="1"/>
      </w:pPr>
    </w:p>
    <w:p>
      <w:pPr>
        <w:pStyle w:val="ListParagraph"/>
        <w:numPr>
          <w:ilvl w:val="1"/>
          <w:numId w:val="7"/>
        </w:numPr>
        <w:tabs>
          <w:tab w:pos="1016" w:val="left" w:leader="none"/>
          <w:tab w:pos="8776" w:val="left" w:leader="dot"/>
        </w:tabs>
        <w:spacing w:line="480" w:lineRule="auto" w:before="0" w:after="0"/>
        <w:ind w:left="1016" w:right="1201" w:hanging="720"/>
        <w:jc w:val="left"/>
        <w:rPr>
          <w:sz w:val="24"/>
        </w:rPr>
      </w:pPr>
      <w:r>
        <w:rPr>
          <w:sz w:val="24"/>
        </w:rPr>
        <w:t>Effect of 21-day chronomodulated nifedipine administration on thermal hyperalgesia</w:t>
      </w:r>
      <w:r>
        <w:rPr>
          <w:spacing w:val="-3"/>
          <w:sz w:val="24"/>
        </w:rPr>
        <w:t> </w:t>
      </w:r>
      <w:r>
        <w:rPr>
          <w:sz w:val="24"/>
        </w:rPr>
        <w:t>in glimepiride-treated</w:t>
      </w:r>
      <w:r>
        <w:rPr>
          <w:spacing w:val="-2"/>
          <w:sz w:val="24"/>
        </w:rPr>
        <w:t> </w:t>
      </w:r>
      <w:r>
        <w:rPr>
          <w:sz w:val="24"/>
        </w:rPr>
        <w:t>hyperglycaemic</w:t>
      </w:r>
      <w:r>
        <w:rPr>
          <w:spacing w:val="-3"/>
          <w:sz w:val="24"/>
        </w:rPr>
        <w:t> </w:t>
      </w:r>
      <w:r>
        <w:rPr>
          <w:spacing w:val="-4"/>
          <w:sz w:val="24"/>
        </w:rPr>
        <w:t>rats</w:t>
      </w:r>
      <w:r>
        <w:rPr>
          <w:sz w:val="24"/>
        </w:rPr>
        <w:tab/>
      </w:r>
      <w:r>
        <w:rPr>
          <w:spacing w:val="-5"/>
          <w:sz w:val="24"/>
        </w:rPr>
        <w:t>49</w:t>
      </w:r>
    </w:p>
    <w:p>
      <w:pPr>
        <w:pStyle w:val="ListParagraph"/>
        <w:numPr>
          <w:ilvl w:val="1"/>
          <w:numId w:val="7"/>
        </w:numPr>
        <w:tabs>
          <w:tab w:pos="1016" w:val="left" w:leader="none"/>
          <w:tab w:pos="8755" w:val="left" w:leader="dot"/>
        </w:tabs>
        <w:spacing w:line="480" w:lineRule="auto" w:before="0" w:after="0"/>
        <w:ind w:left="1016" w:right="1222" w:hanging="720"/>
        <w:jc w:val="left"/>
        <w:rPr>
          <w:sz w:val="24"/>
        </w:rPr>
      </w:pPr>
      <w:r>
        <w:rPr>
          <w:sz w:val="24"/>
        </w:rPr>
        <w:t>Effect of 21-day chronomodulated nifedipine administration on serum renal markers in glimepiride-treated hyperglycaemic rats</w:t>
        <w:tab/>
      </w:r>
      <w:r>
        <w:rPr>
          <w:spacing w:val="-6"/>
          <w:sz w:val="24"/>
        </w:rPr>
        <w:t>51</w:t>
      </w:r>
    </w:p>
    <w:p>
      <w:pPr>
        <w:pStyle w:val="ListParagraph"/>
        <w:numPr>
          <w:ilvl w:val="1"/>
          <w:numId w:val="7"/>
        </w:numPr>
        <w:tabs>
          <w:tab w:pos="1016" w:val="left" w:leader="none"/>
        </w:tabs>
        <w:spacing w:line="240" w:lineRule="auto" w:before="0" w:after="0"/>
        <w:ind w:left="1016" w:right="0" w:hanging="720"/>
        <w:jc w:val="left"/>
        <w:rPr>
          <w:sz w:val="24"/>
        </w:rPr>
      </w:pPr>
      <w:r>
        <w:rPr>
          <w:sz w:val="24"/>
        </w:rPr>
        <w:t>Effect</w:t>
      </w:r>
      <w:r>
        <w:rPr>
          <w:spacing w:val="-1"/>
          <w:sz w:val="24"/>
        </w:rPr>
        <w:t> </w:t>
      </w:r>
      <w:r>
        <w:rPr>
          <w:sz w:val="24"/>
        </w:rPr>
        <w:t>of</w:t>
      </w:r>
      <w:r>
        <w:rPr>
          <w:spacing w:val="-1"/>
          <w:sz w:val="24"/>
        </w:rPr>
        <w:t> </w:t>
      </w:r>
      <w:r>
        <w:rPr>
          <w:sz w:val="24"/>
        </w:rPr>
        <w:t>21-day</w:t>
      </w:r>
      <w:r>
        <w:rPr>
          <w:spacing w:val="-4"/>
          <w:sz w:val="24"/>
        </w:rPr>
        <w:t> </w:t>
      </w:r>
      <w:r>
        <w:rPr>
          <w:sz w:val="24"/>
        </w:rPr>
        <w:t>chronomodulated</w:t>
      </w:r>
      <w:r>
        <w:rPr>
          <w:spacing w:val="-1"/>
          <w:sz w:val="24"/>
        </w:rPr>
        <w:t> </w:t>
      </w:r>
      <w:r>
        <w:rPr>
          <w:sz w:val="24"/>
        </w:rPr>
        <w:t>nifedipine</w:t>
      </w:r>
      <w:r>
        <w:rPr>
          <w:spacing w:val="-2"/>
          <w:sz w:val="24"/>
        </w:rPr>
        <w:t> </w:t>
      </w:r>
      <w:r>
        <w:rPr>
          <w:sz w:val="24"/>
        </w:rPr>
        <w:t>administration</w:t>
      </w:r>
      <w:r>
        <w:rPr>
          <w:spacing w:val="3"/>
          <w:sz w:val="24"/>
        </w:rPr>
        <w:t> </w:t>
      </w:r>
      <w:r>
        <w:rPr>
          <w:spacing w:val="-5"/>
          <w:sz w:val="24"/>
        </w:rPr>
        <w:t>on</w:t>
      </w:r>
    </w:p>
    <w:p>
      <w:pPr>
        <w:pStyle w:val="BodyText"/>
      </w:pPr>
    </w:p>
    <w:p>
      <w:pPr>
        <w:pStyle w:val="BodyText"/>
        <w:tabs>
          <w:tab w:pos="8808" w:val="left" w:leader="dot"/>
        </w:tabs>
        <w:ind w:left="1016"/>
      </w:pPr>
      <w:r>
        <w:rPr/>
        <w:t>relative</w:t>
      </w:r>
      <w:r>
        <w:rPr>
          <w:spacing w:val="-2"/>
        </w:rPr>
        <w:t> </w:t>
      </w:r>
      <w:r>
        <w:rPr/>
        <w:t>kidney</w:t>
      </w:r>
      <w:r>
        <w:rPr>
          <w:spacing w:val="-5"/>
        </w:rPr>
        <w:t> </w:t>
      </w:r>
      <w:r>
        <w:rPr/>
        <w:t>weight</w:t>
      </w:r>
      <w:r>
        <w:rPr>
          <w:spacing w:val="-1"/>
        </w:rPr>
        <w:t> </w:t>
      </w:r>
      <w:r>
        <w:rPr/>
        <w:t>in</w:t>
      </w:r>
      <w:r>
        <w:rPr>
          <w:spacing w:val="1"/>
        </w:rPr>
        <w:t> </w:t>
      </w:r>
      <w:r>
        <w:rPr/>
        <w:t>glimepiride-treated</w:t>
      </w:r>
      <w:r>
        <w:rPr>
          <w:spacing w:val="-1"/>
        </w:rPr>
        <w:t> </w:t>
      </w:r>
      <w:r>
        <w:rPr/>
        <w:t>hyperglycaemic</w:t>
      </w:r>
      <w:r>
        <w:rPr>
          <w:spacing w:val="-2"/>
        </w:rPr>
        <w:t> </w:t>
      </w:r>
      <w:r>
        <w:rPr>
          <w:spacing w:val="-4"/>
        </w:rPr>
        <w:t>rats</w:t>
      </w:r>
      <w:r>
        <w:rPr/>
        <w:tab/>
      </w:r>
      <w:r>
        <w:rPr>
          <w:spacing w:val="-5"/>
        </w:rPr>
        <w:t>53</w:t>
      </w:r>
    </w:p>
    <w:p>
      <w:pPr>
        <w:pStyle w:val="BodyText"/>
      </w:pPr>
    </w:p>
    <w:p>
      <w:pPr>
        <w:pStyle w:val="ListParagraph"/>
        <w:numPr>
          <w:ilvl w:val="1"/>
          <w:numId w:val="7"/>
        </w:numPr>
        <w:tabs>
          <w:tab w:pos="1016" w:val="left" w:leader="none"/>
          <w:tab w:pos="8815" w:val="left" w:leader="dot"/>
        </w:tabs>
        <w:spacing w:line="480" w:lineRule="auto" w:before="0" w:after="0"/>
        <w:ind w:left="1016" w:right="1162" w:hanging="720"/>
        <w:jc w:val="left"/>
        <w:rPr>
          <w:sz w:val="24"/>
        </w:rPr>
      </w:pPr>
      <w:r>
        <w:rPr>
          <w:sz w:val="24"/>
        </w:rPr>
        <w:t>Effect of 21-day chronomodulated nifedipine administration on serum ocular markers in glimepiride-treated hyperglycaemic rats</w:t>
        <w:tab/>
      </w:r>
      <w:r>
        <w:rPr>
          <w:spacing w:val="-6"/>
          <w:sz w:val="24"/>
        </w:rPr>
        <w:t>61</w:t>
      </w:r>
    </w:p>
    <w:p>
      <w:pPr>
        <w:spacing w:after="0" w:line="480" w:lineRule="auto"/>
        <w:jc w:val="left"/>
        <w:rPr>
          <w:sz w:val="24"/>
        </w:rPr>
        <w:sectPr>
          <w:pgSz w:w="12240" w:h="15840"/>
          <w:pgMar w:header="0" w:footer="1015" w:top="1780" w:bottom="1200" w:left="1720" w:right="300"/>
        </w:sectPr>
      </w:pPr>
    </w:p>
    <w:p>
      <w:pPr>
        <w:pStyle w:val="Heading1"/>
        <w:ind w:left="960"/>
      </w:pPr>
      <w:bookmarkStart w:name="_TOC_250075" w:id="6"/>
      <w:r>
        <w:rPr/>
        <w:t>LIST OF</w:t>
      </w:r>
      <w:r>
        <w:rPr>
          <w:spacing w:val="-3"/>
        </w:rPr>
        <w:t> </w:t>
      </w:r>
      <w:bookmarkEnd w:id="6"/>
      <w:r>
        <w:rPr>
          <w:spacing w:val="-2"/>
        </w:rPr>
        <w:t>PLATES</w:t>
      </w:r>
    </w:p>
    <w:p>
      <w:pPr>
        <w:pStyle w:val="BodyText"/>
        <w:tabs>
          <w:tab w:pos="8217" w:val="left" w:leader="none"/>
        </w:tabs>
        <w:spacing w:before="272"/>
        <w:ind w:left="296"/>
      </w:pPr>
      <w:r>
        <w:rPr>
          <w:spacing w:val="-2"/>
        </w:rPr>
        <w:t>Plate</w:t>
      </w:r>
      <w:r>
        <w:rPr/>
        <w:tab/>
      </w:r>
      <w:r>
        <w:rPr>
          <w:spacing w:val="-4"/>
        </w:rPr>
        <w:t>Page</w:t>
      </w:r>
    </w:p>
    <w:p>
      <w:pPr>
        <w:pStyle w:val="BodyText"/>
      </w:pPr>
    </w:p>
    <w:p>
      <w:pPr>
        <w:pStyle w:val="ListParagraph"/>
        <w:numPr>
          <w:ilvl w:val="0"/>
          <w:numId w:val="8"/>
        </w:numPr>
        <w:tabs>
          <w:tab w:pos="1016" w:val="left" w:leader="none"/>
        </w:tabs>
        <w:spacing w:line="240" w:lineRule="auto" w:before="0" w:after="0"/>
        <w:ind w:left="1016" w:right="0" w:hanging="675"/>
        <w:jc w:val="left"/>
        <w:rPr>
          <w:sz w:val="24"/>
        </w:rPr>
      </w:pPr>
      <w:r>
        <w:rPr>
          <w:sz w:val="24"/>
        </w:rPr>
        <w:t>Photomicrograph</w:t>
      </w:r>
      <w:r>
        <w:rPr>
          <w:spacing w:val="-3"/>
          <w:sz w:val="24"/>
        </w:rPr>
        <w:t> </w:t>
      </w:r>
      <w:r>
        <w:rPr>
          <w:sz w:val="24"/>
        </w:rPr>
        <w:t>of</w:t>
      </w:r>
      <w:r>
        <w:rPr>
          <w:spacing w:val="59"/>
          <w:sz w:val="24"/>
        </w:rPr>
        <w:t> </w:t>
      </w:r>
      <w:r>
        <w:rPr>
          <w:sz w:val="24"/>
        </w:rPr>
        <w:t>kidney</w:t>
      </w:r>
      <w:r>
        <w:rPr>
          <w:spacing w:val="-5"/>
          <w:sz w:val="24"/>
        </w:rPr>
        <w:t> </w:t>
      </w:r>
      <w:r>
        <w:rPr>
          <w:sz w:val="24"/>
        </w:rPr>
        <w:t>section</w:t>
      </w:r>
      <w:r>
        <w:rPr>
          <w:spacing w:val="-1"/>
          <w:sz w:val="24"/>
        </w:rPr>
        <w:t> </w:t>
      </w:r>
      <w:r>
        <w:rPr>
          <w:sz w:val="24"/>
        </w:rPr>
        <w:t>of</w:t>
      </w:r>
      <w:r>
        <w:rPr>
          <w:spacing w:val="-1"/>
          <w:sz w:val="24"/>
        </w:rPr>
        <w:t> </w:t>
      </w:r>
      <w:r>
        <w:rPr>
          <w:sz w:val="24"/>
        </w:rPr>
        <w:t>a</w:t>
      </w:r>
      <w:r>
        <w:rPr>
          <w:spacing w:val="-2"/>
          <w:sz w:val="24"/>
        </w:rPr>
        <w:t> </w:t>
      </w:r>
      <w:r>
        <w:rPr>
          <w:sz w:val="24"/>
        </w:rPr>
        <w:t>non-diabetic</w:t>
      </w:r>
      <w:r>
        <w:rPr>
          <w:spacing w:val="-1"/>
          <w:sz w:val="24"/>
        </w:rPr>
        <w:t> </w:t>
      </w:r>
      <w:r>
        <w:rPr>
          <w:sz w:val="24"/>
        </w:rPr>
        <w:t>rat</w:t>
      </w:r>
      <w:r>
        <w:rPr>
          <w:spacing w:val="1"/>
          <w:sz w:val="24"/>
        </w:rPr>
        <w:t> </w:t>
      </w:r>
      <w:r>
        <w:rPr>
          <w:spacing w:val="-2"/>
          <w:sz w:val="24"/>
        </w:rPr>
        <w:t>treated</w:t>
      </w:r>
    </w:p>
    <w:p>
      <w:pPr>
        <w:pStyle w:val="BodyText"/>
        <w:tabs>
          <w:tab w:pos="8640" w:val="right" w:leader="dot"/>
        </w:tabs>
        <w:spacing w:before="276"/>
        <w:ind w:left="1076"/>
      </w:pPr>
      <w:r>
        <w:rPr/>
        <w:t>with </w:t>
      </w:r>
      <w:r>
        <w:rPr>
          <w:spacing w:val="-2"/>
        </w:rPr>
        <w:t>PEG+H</w:t>
      </w:r>
      <w:r>
        <w:rPr>
          <w:spacing w:val="-2"/>
          <w:vertAlign w:val="subscript"/>
        </w:rPr>
        <w:t>2</w:t>
      </w:r>
      <w:r>
        <w:rPr>
          <w:spacing w:val="-2"/>
          <w:vertAlign w:val="baseline"/>
        </w:rPr>
        <w:t>O</w:t>
      </w:r>
      <w:r>
        <w:rPr>
          <w:vertAlign w:val="baseline"/>
        </w:rPr>
        <w:tab/>
      </w:r>
      <w:r>
        <w:rPr>
          <w:spacing w:val="-5"/>
          <w:vertAlign w:val="baseline"/>
        </w:rPr>
        <w:t>55</w:t>
      </w:r>
    </w:p>
    <w:p>
      <w:pPr>
        <w:pStyle w:val="ListParagraph"/>
        <w:numPr>
          <w:ilvl w:val="0"/>
          <w:numId w:val="8"/>
        </w:numPr>
        <w:tabs>
          <w:tab w:pos="1016" w:val="left" w:leader="none"/>
        </w:tabs>
        <w:spacing w:line="240" w:lineRule="auto" w:before="276" w:after="0"/>
        <w:ind w:left="1016" w:right="0" w:hanging="675"/>
        <w:jc w:val="left"/>
        <w:rPr>
          <w:sz w:val="24"/>
        </w:rPr>
      </w:pPr>
      <w:r>
        <w:rPr>
          <w:sz w:val="24"/>
        </w:rPr>
        <w:t>Photomicrograph</w:t>
      </w:r>
      <w:r>
        <w:rPr>
          <w:spacing w:val="-2"/>
          <w:sz w:val="24"/>
        </w:rPr>
        <w:t> </w:t>
      </w:r>
      <w:r>
        <w:rPr>
          <w:sz w:val="24"/>
        </w:rPr>
        <w:t>of</w:t>
      </w:r>
      <w:r>
        <w:rPr>
          <w:spacing w:val="57"/>
          <w:sz w:val="24"/>
        </w:rPr>
        <w:t> </w:t>
      </w:r>
      <w:r>
        <w:rPr>
          <w:sz w:val="24"/>
        </w:rPr>
        <w:t>kidney</w:t>
      </w:r>
      <w:r>
        <w:rPr>
          <w:spacing w:val="-5"/>
          <w:sz w:val="24"/>
        </w:rPr>
        <w:t> </w:t>
      </w:r>
      <w:r>
        <w:rPr>
          <w:sz w:val="24"/>
        </w:rPr>
        <w:t>section</w:t>
      </w:r>
      <w:r>
        <w:rPr>
          <w:spacing w:val="-1"/>
          <w:sz w:val="24"/>
        </w:rPr>
        <w:t> </w:t>
      </w:r>
      <w:r>
        <w:rPr>
          <w:sz w:val="24"/>
        </w:rPr>
        <w:t>of</w:t>
      </w:r>
      <w:r>
        <w:rPr>
          <w:spacing w:val="-1"/>
          <w:sz w:val="24"/>
        </w:rPr>
        <w:t> </w:t>
      </w:r>
      <w:r>
        <w:rPr>
          <w:sz w:val="24"/>
        </w:rPr>
        <w:t>a</w:t>
      </w:r>
      <w:r>
        <w:rPr>
          <w:spacing w:val="-2"/>
          <w:sz w:val="24"/>
        </w:rPr>
        <w:t> </w:t>
      </w:r>
      <w:r>
        <w:rPr>
          <w:sz w:val="24"/>
        </w:rPr>
        <w:t>diabetic rat</w:t>
      </w:r>
      <w:r>
        <w:rPr>
          <w:spacing w:val="2"/>
          <w:sz w:val="24"/>
        </w:rPr>
        <w:t> </w:t>
      </w:r>
      <w:r>
        <w:rPr>
          <w:spacing w:val="-2"/>
          <w:sz w:val="24"/>
        </w:rPr>
        <w:t>treated</w:t>
      </w:r>
    </w:p>
    <w:p>
      <w:pPr>
        <w:pStyle w:val="BodyText"/>
        <w:tabs>
          <w:tab w:pos="8640" w:val="right" w:leader="dot"/>
        </w:tabs>
        <w:spacing w:before="276"/>
        <w:ind w:left="1076"/>
      </w:pPr>
      <w:r>
        <w:rPr/>
        <w:t>with </w:t>
      </w:r>
      <w:r>
        <w:rPr>
          <w:spacing w:val="-2"/>
        </w:rPr>
        <w:t>PEG+H</w:t>
      </w:r>
      <w:r>
        <w:rPr>
          <w:spacing w:val="-2"/>
          <w:vertAlign w:val="subscript"/>
        </w:rPr>
        <w:t>2</w:t>
      </w:r>
      <w:r>
        <w:rPr>
          <w:spacing w:val="-2"/>
          <w:vertAlign w:val="baseline"/>
        </w:rPr>
        <w:t>O</w:t>
      </w:r>
      <w:r>
        <w:rPr>
          <w:vertAlign w:val="baseline"/>
        </w:rPr>
        <w:tab/>
      </w:r>
      <w:r>
        <w:rPr>
          <w:spacing w:val="-5"/>
          <w:vertAlign w:val="baseline"/>
        </w:rPr>
        <w:t>55</w:t>
      </w:r>
    </w:p>
    <w:p>
      <w:pPr>
        <w:pStyle w:val="ListParagraph"/>
        <w:numPr>
          <w:ilvl w:val="0"/>
          <w:numId w:val="8"/>
        </w:numPr>
        <w:tabs>
          <w:tab w:pos="1016" w:val="left" w:leader="none"/>
        </w:tabs>
        <w:spacing w:line="240" w:lineRule="auto" w:before="276" w:after="0"/>
        <w:ind w:left="1016" w:right="0" w:hanging="720"/>
        <w:jc w:val="left"/>
        <w:rPr>
          <w:sz w:val="24"/>
        </w:rPr>
      </w:pPr>
      <w:r>
        <w:rPr>
          <w:sz w:val="24"/>
        </w:rPr>
        <w:t>Photomicrograph</w:t>
      </w:r>
      <w:r>
        <w:rPr>
          <w:spacing w:val="-3"/>
          <w:sz w:val="24"/>
        </w:rPr>
        <w:t> </w:t>
      </w:r>
      <w:r>
        <w:rPr>
          <w:sz w:val="24"/>
        </w:rPr>
        <w:t>of</w:t>
      </w:r>
      <w:r>
        <w:rPr>
          <w:spacing w:val="58"/>
          <w:sz w:val="24"/>
        </w:rPr>
        <w:t> </w:t>
      </w:r>
      <w:r>
        <w:rPr>
          <w:sz w:val="24"/>
        </w:rPr>
        <w:t>kidney</w:t>
      </w:r>
      <w:r>
        <w:rPr>
          <w:spacing w:val="-5"/>
          <w:sz w:val="24"/>
        </w:rPr>
        <w:t> </w:t>
      </w:r>
      <w:r>
        <w:rPr>
          <w:sz w:val="24"/>
        </w:rPr>
        <w:t>section</w:t>
      </w:r>
      <w:r>
        <w:rPr>
          <w:spacing w:val="-1"/>
          <w:sz w:val="24"/>
        </w:rPr>
        <w:t> </w:t>
      </w:r>
      <w:r>
        <w:rPr>
          <w:sz w:val="24"/>
        </w:rPr>
        <w:t>of</w:t>
      </w:r>
      <w:r>
        <w:rPr>
          <w:spacing w:val="-1"/>
          <w:sz w:val="24"/>
        </w:rPr>
        <w:t> </w:t>
      </w:r>
      <w:r>
        <w:rPr>
          <w:sz w:val="24"/>
        </w:rPr>
        <w:t>a</w:t>
      </w:r>
      <w:r>
        <w:rPr>
          <w:spacing w:val="-2"/>
          <w:sz w:val="24"/>
        </w:rPr>
        <w:t> </w:t>
      </w:r>
      <w:r>
        <w:rPr>
          <w:sz w:val="24"/>
        </w:rPr>
        <w:t>diabetic rat</w:t>
      </w:r>
      <w:r>
        <w:rPr>
          <w:spacing w:val="2"/>
          <w:sz w:val="24"/>
        </w:rPr>
        <w:t> </w:t>
      </w:r>
      <w:r>
        <w:rPr>
          <w:spacing w:val="-2"/>
          <w:sz w:val="24"/>
        </w:rPr>
        <w:t>treated</w:t>
      </w:r>
    </w:p>
    <w:p>
      <w:pPr>
        <w:pStyle w:val="BodyText"/>
        <w:tabs>
          <w:tab w:pos="8671" w:val="right" w:leader="dot"/>
        </w:tabs>
        <w:spacing w:before="277"/>
        <w:ind w:left="1076"/>
      </w:pPr>
      <w:r>
        <w:rPr/>
        <w:t>with</w:t>
      </w:r>
      <w:r>
        <w:rPr>
          <w:spacing w:val="-4"/>
        </w:rPr>
        <w:t> </w:t>
      </w:r>
      <w:r>
        <w:rPr/>
        <w:t>glimepiride</w:t>
      </w:r>
      <w:r>
        <w:rPr>
          <w:spacing w:val="-1"/>
        </w:rPr>
        <w:t> </w:t>
      </w:r>
      <w:r>
        <w:rPr/>
        <w:t>at</w:t>
      </w:r>
      <w:r>
        <w:rPr>
          <w:spacing w:val="-1"/>
        </w:rPr>
        <w:t> </w:t>
      </w:r>
      <w:r>
        <w:rPr/>
        <w:t>8</w:t>
      </w:r>
      <w:r>
        <w:rPr>
          <w:spacing w:val="-1"/>
        </w:rPr>
        <w:t> </w:t>
      </w:r>
      <w:r>
        <w:rPr>
          <w:spacing w:val="-5"/>
        </w:rPr>
        <w:t>pm</w:t>
      </w:r>
      <w:r>
        <w:rPr/>
        <w:tab/>
      </w:r>
      <w:r>
        <w:rPr>
          <w:spacing w:val="-5"/>
        </w:rPr>
        <w:t>56</w:t>
      </w:r>
    </w:p>
    <w:p>
      <w:pPr>
        <w:pStyle w:val="ListParagraph"/>
        <w:numPr>
          <w:ilvl w:val="0"/>
          <w:numId w:val="8"/>
        </w:numPr>
        <w:tabs>
          <w:tab w:pos="1016" w:val="left" w:leader="none"/>
        </w:tabs>
        <w:spacing w:line="240" w:lineRule="auto" w:before="276" w:after="0"/>
        <w:ind w:left="1016" w:right="0" w:hanging="720"/>
        <w:jc w:val="left"/>
        <w:rPr>
          <w:sz w:val="24"/>
        </w:rPr>
      </w:pPr>
      <w:r>
        <w:rPr>
          <w:sz w:val="24"/>
        </w:rPr>
        <w:t>Photomicrograph</w:t>
      </w:r>
      <w:r>
        <w:rPr>
          <w:spacing w:val="-3"/>
          <w:sz w:val="24"/>
        </w:rPr>
        <w:t> </w:t>
      </w:r>
      <w:r>
        <w:rPr>
          <w:sz w:val="24"/>
        </w:rPr>
        <w:t>of</w:t>
      </w:r>
      <w:r>
        <w:rPr>
          <w:spacing w:val="-1"/>
          <w:sz w:val="24"/>
        </w:rPr>
        <w:t> </w:t>
      </w:r>
      <w:r>
        <w:rPr>
          <w:sz w:val="24"/>
        </w:rPr>
        <w:t>kidney</w:t>
      </w:r>
      <w:r>
        <w:rPr>
          <w:spacing w:val="-5"/>
          <w:sz w:val="24"/>
        </w:rPr>
        <w:t> </w:t>
      </w:r>
      <w:r>
        <w:rPr>
          <w:sz w:val="24"/>
        </w:rPr>
        <w:t>section</w:t>
      </w:r>
      <w:r>
        <w:rPr>
          <w:spacing w:val="-1"/>
          <w:sz w:val="24"/>
        </w:rPr>
        <w:t> </w:t>
      </w:r>
      <w:r>
        <w:rPr>
          <w:sz w:val="24"/>
        </w:rPr>
        <w:t>of</w:t>
      </w:r>
      <w:r>
        <w:rPr>
          <w:spacing w:val="-2"/>
          <w:sz w:val="24"/>
        </w:rPr>
        <w:t> </w:t>
      </w:r>
      <w:r>
        <w:rPr>
          <w:sz w:val="24"/>
        </w:rPr>
        <w:t>a</w:t>
      </w:r>
      <w:r>
        <w:rPr>
          <w:spacing w:val="-1"/>
          <w:sz w:val="24"/>
        </w:rPr>
        <w:t> </w:t>
      </w:r>
      <w:r>
        <w:rPr>
          <w:sz w:val="24"/>
        </w:rPr>
        <w:t>diabetic</w:t>
      </w:r>
      <w:r>
        <w:rPr>
          <w:spacing w:val="-2"/>
          <w:sz w:val="24"/>
        </w:rPr>
        <w:t> </w:t>
      </w:r>
      <w:r>
        <w:rPr>
          <w:sz w:val="24"/>
        </w:rPr>
        <w:t>rat </w:t>
      </w:r>
      <w:r>
        <w:rPr>
          <w:spacing w:val="-2"/>
          <w:sz w:val="24"/>
        </w:rPr>
        <w:t>treated</w:t>
      </w:r>
    </w:p>
    <w:p>
      <w:pPr>
        <w:pStyle w:val="BodyText"/>
        <w:tabs>
          <w:tab w:pos="8717" w:val="right" w:leader="dot"/>
        </w:tabs>
        <w:spacing w:before="276"/>
        <w:ind w:left="1076"/>
      </w:pPr>
      <w:r>
        <w:rPr/>
        <w:t>with</w:t>
      </w:r>
      <w:r>
        <w:rPr>
          <w:spacing w:val="-1"/>
        </w:rPr>
        <w:t> </w:t>
      </w:r>
      <w:r>
        <w:rPr/>
        <w:t>glimepiride</w:t>
      </w:r>
      <w:r>
        <w:rPr>
          <w:spacing w:val="-1"/>
        </w:rPr>
        <w:t> </w:t>
      </w:r>
      <w:r>
        <w:rPr/>
        <w:t>at</w:t>
      </w:r>
      <w:r>
        <w:rPr>
          <w:spacing w:val="-1"/>
        </w:rPr>
        <w:t> </w:t>
      </w:r>
      <w:r>
        <w:rPr/>
        <w:t>8</w:t>
      </w:r>
      <w:r>
        <w:rPr>
          <w:spacing w:val="-1"/>
        </w:rPr>
        <w:t> </w:t>
      </w:r>
      <w:r>
        <w:rPr/>
        <w:t>pm</w:t>
      </w:r>
      <w:r>
        <w:rPr>
          <w:spacing w:val="1"/>
        </w:rPr>
        <w:t> </w:t>
      </w:r>
      <w:r>
        <w:rPr/>
        <w:t>and</w:t>
      </w:r>
      <w:r>
        <w:rPr>
          <w:spacing w:val="-1"/>
        </w:rPr>
        <w:t> </w:t>
      </w:r>
      <w:r>
        <w:rPr/>
        <w:t>nifedipine</w:t>
      </w:r>
      <w:r>
        <w:rPr>
          <w:spacing w:val="-1"/>
        </w:rPr>
        <w:t> </w:t>
      </w:r>
      <w:r>
        <w:rPr/>
        <w:t>at</w:t>
      </w:r>
      <w:r>
        <w:rPr>
          <w:spacing w:val="-1"/>
        </w:rPr>
        <w:t> </w:t>
      </w:r>
      <w:r>
        <w:rPr/>
        <w:t>8</w:t>
      </w:r>
      <w:r>
        <w:rPr>
          <w:spacing w:val="-1"/>
        </w:rPr>
        <w:t> </w:t>
      </w:r>
      <w:r>
        <w:rPr>
          <w:spacing w:val="-5"/>
        </w:rPr>
        <w:t>am</w:t>
      </w:r>
      <w:r>
        <w:rPr/>
        <w:tab/>
      </w:r>
      <w:r>
        <w:rPr>
          <w:spacing w:val="-5"/>
        </w:rPr>
        <w:t>57</w:t>
      </w:r>
    </w:p>
    <w:p>
      <w:pPr>
        <w:pStyle w:val="ListParagraph"/>
        <w:numPr>
          <w:ilvl w:val="0"/>
          <w:numId w:val="8"/>
        </w:numPr>
        <w:tabs>
          <w:tab w:pos="1016" w:val="left" w:leader="none"/>
        </w:tabs>
        <w:spacing w:line="240" w:lineRule="auto" w:before="276" w:after="0"/>
        <w:ind w:left="1016" w:right="0" w:hanging="720"/>
        <w:jc w:val="left"/>
        <w:rPr>
          <w:sz w:val="24"/>
        </w:rPr>
      </w:pPr>
      <w:r>
        <w:rPr>
          <w:sz w:val="24"/>
        </w:rPr>
        <w:t>Photomicrograph</w:t>
      </w:r>
      <w:r>
        <w:rPr>
          <w:spacing w:val="-3"/>
          <w:sz w:val="24"/>
        </w:rPr>
        <w:t> </w:t>
      </w:r>
      <w:r>
        <w:rPr>
          <w:sz w:val="24"/>
        </w:rPr>
        <w:t>of</w:t>
      </w:r>
      <w:r>
        <w:rPr>
          <w:spacing w:val="58"/>
          <w:sz w:val="24"/>
        </w:rPr>
        <w:t> </w:t>
      </w:r>
      <w:r>
        <w:rPr>
          <w:sz w:val="24"/>
        </w:rPr>
        <w:t>kidney</w:t>
      </w:r>
      <w:r>
        <w:rPr>
          <w:spacing w:val="-5"/>
          <w:sz w:val="24"/>
        </w:rPr>
        <w:t> </w:t>
      </w:r>
      <w:r>
        <w:rPr>
          <w:sz w:val="24"/>
        </w:rPr>
        <w:t>section</w:t>
      </w:r>
      <w:r>
        <w:rPr>
          <w:spacing w:val="-1"/>
          <w:sz w:val="24"/>
        </w:rPr>
        <w:t> </w:t>
      </w:r>
      <w:r>
        <w:rPr>
          <w:sz w:val="24"/>
        </w:rPr>
        <w:t>of</w:t>
      </w:r>
      <w:r>
        <w:rPr>
          <w:spacing w:val="-1"/>
          <w:sz w:val="24"/>
        </w:rPr>
        <w:t> </w:t>
      </w:r>
      <w:r>
        <w:rPr>
          <w:sz w:val="24"/>
        </w:rPr>
        <w:t>a</w:t>
      </w:r>
      <w:r>
        <w:rPr>
          <w:spacing w:val="-2"/>
          <w:sz w:val="24"/>
        </w:rPr>
        <w:t> </w:t>
      </w:r>
      <w:r>
        <w:rPr>
          <w:sz w:val="24"/>
        </w:rPr>
        <w:t>diabetic rat</w:t>
      </w:r>
      <w:r>
        <w:rPr>
          <w:spacing w:val="2"/>
          <w:sz w:val="24"/>
        </w:rPr>
        <w:t> </w:t>
      </w:r>
      <w:r>
        <w:rPr>
          <w:spacing w:val="-2"/>
          <w:sz w:val="24"/>
        </w:rPr>
        <w:t>treated</w:t>
      </w:r>
    </w:p>
    <w:p>
      <w:pPr>
        <w:pStyle w:val="BodyText"/>
        <w:tabs>
          <w:tab w:pos="8731" w:val="right" w:leader="dot"/>
        </w:tabs>
        <w:spacing w:before="276"/>
        <w:ind w:left="1016"/>
      </w:pPr>
      <w:r>
        <w:rPr/>
        <w:t>with</w:t>
      </w:r>
      <w:r>
        <w:rPr>
          <w:spacing w:val="-1"/>
        </w:rPr>
        <w:t> </w:t>
      </w:r>
      <w:r>
        <w:rPr/>
        <w:t>glimepiride</w:t>
      </w:r>
      <w:r>
        <w:rPr>
          <w:spacing w:val="-1"/>
        </w:rPr>
        <w:t> </w:t>
      </w:r>
      <w:r>
        <w:rPr/>
        <w:t>at</w:t>
      </w:r>
      <w:r>
        <w:rPr>
          <w:spacing w:val="-1"/>
        </w:rPr>
        <w:t> </w:t>
      </w:r>
      <w:r>
        <w:rPr/>
        <w:t>8 pm and</w:t>
      </w:r>
      <w:r>
        <w:rPr>
          <w:spacing w:val="-1"/>
        </w:rPr>
        <w:t> </w:t>
      </w:r>
      <w:r>
        <w:rPr/>
        <w:t>nifedipine</w:t>
      </w:r>
      <w:r>
        <w:rPr>
          <w:spacing w:val="-1"/>
        </w:rPr>
        <w:t> </w:t>
      </w:r>
      <w:r>
        <w:rPr/>
        <w:t>at</w:t>
      </w:r>
      <w:r>
        <w:rPr>
          <w:spacing w:val="-1"/>
        </w:rPr>
        <w:t> </w:t>
      </w:r>
      <w:r>
        <w:rPr/>
        <w:t>8</w:t>
      </w:r>
      <w:r>
        <w:rPr>
          <w:spacing w:val="-1"/>
        </w:rPr>
        <w:t> </w:t>
      </w:r>
      <w:r>
        <w:rPr>
          <w:spacing w:val="-5"/>
        </w:rPr>
        <w:t>pm</w:t>
      </w:r>
      <w:r>
        <w:rPr/>
        <w:tab/>
      </w:r>
      <w:r>
        <w:rPr>
          <w:spacing w:val="-5"/>
        </w:rPr>
        <w:t>58</w:t>
      </w:r>
    </w:p>
    <w:p>
      <w:pPr>
        <w:pStyle w:val="ListParagraph"/>
        <w:numPr>
          <w:ilvl w:val="0"/>
          <w:numId w:val="8"/>
        </w:numPr>
        <w:tabs>
          <w:tab w:pos="1076" w:val="left" w:leader="none"/>
        </w:tabs>
        <w:spacing w:line="240" w:lineRule="auto" w:before="276" w:after="0"/>
        <w:ind w:left="1076" w:right="0" w:hanging="735"/>
        <w:jc w:val="left"/>
        <w:rPr>
          <w:sz w:val="24"/>
        </w:rPr>
      </w:pPr>
      <w:r>
        <w:rPr>
          <w:sz w:val="24"/>
        </w:rPr>
        <w:t>Photomicrograph</w:t>
      </w:r>
      <w:r>
        <w:rPr>
          <w:spacing w:val="-3"/>
          <w:sz w:val="24"/>
        </w:rPr>
        <w:t> </w:t>
      </w:r>
      <w:r>
        <w:rPr>
          <w:sz w:val="24"/>
        </w:rPr>
        <w:t>of</w:t>
      </w:r>
      <w:r>
        <w:rPr>
          <w:spacing w:val="-1"/>
          <w:sz w:val="24"/>
        </w:rPr>
        <w:t> </w:t>
      </w:r>
      <w:r>
        <w:rPr>
          <w:sz w:val="24"/>
        </w:rPr>
        <w:t>retina</w:t>
      </w:r>
      <w:r>
        <w:rPr>
          <w:spacing w:val="-1"/>
          <w:sz w:val="24"/>
        </w:rPr>
        <w:t> </w:t>
      </w:r>
      <w:r>
        <w:rPr>
          <w:sz w:val="24"/>
        </w:rPr>
        <w:t>section</w:t>
      </w:r>
      <w:r>
        <w:rPr>
          <w:spacing w:val="-1"/>
          <w:sz w:val="24"/>
        </w:rPr>
        <w:t> </w:t>
      </w:r>
      <w:r>
        <w:rPr>
          <w:sz w:val="24"/>
        </w:rPr>
        <w:t>of</w:t>
      </w:r>
      <w:r>
        <w:rPr>
          <w:spacing w:val="-2"/>
          <w:sz w:val="24"/>
        </w:rPr>
        <w:t> </w:t>
      </w:r>
      <w:r>
        <w:rPr>
          <w:sz w:val="24"/>
        </w:rPr>
        <w:t>a</w:t>
      </w:r>
      <w:r>
        <w:rPr>
          <w:spacing w:val="-1"/>
          <w:sz w:val="24"/>
        </w:rPr>
        <w:t> </w:t>
      </w:r>
      <w:r>
        <w:rPr>
          <w:sz w:val="24"/>
        </w:rPr>
        <w:t>non-diabetic</w:t>
      </w:r>
      <w:r>
        <w:rPr>
          <w:spacing w:val="-2"/>
          <w:sz w:val="24"/>
        </w:rPr>
        <w:t> </w:t>
      </w:r>
      <w:r>
        <w:rPr>
          <w:sz w:val="24"/>
        </w:rPr>
        <w:t>rat</w:t>
      </w:r>
      <w:r>
        <w:rPr>
          <w:spacing w:val="1"/>
          <w:sz w:val="24"/>
        </w:rPr>
        <w:t> </w:t>
      </w:r>
      <w:r>
        <w:rPr>
          <w:spacing w:val="-2"/>
          <w:sz w:val="24"/>
        </w:rPr>
        <w:t>treated</w:t>
      </w:r>
    </w:p>
    <w:p>
      <w:pPr>
        <w:pStyle w:val="BodyText"/>
        <w:tabs>
          <w:tab w:pos="8759" w:val="right" w:leader="dot"/>
        </w:tabs>
        <w:spacing w:before="276"/>
        <w:ind w:left="1076"/>
      </w:pPr>
      <w:r>
        <w:rPr/>
        <w:t>with </w:t>
      </w:r>
      <w:r>
        <w:rPr>
          <w:spacing w:val="-2"/>
        </w:rPr>
        <w:t>PEG+H</w:t>
      </w:r>
      <w:r>
        <w:rPr>
          <w:spacing w:val="-2"/>
          <w:vertAlign w:val="subscript"/>
        </w:rPr>
        <w:t>2</w:t>
      </w:r>
      <w:r>
        <w:rPr>
          <w:spacing w:val="-2"/>
          <w:vertAlign w:val="baseline"/>
        </w:rPr>
        <w:t>O</w:t>
      </w:r>
      <w:r>
        <w:rPr>
          <w:vertAlign w:val="baseline"/>
        </w:rPr>
        <w:tab/>
      </w:r>
      <w:r>
        <w:rPr>
          <w:spacing w:val="-5"/>
          <w:vertAlign w:val="baseline"/>
        </w:rPr>
        <w:t>62</w:t>
      </w:r>
    </w:p>
    <w:p>
      <w:pPr>
        <w:pStyle w:val="ListParagraph"/>
        <w:numPr>
          <w:ilvl w:val="0"/>
          <w:numId w:val="8"/>
        </w:numPr>
        <w:tabs>
          <w:tab w:pos="1076" w:val="left" w:leader="none"/>
        </w:tabs>
        <w:spacing w:line="240" w:lineRule="auto" w:before="276" w:after="0"/>
        <w:ind w:left="1076" w:right="0" w:hanging="780"/>
        <w:jc w:val="left"/>
        <w:rPr>
          <w:sz w:val="24"/>
        </w:rPr>
      </w:pPr>
      <w:r>
        <w:rPr>
          <w:sz w:val="24"/>
        </w:rPr>
        <w:t>Photomicrograph</w:t>
      </w:r>
      <w:r>
        <w:rPr>
          <w:spacing w:val="-3"/>
          <w:sz w:val="24"/>
        </w:rPr>
        <w:t> </w:t>
      </w:r>
      <w:r>
        <w:rPr>
          <w:sz w:val="24"/>
        </w:rPr>
        <w:t>of</w:t>
      </w:r>
      <w:r>
        <w:rPr>
          <w:spacing w:val="-1"/>
          <w:sz w:val="24"/>
        </w:rPr>
        <w:t> </w:t>
      </w:r>
      <w:r>
        <w:rPr>
          <w:sz w:val="24"/>
        </w:rPr>
        <w:t>retina</w:t>
      </w:r>
      <w:r>
        <w:rPr>
          <w:spacing w:val="-2"/>
          <w:sz w:val="24"/>
        </w:rPr>
        <w:t> </w:t>
      </w:r>
      <w:r>
        <w:rPr>
          <w:sz w:val="24"/>
        </w:rPr>
        <w:t>section</w:t>
      </w:r>
      <w:r>
        <w:rPr>
          <w:spacing w:val="-1"/>
          <w:sz w:val="24"/>
        </w:rPr>
        <w:t> </w:t>
      </w:r>
      <w:r>
        <w:rPr>
          <w:sz w:val="24"/>
        </w:rPr>
        <w:t>of</w:t>
      </w:r>
      <w:r>
        <w:rPr>
          <w:spacing w:val="-2"/>
          <w:sz w:val="24"/>
        </w:rPr>
        <w:t> </w:t>
      </w:r>
      <w:r>
        <w:rPr>
          <w:sz w:val="24"/>
        </w:rPr>
        <w:t>a</w:t>
      </w:r>
      <w:r>
        <w:rPr>
          <w:spacing w:val="-2"/>
          <w:sz w:val="24"/>
        </w:rPr>
        <w:t> </w:t>
      </w:r>
      <w:r>
        <w:rPr>
          <w:sz w:val="24"/>
        </w:rPr>
        <w:t>diabetic</w:t>
      </w:r>
      <w:r>
        <w:rPr>
          <w:spacing w:val="-2"/>
          <w:sz w:val="24"/>
        </w:rPr>
        <w:t> </w:t>
      </w:r>
      <w:r>
        <w:rPr>
          <w:sz w:val="24"/>
        </w:rPr>
        <w:t>rat</w:t>
      </w:r>
      <w:r>
        <w:rPr>
          <w:spacing w:val="4"/>
          <w:sz w:val="24"/>
        </w:rPr>
        <w:t> </w:t>
      </w:r>
      <w:r>
        <w:rPr>
          <w:spacing w:val="-2"/>
          <w:sz w:val="24"/>
        </w:rPr>
        <w:t>treated</w:t>
      </w:r>
    </w:p>
    <w:p>
      <w:pPr>
        <w:pStyle w:val="BodyText"/>
        <w:tabs>
          <w:tab w:pos="8760" w:val="right" w:leader="dot"/>
        </w:tabs>
        <w:spacing w:before="276"/>
        <w:ind w:left="1076"/>
      </w:pPr>
      <w:r>
        <w:rPr/>
        <w:t>with </w:t>
      </w:r>
      <w:r>
        <w:rPr>
          <w:spacing w:val="-2"/>
        </w:rPr>
        <w:t>PEG+H</w:t>
      </w:r>
      <w:r>
        <w:rPr>
          <w:spacing w:val="-2"/>
          <w:vertAlign w:val="subscript"/>
        </w:rPr>
        <w:t>2</w:t>
      </w:r>
      <w:r>
        <w:rPr>
          <w:spacing w:val="-2"/>
          <w:vertAlign w:val="baseline"/>
        </w:rPr>
        <w:t>O</w:t>
      </w:r>
      <w:r>
        <w:rPr>
          <w:vertAlign w:val="baseline"/>
        </w:rPr>
        <w:tab/>
      </w:r>
      <w:r>
        <w:rPr>
          <w:spacing w:val="-5"/>
          <w:vertAlign w:val="baseline"/>
        </w:rPr>
        <w:t>62</w:t>
      </w:r>
    </w:p>
    <w:p>
      <w:pPr>
        <w:pStyle w:val="ListParagraph"/>
        <w:numPr>
          <w:ilvl w:val="0"/>
          <w:numId w:val="8"/>
        </w:numPr>
        <w:tabs>
          <w:tab w:pos="1016" w:val="left" w:leader="none"/>
        </w:tabs>
        <w:spacing w:line="240" w:lineRule="auto" w:before="276" w:after="0"/>
        <w:ind w:left="1016" w:right="0" w:hanging="720"/>
        <w:jc w:val="left"/>
        <w:rPr>
          <w:sz w:val="24"/>
        </w:rPr>
      </w:pPr>
      <w:r>
        <w:rPr>
          <w:sz w:val="24"/>
        </w:rPr>
        <w:t>Photomicrograph</w:t>
      </w:r>
      <w:r>
        <w:rPr>
          <w:spacing w:val="-3"/>
          <w:sz w:val="24"/>
        </w:rPr>
        <w:t> </w:t>
      </w:r>
      <w:r>
        <w:rPr>
          <w:sz w:val="24"/>
        </w:rPr>
        <w:t>of</w:t>
      </w:r>
      <w:r>
        <w:rPr>
          <w:spacing w:val="-1"/>
          <w:sz w:val="24"/>
        </w:rPr>
        <w:t> </w:t>
      </w:r>
      <w:r>
        <w:rPr>
          <w:sz w:val="24"/>
        </w:rPr>
        <w:t>retina</w:t>
      </w:r>
      <w:r>
        <w:rPr>
          <w:spacing w:val="-2"/>
          <w:sz w:val="24"/>
        </w:rPr>
        <w:t> </w:t>
      </w:r>
      <w:r>
        <w:rPr>
          <w:sz w:val="24"/>
        </w:rPr>
        <w:t>section</w:t>
      </w:r>
      <w:r>
        <w:rPr>
          <w:spacing w:val="-1"/>
          <w:sz w:val="24"/>
        </w:rPr>
        <w:t> </w:t>
      </w:r>
      <w:r>
        <w:rPr>
          <w:sz w:val="24"/>
        </w:rPr>
        <w:t>of</w:t>
      </w:r>
      <w:r>
        <w:rPr>
          <w:spacing w:val="-2"/>
          <w:sz w:val="24"/>
        </w:rPr>
        <w:t> </w:t>
      </w:r>
      <w:r>
        <w:rPr>
          <w:sz w:val="24"/>
        </w:rPr>
        <w:t>a</w:t>
      </w:r>
      <w:r>
        <w:rPr>
          <w:spacing w:val="-2"/>
          <w:sz w:val="24"/>
        </w:rPr>
        <w:t> </w:t>
      </w:r>
      <w:r>
        <w:rPr>
          <w:sz w:val="24"/>
        </w:rPr>
        <w:t>diabetic</w:t>
      </w:r>
      <w:r>
        <w:rPr>
          <w:spacing w:val="-2"/>
          <w:sz w:val="24"/>
        </w:rPr>
        <w:t> </w:t>
      </w:r>
      <w:r>
        <w:rPr>
          <w:sz w:val="24"/>
        </w:rPr>
        <w:t>rat</w:t>
      </w:r>
      <w:r>
        <w:rPr>
          <w:spacing w:val="3"/>
          <w:sz w:val="24"/>
        </w:rPr>
        <w:t> </w:t>
      </w:r>
      <w:r>
        <w:rPr>
          <w:spacing w:val="-2"/>
          <w:sz w:val="24"/>
        </w:rPr>
        <w:t>treated</w:t>
      </w:r>
    </w:p>
    <w:p>
      <w:pPr>
        <w:pStyle w:val="BodyText"/>
        <w:tabs>
          <w:tab w:pos="8790" w:val="right" w:leader="dot"/>
        </w:tabs>
        <w:spacing w:before="276"/>
        <w:ind w:left="1016"/>
      </w:pPr>
      <w:r>
        <w:rPr/>
        <w:t>with</w:t>
      </w:r>
      <w:r>
        <w:rPr>
          <w:spacing w:val="-4"/>
        </w:rPr>
        <w:t> </w:t>
      </w:r>
      <w:r>
        <w:rPr/>
        <w:t>glimepiride</w:t>
      </w:r>
      <w:r>
        <w:rPr>
          <w:spacing w:val="-1"/>
        </w:rPr>
        <w:t> </w:t>
      </w:r>
      <w:r>
        <w:rPr/>
        <w:t>at</w:t>
      </w:r>
      <w:r>
        <w:rPr>
          <w:spacing w:val="-1"/>
        </w:rPr>
        <w:t> </w:t>
      </w:r>
      <w:r>
        <w:rPr/>
        <w:t>8</w:t>
      </w:r>
      <w:r>
        <w:rPr>
          <w:spacing w:val="-1"/>
        </w:rPr>
        <w:t> </w:t>
      </w:r>
      <w:r>
        <w:rPr>
          <w:spacing w:val="-5"/>
        </w:rPr>
        <w:t>pm</w:t>
      </w:r>
      <w:r>
        <w:rPr/>
        <w:tab/>
      </w:r>
      <w:r>
        <w:rPr>
          <w:spacing w:val="-5"/>
        </w:rPr>
        <w:t>63</w:t>
      </w:r>
    </w:p>
    <w:p>
      <w:pPr>
        <w:pStyle w:val="ListParagraph"/>
        <w:numPr>
          <w:ilvl w:val="0"/>
          <w:numId w:val="8"/>
        </w:numPr>
        <w:tabs>
          <w:tab w:pos="1016" w:val="left" w:leader="none"/>
        </w:tabs>
        <w:spacing w:line="240" w:lineRule="auto" w:before="276" w:after="0"/>
        <w:ind w:left="1016" w:right="0" w:hanging="720"/>
        <w:jc w:val="left"/>
        <w:rPr>
          <w:sz w:val="24"/>
        </w:rPr>
      </w:pPr>
      <w:r>
        <w:rPr>
          <w:sz w:val="24"/>
        </w:rPr>
        <w:t>Photomicrograph</w:t>
      </w:r>
      <w:r>
        <w:rPr>
          <w:spacing w:val="-3"/>
          <w:sz w:val="24"/>
        </w:rPr>
        <w:t> </w:t>
      </w:r>
      <w:r>
        <w:rPr>
          <w:sz w:val="24"/>
        </w:rPr>
        <w:t>of</w:t>
      </w:r>
      <w:r>
        <w:rPr>
          <w:spacing w:val="-1"/>
          <w:sz w:val="24"/>
        </w:rPr>
        <w:t> </w:t>
      </w:r>
      <w:r>
        <w:rPr>
          <w:sz w:val="24"/>
        </w:rPr>
        <w:t>retina</w:t>
      </w:r>
      <w:r>
        <w:rPr>
          <w:spacing w:val="-2"/>
          <w:sz w:val="24"/>
        </w:rPr>
        <w:t> </w:t>
      </w:r>
      <w:r>
        <w:rPr>
          <w:sz w:val="24"/>
        </w:rPr>
        <w:t>section</w:t>
      </w:r>
      <w:r>
        <w:rPr>
          <w:spacing w:val="-1"/>
          <w:sz w:val="24"/>
        </w:rPr>
        <w:t> </w:t>
      </w:r>
      <w:r>
        <w:rPr>
          <w:sz w:val="24"/>
        </w:rPr>
        <w:t>of</w:t>
      </w:r>
      <w:r>
        <w:rPr>
          <w:spacing w:val="-2"/>
          <w:sz w:val="24"/>
        </w:rPr>
        <w:t> </w:t>
      </w:r>
      <w:r>
        <w:rPr>
          <w:sz w:val="24"/>
        </w:rPr>
        <w:t>a</w:t>
      </w:r>
      <w:r>
        <w:rPr>
          <w:spacing w:val="-2"/>
          <w:sz w:val="24"/>
        </w:rPr>
        <w:t> </w:t>
      </w:r>
      <w:r>
        <w:rPr>
          <w:sz w:val="24"/>
        </w:rPr>
        <w:t>diabetic</w:t>
      </w:r>
      <w:r>
        <w:rPr>
          <w:spacing w:val="-2"/>
          <w:sz w:val="24"/>
        </w:rPr>
        <w:t> </w:t>
      </w:r>
      <w:r>
        <w:rPr>
          <w:sz w:val="24"/>
        </w:rPr>
        <w:t>rat</w:t>
      </w:r>
      <w:r>
        <w:rPr>
          <w:spacing w:val="3"/>
          <w:sz w:val="24"/>
        </w:rPr>
        <w:t> </w:t>
      </w:r>
      <w:r>
        <w:rPr>
          <w:spacing w:val="-2"/>
          <w:sz w:val="24"/>
        </w:rPr>
        <w:t>treated</w:t>
      </w:r>
    </w:p>
    <w:p>
      <w:pPr>
        <w:pStyle w:val="BodyText"/>
        <w:tabs>
          <w:tab w:pos="8791" w:val="right" w:leader="dot"/>
        </w:tabs>
        <w:spacing w:before="277"/>
        <w:ind w:left="1076"/>
      </w:pPr>
      <w:r>
        <w:rPr/>
        <w:t>with</w:t>
      </w:r>
      <w:r>
        <w:rPr>
          <w:spacing w:val="-1"/>
        </w:rPr>
        <w:t> </w:t>
      </w:r>
      <w:r>
        <w:rPr/>
        <w:t>glimepiride</w:t>
      </w:r>
      <w:r>
        <w:rPr>
          <w:spacing w:val="-1"/>
        </w:rPr>
        <w:t> </w:t>
      </w:r>
      <w:r>
        <w:rPr/>
        <w:t>at</w:t>
      </w:r>
      <w:r>
        <w:rPr>
          <w:spacing w:val="-1"/>
        </w:rPr>
        <w:t> </w:t>
      </w:r>
      <w:r>
        <w:rPr/>
        <w:t>8</w:t>
      </w:r>
      <w:r>
        <w:rPr>
          <w:spacing w:val="-1"/>
        </w:rPr>
        <w:t> </w:t>
      </w:r>
      <w:r>
        <w:rPr/>
        <w:t>pm</w:t>
      </w:r>
      <w:r>
        <w:rPr>
          <w:spacing w:val="1"/>
        </w:rPr>
        <w:t> </w:t>
      </w:r>
      <w:r>
        <w:rPr/>
        <w:t>and</w:t>
      </w:r>
      <w:r>
        <w:rPr>
          <w:spacing w:val="-1"/>
        </w:rPr>
        <w:t> </w:t>
      </w:r>
      <w:r>
        <w:rPr/>
        <w:t>nifedipine</w:t>
      </w:r>
      <w:r>
        <w:rPr>
          <w:spacing w:val="-1"/>
        </w:rPr>
        <w:t> </w:t>
      </w:r>
      <w:r>
        <w:rPr/>
        <w:t>at</w:t>
      </w:r>
      <w:r>
        <w:rPr>
          <w:spacing w:val="-1"/>
        </w:rPr>
        <w:t> </w:t>
      </w:r>
      <w:r>
        <w:rPr/>
        <w:t>8</w:t>
      </w:r>
      <w:r>
        <w:rPr>
          <w:spacing w:val="-1"/>
        </w:rPr>
        <w:t> </w:t>
      </w:r>
      <w:r>
        <w:rPr>
          <w:spacing w:val="-5"/>
        </w:rPr>
        <w:t>pm</w:t>
      </w:r>
      <w:r>
        <w:rPr/>
        <w:tab/>
      </w:r>
      <w:r>
        <w:rPr>
          <w:spacing w:val="-5"/>
        </w:rPr>
        <w:t>63</w:t>
      </w:r>
    </w:p>
    <w:p>
      <w:pPr>
        <w:pStyle w:val="ListParagraph"/>
        <w:numPr>
          <w:ilvl w:val="0"/>
          <w:numId w:val="8"/>
        </w:numPr>
        <w:tabs>
          <w:tab w:pos="1016" w:val="left" w:leader="none"/>
        </w:tabs>
        <w:spacing w:line="240" w:lineRule="auto" w:before="276" w:after="0"/>
        <w:ind w:left="1016" w:right="0" w:hanging="675"/>
        <w:jc w:val="left"/>
        <w:rPr>
          <w:sz w:val="24"/>
        </w:rPr>
      </w:pPr>
      <w:r>
        <w:rPr>
          <w:sz w:val="24"/>
        </w:rPr>
        <w:t>Photomicrograph</w:t>
      </w:r>
      <w:r>
        <w:rPr>
          <w:spacing w:val="-3"/>
          <w:sz w:val="24"/>
        </w:rPr>
        <w:t> </w:t>
      </w:r>
      <w:r>
        <w:rPr>
          <w:sz w:val="24"/>
        </w:rPr>
        <w:t>of</w:t>
      </w:r>
      <w:r>
        <w:rPr>
          <w:spacing w:val="-1"/>
          <w:sz w:val="24"/>
        </w:rPr>
        <w:t> </w:t>
      </w:r>
      <w:r>
        <w:rPr>
          <w:sz w:val="24"/>
        </w:rPr>
        <w:t>retina</w:t>
      </w:r>
      <w:r>
        <w:rPr>
          <w:spacing w:val="-2"/>
          <w:sz w:val="24"/>
        </w:rPr>
        <w:t> </w:t>
      </w:r>
      <w:r>
        <w:rPr>
          <w:sz w:val="24"/>
        </w:rPr>
        <w:t>section</w:t>
      </w:r>
      <w:r>
        <w:rPr>
          <w:spacing w:val="-1"/>
          <w:sz w:val="24"/>
        </w:rPr>
        <w:t> </w:t>
      </w:r>
      <w:r>
        <w:rPr>
          <w:sz w:val="24"/>
        </w:rPr>
        <w:t>of</w:t>
      </w:r>
      <w:r>
        <w:rPr>
          <w:spacing w:val="-2"/>
          <w:sz w:val="24"/>
        </w:rPr>
        <w:t> </w:t>
      </w:r>
      <w:r>
        <w:rPr>
          <w:sz w:val="24"/>
        </w:rPr>
        <w:t>a</w:t>
      </w:r>
      <w:r>
        <w:rPr>
          <w:spacing w:val="-2"/>
          <w:sz w:val="24"/>
        </w:rPr>
        <w:t> </w:t>
      </w:r>
      <w:r>
        <w:rPr>
          <w:sz w:val="24"/>
        </w:rPr>
        <w:t>diabetic</w:t>
      </w:r>
      <w:r>
        <w:rPr>
          <w:spacing w:val="-2"/>
          <w:sz w:val="24"/>
        </w:rPr>
        <w:t> </w:t>
      </w:r>
      <w:r>
        <w:rPr>
          <w:sz w:val="24"/>
        </w:rPr>
        <w:t>rat</w:t>
      </w:r>
      <w:r>
        <w:rPr>
          <w:spacing w:val="3"/>
          <w:sz w:val="24"/>
        </w:rPr>
        <w:t> </w:t>
      </w:r>
      <w:r>
        <w:rPr>
          <w:spacing w:val="-2"/>
          <w:sz w:val="24"/>
        </w:rPr>
        <w:t>treated</w:t>
      </w:r>
    </w:p>
    <w:p>
      <w:pPr>
        <w:pStyle w:val="BodyText"/>
        <w:tabs>
          <w:tab w:pos="8777" w:val="right" w:leader="dot"/>
        </w:tabs>
        <w:spacing w:before="276"/>
        <w:ind w:left="1016"/>
      </w:pPr>
      <w:r>
        <w:rPr/>
        <w:t>with</w:t>
      </w:r>
      <w:r>
        <w:rPr>
          <w:spacing w:val="-1"/>
        </w:rPr>
        <w:t> </w:t>
      </w:r>
      <w:r>
        <w:rPr/>
        <w:t>glimepiride</w:t>
      </w:r>
      <w:r>
        <w:rPr>
          <w:spacing w:val="-1"/>
        </w:rPr>
        <w:t> </w:t>
      </w:r>
      <w:r>
        <w:rPr/>
        <w:t>at</w:t>
      </w:r>
      <w:r>
        <w:rPr>
          <w:spacing w:val="-1"/>
        </w:rPr>
        <w:t> </w:t>
      </w:r>
      <w:r>
        <w:rPr/>
        <w:t>8</w:t>
      </w:r>
      <w:r>
        <w:rPr>
          <w:spacing w:val="-1"/>
        </w:rPr>
        <w:t> </w:t>
      </w:r>
      <w:r>
        <w:rPr/>
        <w:t>pm and</w:t>
      </w:r>
      <w:r>
        <w:rPr>
          <w:spacing w:val="-1"/>
        </w:rPr>
        <w:t> </w:t>
      </w:r>
      <w:r>
        <w:rPr/>
        <w:t>nifedipine</w:t>
      </w:r>
      <w:r>
        <w:rPr>
          <w:spacing w:val="-1"/>
        </w:rPr>
        <w:t> </w:t>
      </w:r>
      <w:r>
        <w:rPr/>
        <w:t>at</w:t>
      </w:r>
      <w:r>
        <w:rPr>
          <w:spacing w:val="-1"/>
        </w:rPr>
        <w:t> </w:t>
      </w:r>
      <w:r>
        <w:rPr/>
        <w:t>8</w:t>
      </w:r>
      <w:r>
        <w:rPr>
          <w:spacing w:val="-1"/>
        </w:rPr>
        <w:t> </w:t>
      </w:r>
      <w:r>
        <w:rPr>
          <w:spacing w:val="-5"/>
        </w:rPr>
        <w:t>am</w:t>
      </w:r>
      <w:r>
        <w:rPr/>
        <w:tab/>
      </w:r>
      <w:r>
        <w:rPr>
          <w:spacing w:val="-5"/>
        </w:rPr>
        <w:t>64</w:t>
      </w:r>
    </w:p>
    <w:p>
      <w:pPr>
        <w:spacing w:after="0"/>
        <w:sectPr>
          <w:pgSz w:w="12240" w:h="15840"/>
          <w:pgMar w:header="0" w:footer="1015" w:top="1360" w:bottom="1200" w:left="1720" w:right="300"/>
        </w:sectPr>
      </w:pPr>
    </w:p>
    <w:p>
      <w:pPr>
        <w:pStyle w:val="Heading1"/>
        <w:ind w:right="1194"/>
      </w:pPr>
      <w:bookmarkStart w:name="_TOC_250074" w:id="7"/>
      <w:r>
        <w:rPr/>
        <w:t>LIST OF</w:t>
      </w:r>
      <w:r>
        <w:rPr>
          <w:spacing w:val="-3"/>
        </w:rPr>
        <w:t> </w:t>
      </w:r>
      <w:bookmarkEnd w:id="7"/>
      <w:r>
        <w:rPr>
          <w:spacing w:val="-2"/>
        </w:rPr>
        <w:t>FIGURES</w:t>
      </w:r>
    </w:p>
    <w:p>
      <w:pPr>
        <w:pStyle w:val="BodyText"/>
        <w:tabs>
          <w:tab w:pos="8217" w:val="left" w:leader="none"/>
        </w:tabs>
        <w:spacing w:before="272"/>
        <w:ind w:left="296"/>
      </w:pPr>
      <w:r>
        <w:rPr>
          <w:spacing w:val="-2"/>
        </w:rPr>
        <w:t>Figure</w:t>
      </w:r>
      <w:r>
        <w:rPr/>
        <w:tab/>
      </w:r>
      <w:r>
        <w:rPr>
          <w:spacing w:val="-4"/>
        </w:rPr>
        <w:t>Page</w:t>
      </w:r>
    </w:p>
    <w:p>
      <w:pPr>
        <w:pStyle w:val="BodyText"/>
      </w:pPr>
    </w:p>
    <w:p>
      <w:pPr>
        <w:pStyle w:val="ListParagraph"/>
        <w:numPr>
          <w:ilvl w:val="1"/>
          <w:numId w:val="9"/>
        </w:numPr>
        <w:tabs>
          <w:tab w:pos="1016" w:val="left" w:leader="none"/>
        </w:tabs>
        <w:spacing w:line="240" w:lineRule="auto" w:before="0" w:after="0"/>
        <w:ind w:left="1016" w:right="0" w:hanging="720"/>
        <w:jc w:val="left"/>
        <w:rPr>
          <w:sz w:val="24"/>
        </w:rPr>
      </w:pPr>
      <w:r>
        <w:rPr>
          <w:sz w:val="24"/>
        </w:rPr>
        <w:t>Effect</w:t>
      </w:r>
      <w:r>
        <w:rPr>
          <w:spacing w:val="-2"/>
          <w:sz w:val="24"/>
        </w:rPr>
        <w:t> </w:t>
      </w:r>
      <w:r>
        <w:rPr>
          <w:sz w:val="24"/>
        </w:rPr>
        <w:t>of</w:t>
      </w:r>
      <w:r>
        <w:rPr>
          <w:spacing w:val="-2"/>
          <w:sz w:val="24"/>
        </w:rPr>
        <w:t> </w:t>
      </w:r>
      <w:r>
        <w:rPr>
          <w:sz w:val="24"/>
        </w:rPr>
        <w:t>21-</w:t>
      </w:r>
      <w:r>
        <w:rPr>
          <w:spacing w:val="-2"/>
          <w:sz w:val="24"/>
        </w:rPr>
        <w:t> </w:t>
      </w:r>
      <w:r>
        <w:rPr>
          <w:sz w:val="24"/>
        </w:rPr>
        <w:t>days</w:t>
      </w:r>
      <w:r>
        <w:rPr>
          <w:spacing w:val="1"/>
          <w:sz w:val="24"/>
        </w:rPr>
        <w:t> </w:t>
      </w:r>
      <w:r>
        <w:rPr>
          <w:sz w:val="24"/>
        </w:rPr>
        <w:t>chronomodulated</w:t>
      </w:r>
      <w:r>
        <w:rPr>
          <w:spacing w:val="-1"/>
          <w:sz w:val="24"/>
        </w:rPr>
        <w:t> </w:t>
      </w:r>
      <w:r>
        <w:rPr>
          <w:sz w:val="24"/>
        </w:rPr>
        <w:t>nifedipine </w:t>
      </w:r>
      <w:r>
        <w:rPr>
          <w:spacing w:val="-2"/>
          <w:sz w:val="24"/>
        </w:rPr>
        <w:t>administration</w:t>
      </w:r>
    </w:p>
    <w:p>
      <w:pPr>
        <w:pStyle w:val="BodyText"/>
      </w:pPr>
    </w:p>
    <w:p>
      <w:pPr>
        <w:pStyle w:val="BodyText"/>
        <w:tabs>
          <w:tab w:pos="8357" w:val="left" w:leader="dot"/>
        </w:tabs>
        <w:ind w:left="1016"/>
      </w:pPr>
      <w:r>
        <w:rPr/>
        <w:t>of</w:t>
      </w:r>
      <w:r>
        <w:rPr>
          <w:spacing w:val="-3"/>
        </w:rPr>
        <w:t> </w:t>
      </w:r>
      <w:r>
        <w:rPr/>
        <w:t>nifedipine</w:t>
      </w:r>
      <w:r>
        <w:rPr>
          <w:spacing w:val="-2"/>
        </w:rPr>
        <w:t> </w:t>
      </w:r>
      <w:r>
        <w:rPr/>
        <w:t>on</w:t>
      </w:r>
      <w:r>
        <w:rPr>
          <w:spacing w:val="-1"/>
        </w:rPr>
        <w:t> </w:t>
      </w:r>
      <w:r>
        <w:rPr/>
        <w:t>FBG</w:t>
      </w:r>
      <w:r>
        <w:rPr>
          <w:spacing w:val="-2"/>
        </w:rPr>
        <w:t> </w:t>
      </w:r>
      <w:r>
        <w:rPr/>
        <w:t>in</w:t>
      </w:r>
      <w:r>
        <w:rPr>
          <w:spacing w:val="1"/>
        </w:rPr>
        <w:t> </w:t>
      </w:r>
      <w:r>
        <w:rPr/>
        <w:t>glimepiride</w:t>
      </w:r>
      <w:r>
        <w:rPr>
          <w:spacing w:val="-2"/>
        </w:rPr>
        <w:t> </w:t>
      </w:r>
      <w:r>
        <w:rPr/>
        <w:t>treated</w:t>
      </w:r>
      <w:r>
        <w:rPr>
          <w:spacing w:val="-1"/>
        </w:rPr>
        <w:t> </w:t>
      </w:r>
      <w:r>
        <w:rPr/>
        <w:t>hyperglycemic</w:t>
      </w:r>
      <w:r>
        <w:rPr>
          <w:spacing w:val="-2"/>
        </w:rPr>
        <w:t> </w:t>
      </w:r>
      <w:r>
        <w:rPr>
          <w:spacing w:val="-4"/>
        </w:rPr>
        <w:t>rats</w:t>
      </w:r>
      <w:r>
        <w:rPr/>
        <w:tab/>
      </w:r>
      <w:r>
        <w:rPr>
          <w:spacing w:val="-5"/>
        </w:rPr>
        <w:t>41</w:t>
      </w:r>
    </w:p>
    <w:p>
      <w:pPr>
        <w:pStyle w:val="BodyText"/>
      </w:pPr>
    </w:p>
    <w:p>
      <w:pPr>
        <w:pStyle w:val="ListParagraph"/>
        <w:numPr>
          <w:ilvl w:val="1"/>
          <w:numId w:val="9"/>
        </w:numPr>
        <w:tabs>
          <w:tab w:pos="1016" w:val="left" w:leader="none"/>
        </w:tabs>
        <w:spacing w:line="240" w:lineRule="auto" w:before="0" w:after="0"/>
        <w:ind w:left="1016" w:right="0" w:hanging="720"/>
        <w:jc w:val="left"/>
        <w:rPr>
          <w:sz w:val="24"/>
        </w:rPr>
      </w:pPr>
      <w:r>
        <w:rPr>
          <w:sz w:val="24"/>
        </w:rPr>
        <w:t>Effect</w:t>
      </w:r>
      <w:r>
        <w:rPr>
          <w:spacing w:val="-2"/>
          <w:sz w:val="24"/>
        </w:rPr>
        <w:t> </w:t>
      </w:r>
      <w:r>
        <w:rPr>
          <w:sz w:val="24"/>
        </w:rPr>
        <w:t>of21-</w:t>
      </w:r>
      <w:r>
        <w:rPr>
          <w:spacing w:val="-3"/>
          <w:sz w:val="24"/>
        </w:rPr>
        <w:t> </w:t>
      </w:r>
      <w:r>
        <w:rPr>
          <w:sz w:val="24"/>
        </w:rPr>
        <w:t>days</w:t>
      </w:r>
      <w:r>
        <w:rPr>
          <w:spacing w:val="1"/>
          <w:sz w:val="24"/>
        </w:rPr>
        <w:t> </w:t>
      </w:r>
      <w:r>
        <w:rPr>
          <w:sz w:val="24"/>
        </w:rPr>
        <w:t>chronomodulated</w:t>
      </w:r>
      <w:r>
        <w:rPr>
          <w:spacing w:val="-2"/>
          <w:sz w:val="24"/>
        </w:rPr>
        <w:t> </w:t>
      </w:r>
      <w:r>
        <w:rPr>
          <w:sz w:val="24"/>
        </w:rPr>
        <w:t>nifedipine </w:t>
      </w:r>
      <w:r>
        <w:rPr>
          <w:spacing w:val="-2"/>
          <w:sz w:val="24"/>
        </w:rPr>
        <w:t>administration</w:t>
      </w:r>
    </w:p>
    <w:p>
      <w:pPr>
        <w:pStyle w:val="BodyText"/>
      </w:pPr>
    </w:p>
    <w:p>
      <w:pPr>
        <w:pStyle w:val="BodyText"/>
        <w:tabs>
          <w:tab w:pos="8323" w:val="left" w:leader="dot"/>
        </w:tabs>
        <w:ind w:left="1016"/>
      </w:pPr>
      <w:r>
        <w:rPr/>
        <w:t>of</w:t>
      </w:r>
      <w:r>
        <w:rPr>
          <w:spacing w:val="-3"/>
        </w:rPr>
        <w:t> </w:t>
      </w:r>
      <w:r>
        <w:rPr/>
        <w:t>nifedipine</w:t>
      </w:r>
      <w:r>
        <w:rPr>
          <w:spacing w:val="-2"/>
        </w:rPr>
        <w:t> </w:t>
      </w:r>
      <w:r>
        <w:rPr/>
        <w:t>on</w:t>
      </w:r>
      <w:r>
        <w:rPr>
          <w:spacing w:val="-1"/>
        </w:rPr>
        <w:t> </w:t>
      </w:r>
      <w:r>
        <w:rPr/>
        <w:t>RBG</w:t>
      </w:r>
      <w:r>
        <w:rPr>
          <w:spacing w:val="-1"/>
        </w:rPr>
        <w:t> </w:t>
      </w:r>
      <w:r>
        <w:rPr/>
        <w:t>in</w:t>
      </w:r>
      <w:r>
        <w:rPr>
          <w:spacing w:val="1"/>
        </w:rPr>
        <w:t> </w:t>
      </w:r>
      <w:r>
        <w:rPr/>
        <w:t>glimepiride</w:t>
      </w:r>
      <w:r>
        <w:rPr>
          <w:spacing w:val="-2"/>
        </w:rPr>
        <w:t> </w:t>
      </w:r>
      <w:r>
        <w:rPr/>
        <w:t>treated</w:t>
      </w:r>
      <w:r>
        <w:rPr>
          <w:spacing w:val="-1"/>
        </w:rPr>
        <w:t> </w:t>
      </w:r>
      <w:r>
        <w:rPr/>
        <w:t>hyperglycemic </w:t>
      </w:r>
      <w:r>
        <w:rPr>
          <w:spacing w:val="-4"/>
        </w:rPr>
        <w:t>rats</w:t>
      </w:r>
      <w:r>
        <w:rPr/>
        <w:tab/>
      </w:r>
      <w:r>
        <w:rPr>
          <w:spacing w:val="-5"/>
        </w:rPr>
        <w:t>43</w:t>
      </w:r>
    </w:p>
    <w:p>
      <w:pPr>
        <w:spacing w:after="0"/>
        <w:sectPr>
          <w:pgSz w:w="12240" w:h="15840"/>
          <w:pgMar w:header="0" w:footer="1015" w:top="1360" w:bottom="1200" w:left="1720" w:right="300"/>
        </w:sectPr>
      </w:pPr>
    </w:p>
    <w:p>
      <w:pPr>
        <w:pStyle w:val="Heading1"/>
        <w:ind w:left="960"/>
      </w:pPr>
      <w:bookmarkStart w:name="_TOC_250073" w:id="8"/>
      <w:r>
        <w:rPr/>
        <w:t>LIST OF</w:t>
      </w:r>
      <w:r>
        <w:rPr>
          <w:spacing w:val="-3"/>
        </w:rPr>
        <w:t> </w:t>
      </w:r>
      <w:bookmarkEnd w:id="8"/>
      <w:r>
        <w:rPr>
          <w:spacing w:val="-2"/>
        </w:rPr>
        <w:t>APPENDICES</w:t>
      </w:r>
    </w:p>
    <w:p>
      <w:pPr>
        <w:pStyle w:val="BodyText"/>
        <w:tabs>
          <w:tab w:pos="8323" w:val="left" w:leader="none"/>
        </w:tabs>
        <w:spacing w:before="272"/>
        <w:ind w:left="296"/>
      </w:pPr>
      <w:r>
        <w:rPr>
          <w:spacing w:val="-2"/>
        </w:rPr>
        <w:t>Appendix</w:t>
      </w:r>
      <w:r>
        <w:rPr/>
        <w:tab/>
      </w:r>
      <w:r>
        <w:rPr>
          <w:spacing w:val="-4"/>
        </w:rPr>
        <w:t>Page</w:t>
      </w:r>
    </w:p>
    <w:p>
      <w:pPr>
        <w:pStyle w:val="ListParagraph"/>
        <w:numPr>
          <w:ilvl w:val="2"/>
          <w:numId w:val="9"/>
        </w:numPr>
        <w:tabs>
          <w:tab w:pos="1079" w:val="left" w:leader="none"/>
          <w:tab w:pos="7835" w:val="left" w:leader="dot"/>
        </w:tabs>
        <w:spacing w:line="240" w:lineRule="auto" w:before="276" w:after="0"/>
        <w:ind w:left="1079" w:right="831" w:hanging="1079"/>
        <w:jc w:val="center"/>
        <w:rPr>
          <w:sz w:val="24"/>
        </w:rPr>
      </w:pPr>
      <w:r>
        <w:rPr>
          <w:sz w:val="24"/>
        </w:rPr>
        <w:t>Calculation</w:t>
      </w:r>
      <w:r>
        <w:rPr>
          <w:spacing w:val="-1"/>
          <w:sz w:val="24"/>
        </w:rPr>
        <w:t> </w:t>
      </w:r>
      <w:r>
        <w:rPr>
          <w:sz w:val="24"/>
        </w:rPr>
        <w:t>of relative kidney</w:t>
      </w:r>
      <w:r>
        <w:rPr>
          <w:spacing w:val="-3"/>
          <w:sz w:val="24"/>
        </w:rPr>
        <w:t> </w:t>
      </w:r>
      <w:r>
        <w:rPr>
          <w:spacing w:val="-2"/>
          <w:sz w:val="24"/>
        </w:rPr>
        <w:t>weight…</w:t>
      </w:r>
      <w:r>
        <w:rPr>
          <w:sz w:val="24"/>
        </w:rPr>
        <w:tab/>
      </w:r>
      <w:r>
        <w:rPr>
          <w:spacing w:val="-5"/>
          <w:sz w:val="24"/>
        </w:rPr>
        <w:t>94</w:t>
      </w:r>
    </w:p>
    <w:p>
      <w:pPr>
        <w:pStyle w:val="ListParagraph"/>
        <w:numPr>
          <w:ilvl w:val="2"/>
          <w:numId w:val="9"/>
        </w:numPr>
        <w:tabs>
          <w:tab w:pos="1736" w:val="left" w:leader="none"/>
          <w:tab w:pos="8462" w:val="left" w:leader="dot"/>
        </w:tabs>
        <w:spacing w:line="240" w:lineRule="auto" w:before="276" w:after="0"/>
        <w:ind w:left="1736" w:right="0" w:hanging="1080"/>
        <w:jc w:val="left"/>
        <w:rPr>
          <w:sz w:val="24"/>
        </w:rPr>
      </w:pPr>
      <w:r>
        <w:rPr>
          <w:sz w:val="24"/>
        </w:rPr>
        <w:t>Calculation</w:t>
      </w:r>
      <w:r>
        <w:rPr>
          <w:spacing w:val="-1"/>
          <w:sz w:val="24"/>
        </w:rPr>
        <w:t> </w:t>
      </w:r>
      <w:r>
        <w:rPr>
          <w:sz w:val="24"/>
        </w:rPr>
        <w:t>of</w:t>
      </w:r>
      <w:r>
        <w:rPr>
          <w:spacing w:val="-1"/>
          <w:sz w:val="24"/>
        </w:rPr>
        <w:t> </w:t>
      </w:r>
      <w:r>
        <w:rPr>
          <w:sz w:val="24"/>
        </w:rPr>
        <w:t>the force</w:t>
      </w:r>
      <w:r>
        <w:rPr>
          <w:spacing w:val="-2"/>
          <w:sz w:val="24"/>
        </w:rPr>
        <w:t> </w:t>
      </w:r>
      <w:r>
        <w:rPr>
          <w:sz w:val="24"/>
        </w:rPr>
        <w:t>in gram applied</w:t>
      </w:r>
      <w:r>
        <w:rPr>
          <w:spacing w:val="-1"/>
          <w:sz w:val="24"/>
        </w:rPr>
        <w:t> </w:t>
      </w:r>
      <w:r>
        <w:rPr>
          <w:sz w:val="24"/>
        </w:rPr>
        <w:t>to rats</w:t>
      </w:r>
      <w:r>
        <w:rPr>
          <w:spacing w:val="-1"/>
          <w:sz w:val="24"/>
        </w:rPr>
        <w:t> </w:t>
      </w:r>
      <w:r>
        <w:rPr>
          <w:sz w:val="24"/>
        </w:rPr>
        <w:t>foot </w:t>
      </w:r>
      <w:r>
        <w:rPr>
          <w:spacing w:val="-4"/>
          <w:sz w:val="24"/>
        </w:rPr>
        <w:t>pad…</w:t>
      </w:r>
      <w:r>
        <w:rPr>
          <w:sz w:val="24"/>
        </w:rPr>
        <w:tab/>
      </w:r>
      <w:r>
        <w:rPr>
          <w:spacing w:val="-5"/>
          <w:sz w:val="24"/>
        </w:rPr>
        <w:t>95</w:t>
      </w:r>
    </w:p>
    <w:p>
      <w:pPr>
        <w:spacing w:after="0" w:line="240" w:lineRule="auto"/>
        <w:jc w:val="left"/>
        <w:rPr>
          <w:sz w:val="24"/>
        </w:rPr>
        <w:sectPr>
          <w:pgSz w:w="12240" w:h="15840"/>
          <w:pgMar w:header="0" w:footer="1015" w:top="1360" w:bottom="1200" w:left="1720" w:right="300"/>
        </w:sectPr>
      </w:pPr>
    </w:p>
    <w:p>
      <w:pPr>
        <w:pStyle w:val="Heading1"/>
        <w:ind w:left="3181" w:right="0"/>
        <w:jc w:val="left"/>
      </w:pPr>
      <w:bookmarkStart w:name="_TOC_250072" w:id="9"/>
      <w:r>
        <w:rPr/>
        <w:t>LIST OF</w:t>
      </w:r>
      <w:r>
        <w:rPr>
          <w:spacing w:val="-3"/>
        </w:rPr>
        <w:t> </w:t>
      </w:r>
      <w:bookmarkEnd w:id="9"/>
      <w:r>
        <w:rPr>
          <w:spacing w:val="-2"/>
        </w:rPr>
        <w:t>ABBREVIATIONS</w:t>
      </w:r>
    </w:p>
    <w:p>
      <w:pPr>
        <w:pStyle w:val="BodyText"/>
        <w:tabs>
          <w:tab w:pos="1736" w:val="left" w:leader="none"/>
        </w:tabs>
        <w:spacing w:before="272"/>
        <w:ind w:left="296"/>
      </w:pPr>
      <w:r>
        <w:rPr>
          <w:spacing w:val="-5"/>
        </w:rPr>
        <w:t>%:</w:t>
      </w:r>
      <w:r>
        <w:rPr/>
        <w:tab/>
      </w:r>
      <w:r>
        <w:rPr>
          <w:spacing w:val="-2"/>
        </w:rPr>
        <w:t>Percentage</w:t>
      </w:r>
    </w:p>
    <w:p>
      <w:pPr>
        <w:pStyle w:val="BodyText"/>
      </w:pPr>
    </w:p>
    <w:p>
      <w:pPr>
        <w:pStyle w:val="BodyText"/>
        <w:tabs>
          <w:tab w:pos="1736" w:val="left" w:leader="none"/>
        </w:tabs>
        <w:ind w:left="296"/>
      </w:pPr>
      <w:r>
        <w:rPr>
          <w:spacing w:val="-2"/>
        </w:rPr>
        <w:t>5-</w:t>
      </w:r>
      <w:r>
        <w:rPr>
          <w:spacing w:val="-5"/>
        </w:rPr>
        <w:t>FU:</w:t>
      </w:r>
      <w:r>
        <w:rPr/>
        <w:tab/>
      </w:r>
      <w:r>
        <w:rPr>
          <w:spacing w:val="-2"/>
        </w:rPr>
        <w:t>5-Flourouracil</w:t>
      </w:r>
    </w:p>
    <w:p>
      <w:pPr>
        <w:pStyle w:val="BodyText"/>
      </w:pPr>
    </w:p>
    <w:p>
      <w:pPr>
        <w:pStyle w:val="BodyText"/>
        <w:tabs>
          <w:tab w:pos="1736" w:val="left" w:leader="none"/>
        </w:tabs>
        <w:ind w:left="296"/>
      </w:pPr>
      <w:r>
        <w:rPr>
          <w:spacing w:val="-4"/>
        </w:rPr>
        <w:t>ADA:</w:t>
      </w:r>
      <w:r>
        <w:rPr/>
        <w:tab/>
        <w:t>American</w:t>
      </w:r>
      <w:r>
        <w:rPr>
          <w:spacing w:val="-2"/>
        </w:rPr>
        <w:t> </w:t>
      </w:r>
      <w:r>
        <w:rPr/>
        <w:t>Diabetes</w:t>
      </w:r>
      <w:r>
        <w:rPr>
          <w:spacing w:val="-2"/>
        </w:rPr>
        <w:t> Association</w:t>
      </w:r>
    </w:p>
    <w:p>
      <w:pPr>
        <w:pStyle w:val="BodyText"/>
      </w:pPr>
    </w:p>
    <w:p>
      <w:pPr>
        <w:pStyle w:val="BodyText"/>
        <w:tabs>
          <w:tab w:pos="1736" w:val="left" w:leader="none"/>
        </w:tabs>
        <w:spacing w:line="480" w:lineRule="auto"/>
        <w:ind w:left="296" w:right="3202"/>
      </w:pPr>
      <w:r>
        <w:rPr>
          <w:spacing w:val="-2"/>
        </w:rPr>
        <w:t>ADME:</w:t>
      </w:r>
      <w:r>
        <w:rPr/>
        <w:tab/>
        <w:t>Administration,</w:t>
      </w:r>
      <w:r>
        <w:rPr>
          <w:spacing w:val="-10"/>
        </w:rPr>
        <w:t> </w:t>
      </w:r>
      <w:r>
        <w:rPr/>
        <w:t>distribution,</w:t>
      </w:r>
      <w:r>
        <w:rPr>
          <w:spacing w:val="-9"/>
        </w:rPr>
        <w:t> </w:t>
      </w:r>
      <w:r>
        <w:rPr/>
        <w:t>metabolism</w:t>
      </w:r>
      <w:r>
        <w:rPr>
          <w:spacing w:val="-10"/>
        </w:rPr>
        <w:t> </w:t>
      </w:r>
      <w:r>
        <w:rPr/>
        <w:t>and</w:t>
      </w:r>
      <w:r>
        <w:rPr>
          <w:spacing w:val="-10"/>
        </w:rPr>
        <w:t> </w:t>
      </w:r>
      <w:r>
        <w:rPr/>
        <w:t>excretion </w:t>
      </w:r>
      <w:r>
        <w:rPr>
          <w:spacing w:val="-4"/>
        </w:rPr>
        <w:t>ADP:</w:t>
      </w:r>
      <w:r>
        <w:rPr/>
        <w:tab/>
        <w:t>Adenosine diphospahate</w:t>
      </w:r>
    </w:p>
    <w:p>
      <w:pPr>
        <w:pStyle w:val="BodyText"/>
        <w:tabs>
          <w:tab w:pos="1736" w:val="left" w:leader="none"/>
        </w:tabs>
        <w:ind w:left="296"/>
      </w:pPr>
      <w:r>
        <w:rPr>
          <w:spacing w:val="-4"/>
        </w:rPr>
        <w:t>ATP:</w:t>
      </w:r>
      <w:r>
        <w:rPr/>
        <w:tab/>
        <w:t>Adenosine</w:t>
      </w:r>
      <w:r>
        <w:rPr>
          <w:spacing w:val="-5"/>
        </w:rPr>
        <w:t> </w:t>
      </w:r>
      <w:r>
        <w:rPr>
          <w:spacing w:val="-2"/>
        </w:rPr>
        <w:t>triphosphate</w:t>
      </w:r>
    </w:p>
    <w:p>
      <w:pPr>
        <w:pStyle w:val="BodyText"/>
        <w:spacing w:before="1"/>
      </w:pPr>
    </w:p>
    <w:p>
      <w:pPr>
        <w:pStyle w:val="BodyText"/>
        <w:tabs>
          <w:tab w:pos="1736" w:val="left" w:leader="none"/>
        </w:tabs>
        <w:spacing w:line="480" w:lineRule="auto"/>
        <w:ind w:left="296" w:right="2916"/>
      </w:pPr>
      <w:r>
        <w:rPr/>
        <w:t>AUC (0-6h):</w:t>
        <w:tab/>
        <w:t>Area</w:t>
      </w:r>
      <w:r>
        <w:rPr>
          <w:spacing w:val="-6"/>
        </w:rPr>
        <w:t> </w:t>
      </w:r>
      <w:r>
        <w:rPr/>
        <w:t>under</w:t>
      </w:r>
      <w:r>
        <w:rPr>
          <w:spacing w:val="-5"/>
        </w:rPr>
        <w:t> </w:t>
      </w:r>
      <w:r>
        <w:rPr/>
        <w:t>the</w:t>
      </w:r>
      <w:r>
        <w:rPr>
          <w:spacing w:val="-5"/>
        </w:rPr>
        <w:t> </w:t>
      </w:r>
      <w:r>
        <w:rPr/>
        <w:t>concentration</w:t>
      </w:r>
      <w:r>
        <w:rPr>
          <w:spacing w:val="-5"/>
        </w:rPr>
        <w:t> </w:t>
      </w:r>
      <w:r>
        <w:rPr/>
        <w:t>curve</w:t>
      </w:r>
      <w:r>
        <w:rPr>
          <w:spacing w:val="-6"/>
        </w:rPr>
        <w:t> </w:t>
      </w:r>
      <w:r>
        <w:rPr/>
        <w:t>from</w:t>
      </w:r>
      <w:r>
        <w:rPr>
          <w:spacing w:val="-5"/>
        </w:rPr>
        <w:t> </w:t>
      </w:r>
      <w:r>
        <w:rPr/>
        <w:t>zero</w:t>
      </w:r>
      <w:r>
        <w:rPr>
          <w:spacing w:val="-5"/>
        </w:rPr>
        <w:t> </w:t>
      </w:r>
      <w:r>
        <w:rPr/>
        <w:t>to</w:t>
      </w:r>
      <w:r>
        <w:rPr>
          <w:spacing w:val="-5"/>
        </w:rPr>
        <w:t> </w:t>
      </w:r>
      <w:r>
        <w:rPr/>
        <w:t>six</w:t>
      </w:r>
      <w:r>
        <w:rPr>
          <w:spacing w:val="-3"/>
        </w:rPr>
        <w:t> </w:t>
      </w:r>
      <w:r>
        <w:rPr/>
        <w:t>hours </w:t>
      </w:r>
      <w:r>
        <w:rPr>
          <w:spacing w:val="-4"/>
        </w:rPr>
        <w:t>AUC:</w:t>
      </w:r>
      <w:r>
        <w:rPr/>
        <w:tab/>
        <w:t>Area under the concentration curve</w:t>
      </w:r>
    </w:p>
    <w:p>
      <w:pPr>
        <w:pStyle w:val="BodyText"/>
        <w:tabs>
          <w:tab w:pos="1736" w:val="left" w:leader="none"/>
        </w:tabs>
        <w:ind w:left="296"/>
      </w:pPr>
      <w:r>
        <w:rPr>
          <w:spacing w:val="-5"/>
        </w:rPr>
        <w:t>BP:</w:t>
      </w:r>
      <w:r>
        <w:rPr/>
        <w:tab/>
        <w:t>Blood</w:t>
      </w:r>
      <w:r>
        <w:rPr>
          <w:spacing w:val="-2"/>
        </w:rPr>
        <w:t> pressure</w:t>
      </w:r>
    </w:p>
    <w:p>
      <w:pPr>
        <w:pStyle w:val="BodyText"/>
      </w:pPr>
    </w:p>
    <w:p>
      <w:pPr>
        <w:pStyle w:val="BodyText"/>
        <w:tabs>
          <w:tab w:pos="1736" w:val="left" w:leader="none"/>
        </w:tabs>
        <w:ind w:left="296"/>
      </w:pPr>
      <w:r>
        <w:rPr>
          <w:spacing w:val="-2"/>
        </w:rPr>
        <w:t>Ca</w:t>
      </w:r>
      <w:r>
        <w:rPr>
          <w:spacing w:val="-2"/>
          <w:vertAlign w:val="superscript"/>
        </w:rPr>
        <w:t>2+</w:t>
      </w:r>
      <w:r>
        <w:rPr>
          <w:spacing w:val="-2"/>
          <w:vertAlign w:val="baseline"/>
        </w:rPr>
        <w:t>:</w:t>
      </w:r>
      <w:r>
        <w:rPr>
          <w:vertAlign w:val="baseline"/>
        </w:rPr>
        <w:tab/>
        <w:t>Calcium</w:t>
      </w:r>
      <w:r>
        <w:rPr>
          <w:spacing w:val="-3"/>
          <w:vertAlign w:val="baseline"/>
        </w:rPr>
        <w:t> </w:t>
      </w:r>
      <w:r>
        <w:rPr>
          <w:spacing w:val="-5"/>
          <w:vertAlign w:val="baseline"/>
        </w:rPr>
        <w:t>ion</w:t>
      </w:r>
    </w:p>
    <w:p>
      <w:pPr>
        <w:pStyle w:val="BodyText"/>
      </w:pPr>
    </w:p>
    <w:p>
      <w:pPr>
        <w:pStyle w:val="BodyText"/>
        <w:tabs>
          <w:tab w:pos="1736" w:val="left" w:leader="none"/>
        </w:tabs>
        <w:ind w:left="296"/>
      </w:pPr>
      <w:r>
        <w:rPr>
          <w:spacing w:val="-4"/>
        </w:rPr>
        <w:t>CCBs:</w:t>
      </w:r>
      <w:r>
        <w:rPr/>
        <w:tab/>
        <w:t>Calcium</w:t>
      </w:r>
      <w:r>
        <w:rPr>
          <w:spacing w:val="-2"/>
        </w:rPr>
        <w:t> </w:t>
      </w:r>
      <w:r>
        <w:rPr/>
        <w:t>channel</w:t>
      </w:r>
      <w:r>
        <w:rPr>
          <w:spacing w:val="-1"/>
        </w:rPr>
        <w:t> </w:t>
      </w:r>
      <w:r>
        <w:rPr>
          <w:spacing w:val="-2"/>
        </w:rPr>
        <w:t>blockers</w:t>
      </w:r>
    </w:p>
    <w:p>
      <w:pPr>
        <w:pStyle w:val="BodyText"/>
        <w:spacing w:before="2"/>
      </w:pPr>
    </w:p>
    <w:p>
      <w:pPr>
        <w:pStyle w:val="BodyText"/>
        <w:tabs>
          <w:tab w:pos="1736" w:val="left" w:leader="none"/>
        </w:tabs>
        <w:spacing w:before="1"/>
        <w:ind w:left="296"/>
      </w:pPr>
      <w:r>
        <w:rPr>
          <w:spacing w:val="-2"/>
        </w:rPr>
        <w:t>CD4</w:t>
      </w:r>
      <w:r>
        <w:rPr>
          <w:spacing w:val="-2"/>
          <w:vertAlign w:val="superscript"/>
        </w:rPr>
        <w:t>+</w:t>
      </w:r>
      <w:r>
        <w:rPr>
          <w:spacing w:val="-2"/>
          <w:vertAlign w:val="baseline"/>
        </w:rPr>
        <w:t>:</w:t>
      </w:r>
      <w:r>
        <w:rPr>
          <w:vertAlign w:val="baseline"/>
        </w:rPr>
        <w:tab/>
        <w:t>Cluster</w:t>
      </w:r>
      <w:r>
        <w:rPr>
          <w:spacing w:val="-2"/>
          <w:vertAlign w:val="baseline"/>
        </w:rPr>
        <w:t> </w:t>
      </w:r>
      <w:r>
        <w:rPr>
          <w:vertAlign w:val="baseline"/>
        </w:rPr>
        <w:t>of</w:t>
      </w:r>
      <w:r>
        <w:rPr>
          <w:spacing w:val="-2"/>
          <w:vertAlign w:val="baseline"/>
        </w:rPr>
        <w:t> </w:t>
      </w:r>
      <w:r>
        <w:rPr>
          <w:vertAlign w:val="baseline"/>
        </w:rPr>
        <w:t>differentiation</w:t>
      </w:r>
      <w:r>
        <w:rPr>
          <w:spacing w:val="-1"/>
          <w:vertAlign w:val="baseline"/>
        </w:rPr>
        <w:t> </w:t>
      </w:r>
      <w:r>
        <w:rPr>
          <w:spacing w:val="-10"/>
          <w:vertAlign w:val="baseline"/>
        </w:rPr>
        <w:t>4</w:t>
      </w:r>
    </w:p>
    <w:p>
      <w:pPr>
        <w:pStyle w:val="BodyText"/>
        <w:tabs>
          <w:tab w:pos="1736" w:val="left" w:leader="none"/>
        </w:tabs>
        <w:spacing w:before="240"/>
        <w:ind w:left="296"/>
      </w:pPr>
      <w:r>
        <w:rPr>
          <w:spacing w:val="-2"/>
        </w:rPr>
        <w:t>CD8</w:t>
      </w:r>
      <w:r>
        <w:rPr>
          <w:spacing w:val="-2"/>
          <w:vertAlign w:val="superscript"/>
        </w:rPr>
        <w:t>+</w:t>
      </w:r>
      <w:r>
        <w:rPr>
          <w:spacing w:val="-2"/>
          <w:vertAlign w:val="baseline"/>
        </w:rPr>
        <w:t>:</w:t>
      </w:r>
      <w:r>
        <w:rPr>
          <w:vertAlign w:val="baseline"/>
        </w:rPr>
        <w:tab/>
        <w:t>Cluster</w:t>
      </w:r>
      <w:r>
        <w:rPr>
          <w:spacing w:val="-2"/>
          <w:vertAlign w:val="baseline"/>
        </w:rPr>
        <w:t> </w:t>
      </w:r>
      <w:r>
        <w:rPr>
          <w:vertAlign w:val="baseline"/>
        </w:rPr>
        <w:t>of</w:t>
      </w:r>
      <w:r>
        <w:rPr>
          <w:spacing w:val="-2"/>
          <w:vertAlign w:val="baseline"/>
        </w:rPr>
        <w:t> </w:t>
      </w:r>
      <w:r>
        <w:rPr>
          <w:vertAlign w:val="baseline"/>
        </w:rPr>
        <w:t>differentiation</w:t>
      </w:r>
      <w:r>
        <w:rPr>
          <w:spacing w:val="-1"/>
          <w:vertAlign w:val="baseline"/>
        </w:rPr>
        <w:t> </w:t>
      </w:r>
      <w:r>
        <w:rPr>
          <w:spacing w:val="-10"/>
          <w:vertAlign w:val="baseline"/>
        </w:rPr>
        <w:t>8</w:t>
      </w:r>
    </w:p>
    <w:p>
      <w:pPr>
        <w:pStyle w:val="BodyText"/>
        <w:tabs>
          <w:tab w:pos="1736" w:val="left" w:leader="none"/>
        </w:tabs>
        <w:spacing w:before="242"/>
        <w:ind w:left="296"/>
      </w:pPr>
      <w:r>
        <w:rPr>
          <w:spacing w:val="-2"/>
        </w:rPr>
        <w:t>C</w:t>
      </w:r>
      <w:r>
        <w:rPr>
          <w:spacing w:val="-2"/>
          <w:vertAlign w:val="subscript"/>
        </w:rPr>
        <w:t>max</w:t>
      </w:r>
      <w:r>
        <w:rPr>
          <w:spacing w:val="-2"/>
          <w:vertAlign w:val="baseline"/>
        </w:rPr>
        <w:t>:</w:t>
      </w:r>
      <w:r>
        <w:rPr>
          <w:vertAlign w:val="baseline"/>
        </w:rPr>
        <w:tab/>
        <w:t>Maximum</w:t>
      </w:r>
      <w:r>
        <w:rPr>
          <w:spacing w:val="-3"/>
          <w:vertAlign w:val="baseline"/>
        </w:rPr>
        <w:t> </w:t>
      </w:r>
      <w:r>
        <w:rPr>
          <w:vertAlign w:val="baseline"/>
        </w:rPr>
        <w:t>plasma</w:t>
      </w:r>
      <w:r>
        <w:rPr>
          <w:spacing w:val="-1"/>
          <w:vertAlign w:val="baseline"/>
        </w:rPr>
        <w:t> </w:t>
      </w:r>
      <w:r>
        <w:rPr>
          <w:spacing w:val="-2"/>
          <w:vertAlign w:val="baseline"/>
        </w:rPr>
        <w:t>concentration</w:t>
      </w:r>
    </w:p>
    <w:p>
      <w:pPr>
        <w:pStyle w:val="BodyText"/>
        <w:tabs>
          <w:tab w:pos="1736" w:val="left" w:leader="none"/>
        </w:tabs>
        <w:spacing w:before="240"/>
        <w:ind w:left="296"/>
      </w:pPr>
      <w:r>
        <w:rPr>
          <w:spacing w:val="-5"/>
        </w:rPr>
        <w:t>Cp:</w:t>
      </w:r>
      <w:r>
        <w:rPr/>
        <w:tab/>
        <w:t>Plasma</w:t>
      </w:r>
      <w:r>
        <w:rPr>
          <w:spacing w:val="-1"/>
        </w:rPr>
        <w:t> </w:t>
      </w:r>
      <w:r>
        <w:rPr>
          <w:spacing w:val="-2"/>
        </w:rPr>
        <w:t>concentration</w:t>
      </w:r>
    </w:p>
    <w:p>
      <w:pPr>
        <w:pStyle w:val="BodyText"/>
        <w:tabs>
          <w:tab w:pos="1736" w:val="left" w:leader="none"/>
        </w:tabs>
        <w:spacing w:before="243"/>
        <w:ind w:left="296"/>
      </w:pPr>
      <w:r>
        <w:rPr>
          <w:spacing w:val="-4"/>
        </w:rPr>
        <w:t>CRF:</w:t>
      </w:r>
      <w:r>
        <w:rPr/>
        <w:tab/>
        <w:t>Chronic</w:t>
      </w:r>
      <w:r>
        <w:rPr>
          <w:spacing w:val="-3"/>
        </w:rPr>
        <w:t> </w:t>
      </w:r>
      <w:r>
        <w:rPr/>
        <w:t>renal</w:t>
      </w:r>
      <w:r>
        <w:rPr>
          <w:spacing w:val="-2"/>
        </w:rPr>
        <w:t> failure</w:t>
      </w:r>
    </w:p>
    <w:p>
      <w:pPr>
        <w:pStyle w:val="BodyText"/>
        <w:tabs>
          <w:tab w:pos="1736" w:val="left" w:leader="none"/>
        </w:tabs>
        <w:spacing w:before="242"/>
        <w:ind w:left="296"/>
      </w:pPr>
      <w:r>
        <w:rPr>
          <w:spacing w:val="-4"/>
        </w:rPr>
        <w:t>CVD:</w:t>
      </w:r>
      <w:r>
        <w:rPr/>
        <w:tab/>
        <w:t>Cardiovascular</w:t>
      </w:r>
      <w:r>
        <w:rPr>
          <w:spacing w:val="-6"/>
        </w:rPr>
        <w:t> </w:t>
      </w:r>
      <w:r>
        <w:rPr>
          <w:spacing w:val="-2"/>
        </w:rPr>
        <w:t>diseases</w:t>
      </w:r>
    </w:p>
    <w:p>
      <w:pPr>
        <w:pStyle w:val="BodyText"/>
        <w:tabs>
          <w:tab w:pos="1736" w:val="left" w:leader="none"/>
        </w:tabs>
        <w:spacing w:before="240"/>
        <w:ind w:left="296"/>
      </w:pPr>
      <w:r>
        <w:rPr>
          <w:spacing w:val="-5"/>
        </w:rPr>
        <w:t>DM:</w:t>
      </w:r>
      <w:r>
        <w:rPr/>
        <w:tab/>
        <w:t>Diabetes</w:t>
      </w:r>
      <w:r>
        <w:rPr>
          <w:spacing w:val="-2"/>
        </w:rPr>
        <w:t> mellitus</w:t>
      </w:r>
    </w:p>
    <w:p>
      <w:pPr>
        <w:pStyle w:val="BodyText"/>
        <w:tabs>
          <w:tab w:pos="1736" w:val="left" w:leader="none"/>
        </w:tabs>
        <w:spacing w:before="243"/>
        <w:ind w:left="296"/>
      </w:pPr>
      <w:r>
        <w:rPr>
          <w:spacing w:val="-4"/>
        </w:rPr>
        <w:t>DME:</w:t>
      </w:r>
      <w:r>
        <w:rPr/>
        <w:tab/>
        <w:t>Diabetic</w:t>
      </w:r>
      <w:r>
        <w:rPr>
          <w:spacing w:val="-2"/>
        </w:rPr>
        <w:t> </w:t>
      </w:r>
      <w:r>
        <w:rPr/>
        <w:t>macular</w:t>
      </w:r>
      <w:r>
        <w:rPr>
          <w:spacing w:val="-1"/>
        </w:rPr>
        <w:t> </w:t>
      </w:r>
      <w:r>
        <w:rPr>
          <w:spacing w:val="-4"/>
        </w:rPr>
        <w:t>edema</w:t>
      </w:r>
    </w:p>
    <w:p>
      <w:pPr>
        <w:pStyle w:val="BodyText"/>
        <w:tabs>
          <w:tab w:pos="1736" w:val="left" w:leader="none"/>
        </w:tabs>
        <w:spacing w:before="240"/>
        <w:ind w:left="296"/>
      </w:pPr>
      <w:r>
        <w:rPr>
          <w:spacing w:val="-5"/>
        </w:rPr>
        <w:t>DN:</w:t>
      </w:r>
      <w:r>
        <w:rPr/>
        <w:tab/>
        <w:t>Diabetic</w:t>
      </w:r>
      <w:r>
        <w:rPr>
          <w:spacing w:val="-3"/>
        </w:rPr>
        <w:t> </w:t>
      </w:r>
      <w:r>
        <w:rPr>
          <w:spacing w:val="-2"/>
        </w:rPr>
        <w:t>nephropathy</w:t>
      </w:r>
    </w:p>
    <w:p>
      <w:pPr>
        <w:pStyle w:val="BodyText"/>
        <w:tabs>
          <w:tab w:pos="1736" w:val="left" w:leader="none"/>
        </w:tabs>
        <w:spacing w:line="448" w:lineRule="auto" w:before="243"/>
        <w:ind w:left="296" w:right="5306"/>
      </w:pPr>
      <w:r>
        <w:rPr>
          <w:spacing w:val="-2"/>
        </w:rPr>
        <w:t>DPP-4:</w:t>
      </w:r>
      <w:r>
        <w:rPr/>
        <w:tab/>
        <w:t>Dipeptidyl</w:t>
      </w:r>
      <w:r>
        <w:rPr>
          <w:spacing w:val="-15"/>
        </w:rPr>
        <w:t> </w:t>
      </w:r>
      <w:r>
        <w:rPr/>
        <w:t>peptidase-4</w:t>
      </w:r>
      <w:r>
        <w:rPr>
          <w:spacing w:val="-15"/>
        </w:rPr>
        <w:t> </w:t>
      </w:r>
      <w:r>
        <w:rPr/>
        <w:t>inhibitors </w:t>
      </w:r>
      <w:r>
        <w:rPr>
          <w:spacing w:val="-4"/>
        </w:rPr>
        <w:t>DR:</w:t>
      </w:r>
      <w:r>
        <w:rPr/>
        <w:tab/>
        <w:t>Diabetic retinopathy</w:t>
      </w:r>
    </w:p>
    <w:p>
      <w:pPr>
        <w:pStyle w:val="ListParagraph"/>
        <w:numPr>
          <w:ilvl w:val="1"/>
          <w:numId w:val="10"/>
        </w:numPr>
        <w:tabs>
          <w:tab w:pos="1736" w:val="left" w:leader="none"/>
        </w:tabs>
        <w:spacing w:line="276" w:lineRule="exact" w:before="0" w:after="0"/>
        <w:ind w:left="1736" w:right="0" w:hanging="1440"/>
        <w:jc w:val="left"/>
        <w:rPr>
          <w:sz w:val="24"/>
        </w:rPr>
      </w:pPr>
      <w:r>
        <w:rPr>
          <w:spacing w:val="-2"/>
          <w:sz w:val="24"/>
        </w:rPr>
        <w:t>Example</w:t>
      </w:r>
    </w:p>
    <w:p>
      <w:pPr>
        <w:spacing w:after="0" w:line="276" w:lineRule="exact"/>
        <w:jc w:val="left"/>
        <w:rPr>
          <w:sz w:val="24"/>
        </w:rPr>
        <w:sectPr>
          <w:pgSz w:w="12240" w:h="15840"/>
          <w:pgMar w:header="0" w:footer="1015" w:top="1360" w:bottom="1200" w:left="1720" w:right="300"/>
        </w:sect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9"/>
        <w:gridCol w:w="4640"/>
      </w:tblGrid>
      <w:tr>
        <w:trPr>
          <w:trHeight w:val="410" w:hRule="atLeast"/>
        </w:trPr>
        <w:tc>
          <w:tcPr>
            <w:tcW w:w="1209" w:type="dxa"/>
          </w:tcPr>
          <w:p>
            <w:pPr>
              <w:pStyle w:val="TableParagraph"/>
              <w:spacing w:line="266" w:lineRule="exact"/>
              <w:ind w:left="50"/>
              <w:rPr>
                <w:sz w:val="24"/>
              </w:rPr>
            </w:pPr>
            <w:r>
              <w:rPr>
                <w:spacing w:val="-2"/>
                <w:sz w:val="24"/>
              </w:rPr>
              <w:t>e.t.c:</w:t>
            </w:r>
          </w:p>
        </w:tc>
        <w:tc>
          <w:tcPr>
            <w:tcW w:w="4640" w:type="dxa"/>
          </w:tcPr>
          <w:p>
            <w:pPr>
              <w:pStyle w:val="TableParagraph"/>
              <w:spacing w:line="266" w:lineRule="exact"/>
              <w:ind w:left="281"/>
              <w:rPr>
                <w:sz w:val="24"/>
              </w:rPr>
            </w:pPr>
            <w:r>
              <w:rPr>
                <w:spacing w:val="-2"/>
                <w:sz w:val="24"/>
              </w:rPr>
              <w:t>Eccetera</w:t>
            </w:r>
          </w:p>
        </w:tc>
      </w:tr>
      <w:tr>
        <w:trPr>
          <w:trHeight w:val="536" w:hRule="atLeast"/>
        </w:trPr>
        <w:tc>
          <w:tcPr>
            <w:tcW w:w="1209" w:type="dxa"/>
          </w:tcPr>
          <w:p>
            <w:pPr>
              <w:pStyle w:val="TableParagraph"/>
              <w:spacing w:before="134"/>
              <w:ind w:left="50"/>
              <w:rPr>
                <w:sz w:val="24"/>
              </w:rPr>
            </w:pPr>
            <w:r>
              <w:rPr>
                <w:spacing w:val="-4"/>
                <w:sz w:val="24"/>
              </w:rPr>
              <w:t>FDA:</w:t>
            </w:r>
          </w:p>
        </w:tc>
        <w:tc>
          <w:tcPr>
            <w:tcW w:w="4640" w:type="dxa"/>
          </w:tcPr>
          <w:p>
            <w:pPr>
              <w:pStyle w:val="TableParagraph"/>
              <w:spacing w:before="134"/>
              <w:ind w:left="281"/>
              <w:rPr>
                <w:sz w:val="24"/>
              </w:rPr>
            </w:pPr>
            <w:r>
              <w:rPr>
                <w:sz w:val="24"/>
              </w:rPr>
              <w:t>Food</w:t>
            </w:r>
            <w:r>
              <w:rPr>
                <w:spacing w:val="-1"/>
                <w:sz w:val="24"/>
              </w:rPr>
              <w:t> </w:t>
            </w:r>
            <w:r>
              <w:rPr>
                <w:sz w:val="24"/>
              </w:rPr>
              <w:t>and</w:t>
            </w:r>
            <w:r>
              <w:rPr>
                <w:spacing w:val="-1"/>
                <w:sz w:val="24"/>
              </w:rPr>
              <w:t> </w:t>
            </w:r>
            <w:r>
              <w:rPr>
                <w:sz w:val="24"/>
              </w:rPr>
              <w:t>drug</w:t>
            </w:r>
            <w:r>
              <w:rPr>
                <w:spacing w:val="-1"/>
                <w:sz w:val="24"/>
              </w:rPr>
              <w:t> </w:t>
            </w:r>
            <w:r>
              <w:rPr>
                <w:spacing w:val="-2"/>
                <w:sz w:val="24"/>
              </w:rPr>
              <w:t>administration</w:t>
            </w:r>
          </w:p>
        </w:tc>
      </w:tr>
      <w:tr>
        <w:trPr>
          <w:trHeight w:val="517" w:hRule="atLeast"/>
        </w:trPr>
        <w:tc>
          <w:tcPr>
            <w:tcW w:w="1209" w:type="dxa"/>
          </w:tcPr>
          <w:p>
            <w:pPr>
              <w:pStyle w:val="TableParagraph"/>
              <w:spacing w:before="116"/>
              <w:ind w:left="50"/>
              <w:rPr>
                <w:sz w:val="24"/>
              </w:rPr>
            </w:pPr>
            <w:r>
              <w:rPr>
                <w:spacing w:val="-4"/>
                <w:sz w:val="24"/>
              </w:rPr>
              <w:t>FPG:</w:t>
            </w:r>
          </w:p>
        </w:tc>
        <w:tc>
          <w:tcPr>
            <w:tcW w:w="4640" w:type="dxa"/>
          </w:tcPr>
          <w:p>
            <w:pPr>
              <w:pStyle w:val="TableParagraph"/>
              <w:spacing w:before="116"/>
              <w:ind w:left="281"/>
              <w:rPr>
                <w:sz w:val="24"/>
              </w:rPr>
            </w:pPr>
            <w:r>
              <w:rPr>
                <w:sz w:val="24"/>
              </w:rPr>
              <w:t>Fasting</w:t>
            </w:r>
            <w:r>
              <w:rPr>
                <w:spacing w:val="-4"/>
                <w:sz w:val="24"/>
              </w:rPr>
              <w:t> </w:t>
            </w:r>
            <w:r>
              <w:rPr>
                <w:sz w:val="24"/>
              </w:rPr>
              <w:t>plasma</w:t>
            </w:r>
            <w:r>
              <w:rPr>
                <w:spacing w:val="1"/>
                <w:sz w:val="24"/>
              </w:rPr>
              <w:t> </w:t>
            </w:r>
            <w:r>
              <w:rPr>
                <w:spacing w:val="-2"/>
                <w:sz w:val="24"/>
              </w:rPr>
              <w:t>glucose</w:t>
            </w:r>
          </w:p>
        </w:tc>
      </w:tr>
      <w:tr>
        <w:trPr>
          <w:trHeight w:val="517" w:hRule="atLeast"/>
        </w:trPr>
        <w:tc>
          <w:tcPr>
            <w:tcW w:w="1209" w:type="dxa"/>
          </w:tcPr>
          <w:p>
            <w:pPr>
              <w:pStyle w:val="TableParagraph"/>
              <w:spacing w:before="115"/>
              <w:ind w:left="50"/>
              <w:rPr>
                <w:sz w:val="24"/>
              </w:rPr>
            </w:pPr>
            <w:r>
              <w:rPr>
                <w:spacing w:val="-4"/>
                <w:sz w:val="24"/>
              </w:rPr>
              <w:t>GDM:</w:t>
            </w:r>
          </w:p>
        </w:tc>
        <w:tc>
          <w:tcPr>
            <w:tcW w:w="4640" w:type="dxa"/>
          </w:tcPr>
          <w:p>
            <w:pPr>
              <w:pStyle w:val="TableParagraph"/>
              <w:spacing w:before="115"/>
              <w:ind w:left="281"/>
              <w:rPr>
                <w:sz w:val="24"/>
              </w:rPr>
            </w:pPr>
            <w:r>
              <w:rPr>
                <w:sz w:val="24"/>
              </w:rPr>
              <w:t>Gestational</w:t>
            </w:r>
            <w:r>
              <w:rPr>
                <w:spacing w:val="-3"/>
                <w:sz w:val="24"/>
              </w:rPr>
              <w:t> </w:t>
            </w:r>
            <w:r>
              <w:rPr>
                <w:sz w:val="24"/>
              </w:rPr>
              <w:t>diabetes</w:t>
            </w:r>
            <w:r>
              <w:rPr>
                <w:spacing w:val="-2"/>
                <w:sz w:val="24"/>
              </w:rPr>
              <w:t> mellitus</w:t>
            </w:r>
          </w:p>
        </w:tc>
      </w:tr>
      <w:tr>
        <w:trPr>
          <w:trHeight w:val="517" w:hRule="atLeast"/>
        </w:trPr>
        <w:tc>
          <w:tcPr>
            <w:tcW w:w="1209" w:type="dxa"/>
          </w:tcPr>
          <w:p>
            <w:pPr>
              <w:pStyle w:val="TableParagraph"/>
              <w:spacing w:before="116"/>
              <w:ind w:left="50"/>
              <w:rPr>
                <w:sz w:val="24"/>
              </w:rPr>
            </w:pPr>
            <w:r>
              <w:rPr>
                <w:spacing w:val="-4"/>
                <w:sz w:val="24"/>
              </w:rPr>
              <w:t>GFR:</w:t>
            </w:r>
          </w:p>
        </w:tc>
        <w:tc>
          <w:tcPr>
            <w:tcW w:w="4640" w:type="dxa"/>
          </w:tcPr>
          <w:p>
            <w:pPr>
              <w:pStyle w:val="TableParagraph"/>
              <w:spacing w:before="116"/>
              <w:ind w:left="281"/>
              <w:rPr>
                <w:sz w:val="24"/>
              </w:rPr>
            </w:pPr>
            <w:r>
              <w:rPr>
                <w:sz w:val="24"/>
              </w:rPr>
              <w:t>Glomerular</w:t>
            </w:r>
            <w:r>
              <w:rPr>
                <w:spacing w:val="-7"/>
                <w:sz w:val="24"/>
              </w:rPr>
              <w:t> </w:t>
            </w:r>
            <w:r>
              <w:rPr>
                <w:sz w:val="24"/>
              </w:rPr>
              <w:t>filtration</w:t>
            </w:r>
            <w:r>
              <w:rPr>
                <w:spacing w:val="-2"/>
                <w:sz w:val="24"/>
              </w:rPr>
              <w:t> </w:t>
            </w:r>
            <w:r>
              <w:rPr>
                <w:spacing w:val="-4"/>
                <w:sz w:val="24"/>
              </w:rPr>
              <w:t>rate</w:t>
            </w:r>
          </w:p>
        </w:tc>
      </w:tr>
      <w:tr>
        <w:trPr>
          <w:trHeight w:val="517" w:hRule="atLeast"/>
        </w:trPr>
        <w:tc>
          <w:tcPr>
            <w:tcW w:w="1209" w:type="dxa"/>
          </w:tcPr>
          <w:p>
            <w:pPr>
              <w:pStyle w:val="TableParagraph"/>
              <w:spacing w:before="115"/>
              <w:ind w:left="50"/>
              <w:rPr>
                <w:sz w:val="24"/>
              </w:rPr>
            </w:pPr>
            <w:r>
              <w:rPr>
                <w:spacing w:val="-4"/>
                <w:sz w:val="24"/>
              </w:rPr>
              <w:t>GIP:</w:t>
            </w:r>
          </w:p>
        </w:tc>
        <w:tc>
          <w:tcPr>
            <w:tcW w:w="4640" w:type="dxa"/>
          </w:tcPr>
          <w:p>
            <w:pPr>
              <w:pStyle w:val="TableParagraph"/>
              <w:spacing w:before="115"/>
              <w:ind w:left="281"/>
              <w:rPr>
                <w:sz w:val="24"/>
              </w:rPr>
            </w:pPr>
            <w:r>
              <w:rPr>
                <w:sz w:val="24"/>
              </w:rPr>
              <w:t>Gastric</w:t>
            </w:r>
            <w:r>
              <w:rPr>
                <w:spacing w:val="-1"/>
                <w:sz w:val="24"/>
              </w:rPr>
              <w:t> </w:t>
            </w:r>
            <w:r>
              <w:rPr>
                <w:sz w:val="24"/>
              </w:rPr>
              <w:t>inhibitory</w:t>
            </w:r>
            <w:r>
              <w:rPr>
                <w:spacing w:val="-5"/>
                <w:sz w:val="24"/>
              </w:rPr>
              <w:t> </w:t>
            </w:r>
            <w:r>
              <w:rPr>
                <w:spacing w:val="-2"/>
                <w:sz w:val="24"/>
              </w:rPr>
              <w:t>peptides</w:t>
            </w:r>
          </w:p>
        </w:tc>
      </w:tr>
      <w:tr>
        <w:trPr>
          <w:trHeight w:val="517" w:hRule="atLeast"/>
        </w:trPr>
        <w:tc>
          <w:tcPr>
            <w:tcW w:w="1209" w:type="dxa"/>
          </w:tcPr>
          <w:p>
            <w:pPr>
              <w:pStyle w:val="TableParagraph"/>
              <w:spacing w:before="116"/>
              <w:ind w:left="50"/>
              <w:rPr>
                <w:sz w:val="24"/>
              </w:rPr>
            </w:pPr>
            <w:r>
              <w:rPr>
                <w:spacing w:val="-2"/>
                <w:sz w:val="24"/>
              </w:rPr>
              <w:t>GLP-</w:t>
            </w:r>
            <w:r>
              <w:rPr>
                <w:spacing w:val="-5"/>
                <w:sz w:val="24"/>
              </w:rPr>
              <w:t>1:</w:t>
            </w:r>
          </w:p>
        </w:tc>
        <w:tc>
          <w:tcPr>
            <w:tcW w:w="4640" w:type="dxa"/>
          </w:tcPr>
          <w:p>
            <w:pPr>
              <w:pStyle w:val="TableParagraph"/>
              <w:spacing w:before="116"/>
              <w:ind w:left="281"/>
              <w:rPr>
                <w:sz w:val="24"/>
              </w:rPr>
            </w:pPr>
            <w:r>
              <w:rPr>
                <w:sz w:val="24"/>
              </w:rPr>
              <w:t>Glucagon-like</w:t>
            </w:r>
            <w:r>
              <w:rPr>
                <w:spacing w:val="-5"/>
                <w:sz w:val="24"/>
              </w:rPr>
              <w:t> </w:t>
            </w:r>
            <w:r>
              <w:rPr>
                <w:spacing w:val="-2"/>
                <w:sz w:val="24"/>
              </w:rPr>
              <w:t>peptide</w:t>
            </w:r>
          </w:p>
        </w:tc>
      </w:tr>
      <w:tr>
        <w:trPr>
          <w:trHeight w:val="517" w:hRule="atLeast"/>
        </w:trPr>
        <w:tc>
          <w:tcPr>
            <w:tcW w:w="1209" w:type="dxa"/>
          </w:tcPr>
          <w:p>
            <w:pPr>
              <w:pStyle w:val="TableParagraph"/>
              <w:spacing w:before="115"/>
              <w:ind w:left="50"/>
              <w:rPr>
                <w:sz w:val="24"/>
              </w:rPr>
            </w:pPr>
            <w:r>
              <w:rPr>
                <w:spacing w:val="-2"/>
                <w:sz w:val="24"/>
              </w:rPr>
              <w:t>HgA1c:</w:t>
            </w:r>
          </w:p>
        </w:tc>
        <w:tc>
          <w:tcPr>
            <w:tcW w:w="4640" w:type="dxa"/>
          </w:tcPr>
          <w:p>
            <w:pPr>
              <w:pStyle w:val="TableParagraph"/>
              <w:spacing w:before="115"/>
              <w:ind w:left="281"/>
              <w:rPr>
                <w:sz w:val="24"/>
              </w:rPr>
            </w:pPr>
            <w:r>
              <w:rPr>
                <w:spacing w:val="-2"/>
                <w:sz w:val="24"/>
              </w:rPr>
              <w:t>Glycohaemoglobin</w:t>
            </w:r>
          </w:p>
        </w:tc>
      </w:tr>
      <w:tr>
        <w:trPr>
          <w:trHeight w:val="518" w:hRule="atLeast"/>
        </w:trPr>
        <w:tc>
          <w:tcPr>
            <w:tcW w:w="1209" w:type="dxa"/>
          </w:tcPr>
          <w:p>
            <w:pPr>
              <w:pStyle w:val="TableParagraph"/>
              <w:spacing w:before="116"/>
              <w:ind w:left="50"/>
              <w:rPr>
                <w:sz w:val="24"/>
              </w:rPr>
            </w:pPr>
            <w:r>
              <w:rPr>
                <w:spacing w:val="-2"/>
                <w:sz w:val="24"/>
              </w:rPr>
              <w:t>IDDM:</w:t>
            </w:r>
          </w:p>
        </w:tc>
        <w:tc>
          <w:tcPr>
            <w:tcW w:w="4640" w:type="dxa"/>
          </w:tcPr>
          <w:p>
            <w:pPr>
              <w:pStyle w:val="TableParagraph"/>
              <w:spacing w:before="116"/>
              <w:ind w:left="281"/>
              <w:rPr>
                <w:sz w:val="24"/>
              </w:rPr>
            </w:pPr>
            <w:r>
              <w:rPr>
                <w:sz w:val="24"/>
              </w:rPr>
              <w:t>Insulin</w:t>
            </w:r>
            <w:r>
              <w:rPr>
                <w:spacing w:val="-4"/>
                <w:sz w:val="24"/>
              </w:rPr>
              <w:t> </w:t>
            </w:r>
            <w:r>
              <w:rPr>
                <w:sz w:val="24"/>
              </w:rPr>
              <w:t>dependent</w:t>
            </w:r>
            <w:r>
              <w:rPr>
                <w:spacing w:val="-2"/>
                <w:sz w:val="24"/>
              </w:rPr>
              <w:t> </w:t>
            </w:r>
            <w:r>
              <w:rPr>
                <w:sz w:val="24"/>
              </w:rPr>
              <w:t>diabetes</w:t>
            </w:r>
            <w:r>
              <w:rPr>
                <w:spacing w:val="-2"/>
                <w:sz w:val="24"/>
              </w:rPr>
              <w:t> mellitus</w:t>
            </w:r>
          </w:p>
        </w:tc>
      </w:tr>
      <w:tr>
        <w:trPr>
          <w:trHeight w:val="517" w:hRule="atLeast"/>
        </w:trPr>
        <w:tc>
          <w:tcPr>
            <w:tcW w:w="1209" w:type="dxa"/>
          </w:tcPr>
          <w:p>
            <w:pPr>
              <w:pStyle w:val="TableParagraph"/>
              <w:spacing w:before="116"/>
              <w:ind w:left="50"/>
              <w:rPr>
                <w:sz w:val="24"/>
              </w:rPr>
            </w:pPr>
            <w:r>
              <w:rPr>
                <w:spacing w:val="-4"/>
                <w:sz w:val="24"/>
              </w:rPr>
              <w:t>IDF:</w:t>
            </w:r>
          </w:p>
        </w:tc>
        <w:tc>
          <w:tcPr>
            <w:tcW w:w="4640" w:type="dxa"/>
          </w:tcPr>
          <w:p>
            <w:pPr>
              <w:pStyle w:val="TableParagraph"/>
              <w:spacing w:before="116"/>
              <w:ind w:left="281"/>
              <w:rPr>
                <w:sz w:val="24"/>
              </w:rPr>
            </w:pPr>
            <w:r>
              <w:rPr>
                <w:sz w:val="24"/>
              </w:rPr>
              <w:t>International</w:t>
            </w:r>
            <w:r>
              <w:rPr>
                <w:spacing w:val="-3"/>
                <w:sz w:val="24"/>
              </w:rPr>
              <w:t> </w:t>
            </w:r>
            <w:r>
              <w:rPr>
                <w:sz w:val="24"/>
              </w:rPr>
              <w:t>Diabetes</w:t>
            </w:r>
            <w:r>
              <w:rPr>
                <w:spacing w:val="-3"/>
                <w:sz w:val="24"/>
              </w:rPr>
              <w:t> </w:t>
            </w:r>
            <w:r>
              <w:rPr>
                <w:spacing w:val="-2"/>
                <w:sz w:val="24"/>
              </w:rPr>
              <w:t>Federation</w:t>
            </w:r>
          </w:p>
        </w:tc>
      </w:tr>
      <w:tr>
        <w:trPr>
          <w:trHeight w:val="517" w:hRule="atLeast"/>
        </w:trPr>
        <w:tc>
          <w:tcPr>
            <w:tcW w:w="1209" w:type="dxa"/>
          </w:tcPr>
          <w:p>
            <w:pPr>
              <w:pStyle w:val="TableParagraph"/>
              <w:spacing w:before="115"/>
              <w:ind w:left="50"/>
              <w:rPr>
                <w:sz w:val="24"/>
              </w:rPr>
            </w:pPr>
            <w:r>
              <w:rPr>
                <w:spacing w:val="-4"/>
                <w:sz w:val="24"/>
              </w:rPr>
              <w:t>IFG:</w:t>
            </w:r>
          </w:p>
        </w:tc>
        <w:tc>
          <w:tcPr>
            <w:tcW w:w="4640" w:type="dxa"/>
          </w:tcPr>
          <w:p>
            <w:pPr>
              <w:pStyle w:val="TableParagraph"/>
              <w:spacing w:before="115"/>
              <w:ind w:left="281"/>
              <w:rPr>
                <w:sz w:val="24"/>
              </w:rPr>
            </w:pPr>
            <w:r>
              <w:rPr>
                <w:sz w:val="24"/>
              </w:rPr>
              <w:t>Impaired</w:t>
            </w:r>
            <w:r>
              <w:rPr>
                <w:spacing w:val="-3"/>
                <w:sz w:val="24"/>
              </w:rPr>
              <w:t> </w:t>
            </w:r>
            <w:r>
              <w:rPr>
                <w:sz w:val="24"/>
              </w:rPr>
              <w:t>fasting</w:t>
            </w:r>
            <w:r>
              <w:rPr>
                <w:spacing w:val="-2"/>
                <w:sz w:val="24"/>
              </w:rPr>
              <w:t> glucose</w:t>
            </w:r>
          </w:p>
        </w:tc>
      </w:tr>
      <w:tr>
        <w:trPr>
          <w:trHeight w:val="524" w:hRule="atLeast"/>
        </w:trPr>
        <w:tc>
          <w:tcPr>
            <w:tcW w:w="1209" w:type="dxa"/>
          </w:tcPr>
          <w:p>
            <w:pPr>
              <w:pStyle w:val="TableParagraph"/>
              <w:spacing w:before="117"/>
              <w:ind w:left="50"/>
              <w:rPr>
                <w:sz w:val="24"/>
              </w:rPr>
            </w:pPr>
            <w:r>
              <w:rPr>
                <w:spacing w:val="-2"/>
                <w:position w:val="3"/>
                <w:sz w:val="24"/>
              </w:rPr>
              <w:t>K</w:t>
            </w:r>
            <w:r>
              <w:rPr>
                <w:spacing w:val="-2"/>
                <w:sz w:val="16"/>
              </w:rPr>
              <w:t>ATP</w:t>
            </w:r>
            <w:r>
              <w:rPr>
                <w:spacing w:val="-2"/>
                <w:position w:val="3"/>
                <w:sz w:val="24"/>
              </w:rPr>
              <w:t>:</w:t>
            </w:r>
          </w:p>
        </w:tc>
        <w:tc>
          <w:tcPr>
            <w:tcW w:w="4640" w:type="dxa"/>
          </w:tcPr>
          <w:p>
            <w:pPr>
              <w:pStyle w:val="TableParagraph"/>
              <w:spacing w:before="116"/>
              <w:ind w:left="281"/>
              <w:rPr>
                <w:sz w:val="24"/>
              </w:rPr>
            </w:pPr>
            <w:r>
              <w:rPr>
                <w:sz w:val="24"/>
              </w:rPr>
              <w:t>Potassium</w:t>
            </w:r>
            <w:r>
              <w:rPr>
                <w:spacing w:val="-1"/>
                <w:sz w:val="24"/>
              </w:rPr>
              <w:t> </w:t>
            </w:r>
            <w:r>
              <w:rPr>
                <w:sz w:val="24"/>
              </w:rPr>
              <w:t>sensitive</w:t>
            </w:r>
            <w:r>
              <w:rPr>
                <w:spacing w:val="-1"/>
                <w:sz w:val="24"/>
              </w:rPr>
              <w:t> </w:t>
            </w:r>
            <w:r>
              <w:rPr>
                <w:sz w:val="24"/>
              </w:rPr>
              <w:t>adenosine</w:t>
            </w:r>
            <w:r>
              <w:rPr>
                <w:spacing w:val="-1"/>
                <w:sz w:val="24"/>
              </w:rPr>
              <w:t> </w:t>
            </w:r>
            <w:r>
              <w:rPr>
                <w:spacing w:val="-2"/>
                <w:sz w:val="24"/>
              </w:rPr>
              <w:t>triphosphate</w:t>
            </w:r>
          </w:p>
        </w:tc>
      </w:tr>
      <w:tr>
        <w:trPr>
          <w:trHeight w:val="510" w:hRule="atLeast"/>
        </w:trPr>
        <w:tc>
          <w:tcPr>
            <w:tcW w:w="1209" w:type="dxa"/>
          </w:tcPr>
          <w:p>
            <w:pPr>
              <w:pStyle w:val="TableParagraph"/>
              <w:spacing w:before="108"/>
              <w:ind w:left="50"/>
              <w:rPr>
                <w:sz w:val="24"/>
              </w:rPr>
            </w:pPr>
            <w:r>
              <w:rPr>
                <w:spacing w:val="-2"/>
                <w:sz w:val="24"/>
              </w:rPr>
              <w:t>LTCCs:</w:t>
            </w:r>
          </w:p>
        </w:tc>
        <w:tc>
          <w:tcPr>
            <w:tcW w:w="4640" w:type="dxa"/>
          </w:tcPr>
          <w:p>
            <w:pPr>
              <w:pStyle w:val="TableParagraph"/>
              <w:spacing w:before="108"/>
              <w:ind w:left="281"/>
              <w:rPr>
                <w:sz w:val="24"/>
              </w:rPr>
            </w:pPr>
            <w:r>
              <w:rPr>
                <w:sz w:val="24"/>
              </w:rPr>
              <w:t>L-type</w:t>
            </w:r>
            <w:r>
              <w:rPr>
                <w:spacing w:val="-3"/>
                <w:sz w:val="24"/>
              </w:rPr>
              <w:t> </w:t>
            </w:r>
            <w:r>
              <w:rPr>
                <w:sz w:val="24"/>
              </w:rPr>
              <w:t>calcium</w:t>
            </w:r>
            <w:r>
              <w:rPr>
                <w:spacing w:val="-1"/>
                <w:sz w:val="24"/>
              </w:rPr>
              <w:t> </w:t>
            </w:r>
            <w:r>
              <w:rPr>
                <w:spacing w:val="-2"/>
                <w:sz w:val="24"/>
              </w:rPr>
              <w:t>channels</w:t>
            </w:r>
          </w:p>
        </w:tc>
      </w:tr>
      <w:tr>
        <w:trPr>
          <w:trHeight w:val="517" w:hRule="atLeast"/>
        </w:trPr>
        <w:tc>
          <w:tcPr>
            <w:tcW w:w="1209" w:type="dxa"/>
          </w:tcPr>
          <w:p>
            <w:pPr>
              <w:pStyle w:val="TableParagraph"/>
              <w:spacing w:before="116"/>
              <w:ind w:left="50"/>
              <w:rPr>
                <w:sz w:val="24"/>
              </w:rPr>
            </w:pPr>
            <w:r>
              <w:rPr>
                <w:spacing w:val="-5"/>
                <w:sz w:val="24"/>
              </w:rPr>
              <w:t>MW:</w:t>
            </w:r>
          </w:p>
        </w:tc>
        <w:tc>
          <w:tcPr>
            <w:tcW w:w="4640" w:type="dxa"/>
          </w:tcPr>
          <w:p>
            <w:pPr>
              <w:pStyle w:val="TableParagraph"/>
              <w:spacing w:before="116"/>
              <w:ind w:left="281"/>
              <w:rPr>
                <w:sz w:val="24"/>
              </w:rPr>
            </w:pPr>
            <w:r>
              <w:rPr>
                <w:sz w:val="24"/>
              </w:rPr>
              <w:t>Molecular</w:t>
            </w:r>
            <w:r>
              <w:rPr>
                <w:spacing w:val="-4"/>
                <w:sz w:val="24"/>
              </w:rPr>
              <w:t> </w:t>
            </w:r>
            <w:r>
              <w:rPr>
                <w:spacing w:val="-2"/>
                <w:sz w:val="24"/>
              </w:rPr>
              <w:t>weight</w:t>
            </w:r>
          </w:p>
        </w:tc>
      </w:tr>
      <w:tr>
        <w:trPr>
          <w:trHeight w:val="517" w:hRule="atLeast"/>
        </w:trPr>
        <w:tc>
          <w:tcPr>
            <w:tcW w:w="1209" w:type="dxa"/>
          </w:tcPr>
          <w:p>
            <w:pPr>
              <w:pStyle w:val="TableParagraph"/>
              <w:spacing w:before="115"/>
              <w:ind w:left="50"/>
              <w:rPr>
                <w:sz w:val="24"/>
              </w:rPr>
            </w:pPr>
            <w:r>
              <w:rPr>
                <w:spacing w:val="-2"/>
                <w:sz w:val="24"/>
              </w:rPr>
              <w:t>NIDDM:</w:t>
            </w:r>
          </w:p>
        </w:tc>
        <w:tc>
          <w:tcPr>
            <w:tcW w:w="4640" w:type="dxa"/>
          </w:tcPr>
          <w:p>
            <w:pPr>
              <w:pStyle w:val="TableParagraph"/>
              <w:spacing w:before="115"/>
              <w:ind w:left="281"/>
              <w:rPr>
                <w:sz w:val="24"/>
              </w:rPr>
            </w:pPr>
            <w:r>
              <w:rPr>
                <w:sz w:val="24"/>
              </w:rPr>
              <w:t>Non-insulin</w:t>
            </w:r>
            <w:r>
              <w:rPr>
                <w:spacing w:val="-2"/>
                <w:sz w:val="24"/>
              </w:rPr>
              <w:t> </w:t>
            </w:r>
            <w:r>
              <w:rPr>
                <w:sz w:val="24"/>
              </w:rPr>
              <w:t>dependent</w:t>
            </w:r>
            <w:r>
              <w:rPr>
                <w:spacing w:val="-1"/>
                <w:sz w:val="24"/>
              </w:rPr>
              <w:t> </w:t>
            </w:r>
            <w:r>
              <w:rPr>
                <w:sz w:val="24"/>
              </w:rPr>
              <w:t>diabetes</w:t>
            </w:r>
            <w:r>
              <w:rPr>
                <w:spacing w:val="-1"/>
                <w:sz w:val="24"/>
              </w:rPr>
              <w:t> </w:t>
            </w:r>
            <w:r>
              <w:rPr>
                <w:spacing w:val="-2"/>
                <w:sz w:val="24"/>
              </w:rPr>
              <w:t>mellitus</w:t>
            </w:r>
          </w:p>
        </w:tc>
      </w:tr>
      <w:tr>
        <w:trPr>
          <w:trHeight w:val="518" w:hRule="atLeast"/>
        </w:trPr>
        <w:tc>
          <w:tcPr>
            <w:tcW w:w="1209" w:type="dxa"/>
          </w:tcPr>
          <w:p>
            <w:pPr>
              <w:pStyle w:val="TableParagraph"/>
              <w:spacing w:before="116"/>
              <w:ind w:left="50"/>
              <w:rPr>
                <w:sz w:val="24"/>
              </w:rPr>
            </w:pPr>
            <w:r>
              <w:rPr>
                <w:spacing w:val="-2"/>
                <w:sz w:val="24"/>
              </w:rPr>
              <w:t>OGTT:</w:t>
            </w:r>
          </w:p>
        </w:tc>
        <w:tc>
          <w:tcPr>
            <w:tcW w:w="4640" w:type="dxa"/>
          </w:tcPr>
          <w:p>
            <w:pPr>
              <w:pStyle w:val="TableParagraph"/>
              <w:spacing w:before="116"/>
              <w:ind w:left="281"/>
              <w:rPr>
                <w:sz w:val="24"/>
              </w:rPr>
            </w:pPr>
            <w:r>
              <w:rPr>
                <w:sz w:val="24"/>
              </w:rPr>
              <w:t>Oral</w:t>
            </w:r>
            <w:r>
              <w:rPr>
                <w:spacing w:val="-3"/>
                <w:sz w:val="24"/>
              </w:rPr>
              <w:t> </w:t>
            </w:r>
            <w:r>
              <w:rPr>
                <w:sz w:val="24"/>
              </w:rPr>
              <w:t>glucose</w:t>
            </w:r>
            <w:r>
              <w:rPr>
                <w:spacing w:val="-4"/>
                <w:sz w:val="24"/>
              </w:rPr>
              <w:t> </w:t>
            </w:r>
            <w:r>
              <w:rPr>
                <w:sz w:val="24"/>
              </w:rPr>
              <w:t>tolerance</w:t>
            </w:r>
            <w:r>
              <w:rPr>
                <w:spacing w:val="-2"/>
                <w:sz w:val="24"/>
              </w:rPr>
              <w:t> </w:t>
            </w:r>
            <w:r>
              <w:rPr>
                <w:spacing w:val="-4"/>
                <w:sz w:val="24"/>
              </w:rPr>
              <w:t>test</w:t>
            </w:r>
          </w:p>
        </w:tc>
      </w:tr>
      <w:tr>
        <w:trPr>
          <w:trHeight w:val="517" w:hRule="atLeast"/>
        </w:trPr>
        <w:tc>
          <w:tcPr>
            <w:tcW w:w="1209" w:type="dxa"/>
          </w:tcPr>
          <w:p>
            <w:pPr>
              <w:pStyle w:val="TableParagraph"/>
              <w:spacing w:before="116"/>
              <w:ind w:left="50"/>
              <w:rPr>
                <w:sz w:val="24"/>
              </w:rPr>
            </w:pPr>
            <w:r>
              <w:rPr>
                <w:spacing w:val="-2"/>
                <w:sz w:val="24"/>
              </w:rPr>
              <w:t>RAAS:</w:t>
            </w:r>
          </w:p>
        </w:tc>
        <w:tc>
          <w:tcPr>
            <w:tcW w:w="4640" w:type="dxa"/>
          </w:tcPr>
          <w:p>
            <w:pPr>
              <w:pStyle w:val="TableParagraph"/>
              <w:spacing w:before="116"/>
              <w:ind w:left="281"/>
              <w:rPr>
                <w:sz w:val="24"/>
              </w:rPr>
            </w:pPr>
            <w:r>
              <w:rPr>
                <w:sz w:val="24"/>
              </w:rPr>
              <w:t>Renin</w:t>
            </w:r>
            <w:r>
              <w:rPr>
                <w:spacing w:val="-2"/>
                <w:sz w:val="24"/>
              </w:rPr>
              <w:t> </w:t>
            </w:r>
            <w:r>
              <w:rPr>
                <w:sz w:val="24"/>
              </w:rPr>
              <w:t>angiotensin</w:t>
            </w:r>
            <w:r>
              <w:rPr>
                <w:spacing w:val="-1"/>
                <w:sz w:val="24"/>
              </w:rPr>
              <w:t> </w:t>
            </w:r>
            <w:r>
              <w:rPr>
                <w:sz w:val="24"/>
              </w:rPr>
              <w:t>aldosterone</w:t>
            </w:r>
            <w:r>
              <w:rPr>
                <w:spacing w:val="-2"/>
                <w:sz w:val="24"/>
              </w:rPr>
              <w:t> system</w:t>
            </w:r>
          </w:p>
        </w:tc>
      </w:tr>
      <w:tr>
        <w:trPr>
          <w:trHeight w:val="517" w:hRule="atLeast"/>
        </w:trPr>
        <w:tc>
          <w:tcPr>
            <w:tcW w:w="1209" w:type="dxa"/>
          </w:tcPr>
          <w:p>
            <w:pPr>
              <w:pStyle w:val="TableParagraph"/>
              <w:spacing w:before="115"/>
              <w:ind w:left="50"/>
              <w:rPr>
                <w:sz w:val="24"/>
              </w:rPr>
            </w:pPr>
            <w:r>
              <w:rPr>
                <w:spacing w:val="-4"/>
                <w:sz w:val="24"/>
              </w:rPr>
              <w:t>REM:</w:t>
            </w:r>
          </w:p>
        </w:tc>
        <w:tc>
          <w:tcPr>
            <w:tcW w:w="4640" w:type="dxa"/>
          </w:tcPr>
          <w:p>
            <w:pPr>
              <w:pStyle w:val="TableParagraph"/>
              <w:spacing w:before="115"/>
              <w:ind w:left="281"/>
              <w:rPr>
                <w:sz w:val="24"/>
              </w:rPr>
            </w:pPr>
            <w:r>
              <w:rPr>
                <w:sz w:val="24"/>
              </w:rPr>
              <w:t>Rapid</w:t>
            </w:r>
            <w:r>
              <w:rPr>
                <w:spacing w:val="-3"/>
                <w:sz w:val="24"/>
              </w:rPr>
              <w:t> </w:t>
            </w:r>
            <w:r>
              <w:rPr>
                <w:sz w:val="24"/>
              </w:rPr>
              <w:t>eye</w:t>
            </w:r>
            <w:r>
              <w:rPr>
                <w:spacing w:val="-1"/>
                <w:sz w:val="24"/>
              </w:rPr>
              <w:t> </w:t>
            </w:r>
            <w:r>
              <w:rPr>
                <w:spacing w:val="-2"/>
                <w:sz w:val="24"/>
              </w:rPr>
              <w:t>movement</w:t>
            </w:r>
          </w:p>
        </w:tc>
      </w:tr>
      <w:tr>
        <w:trPr>
          <w:trHeight w:val="517" w:hRule="atLeast"/>
        </w:trPr>
        <w:tc>
          <w:tcPr>
            <w:tcW w:w="1209" w:type="dxa"/>
          </w:tcPr>
          <w:p>
            <w:pPr>
              <w:pStyle w:val="TableParagraph"/>
              <w:spacing w:before="116"/>
              <w:ind w:left="50"/>
              <w:rPr>
                <w:sz w:val="24"/>
              </w:rPr>
            </w:pPr>
            <w:r>
              <w:rPr>
                <w:spacing w:val="-4"/>
                <w:sz w:val="24"/>
              </w:rPr>
              <w:t>SCN:</w:t>
            </w:r>
          </w:p>
        </w:tc>
        <w:tc>
          <w:tcPr>
            <w:tcW w:w="4640" w:type="dxa"/>
          </w:tcPr>
          <w:p>
            <w:pPr>
              <w:pStyle w:val="TableParagraph"/>
              <w:spacing w:before="116"/>
              <w:ind w:left="281"/>
              <w:rPr>
                <w:sz w:val="24"/>
              </w:rPr>
            </w:pPr>
            <w:r>
              <w:rPr>
                <w:sz w:val="24"/>
              </w:rPr>
              <w:t>Suprachiasmatic</w:t>
            </w:r>
            <w:r>
              <w:rPr>
                <w:spacing w:val="-5"/>
                <w:sz w:val="24"/>
              </w:rPr>
              <w:t> </w:t>
            </w:r>
            <w:r>
              <w:rPr>
                <w:spacing w:val="-2"/>
                <w:sz w:val="24"/>
              </w:rPr>
              <w:t>nuclei</w:t>
            </w:r>
          </w:p>
        </w:tc>
      </w:tr>
      <w:tr>
        <w:trPr>
          <w:trHeight w:val="517" w:hRule="atLeast"/>
        </w:trPr>
        <w:tc>
          <w:tcPr>
            <w:tcW w:w="1209" w:type="dxa"/>
          </w:tcPr>
          <w:p>
            <w:pPr>
              <w:pStyle w:val="TableParagraph"/>
              <w:spacing w:before="115"/>
              <w:ind w:left="50"/>
              <w:rPr>
                <w:sz w:val="24"/>
              </w:rPr>
            </w:pPr>
            <w:r>
              <w:rPr>
                <w:spacing w:val="-2"/>
                <w:sz w:val="24"/>
              </w:rPr>
              <w:t>T(max):</w:t>
            </w:r>
          </w:p>
        </w:tc>
        <w:tc>
          <w:tcPr>
            <w:tcW w:w="4640" w:type="dxa"/>
          </w:tcPr>
          <w:p>
            <w:pPr>
              <w:pStyle w:val="TableParagraph"/>
              <w:spacing w:before="115"/>
              <w:ind w:left="281"/>
              <w:rPr>
                <w:sz w:val="24"/>
              </w:rPr>
            </w:pPr>
            <w:r>
              <w:rPr>
                <w:sz w:val="24"/>
              </w:rPr>
              <w:t>Time</w:t>
            </w:r>
            <w:r>
              <w:rPr>
                <w:spacing w:val="-1"/>
                <w:sz w:val="24"/>
              </w:rPr>
              <w:t> </w:t>
            </w:r>
            <w:r>
              <w:rPr>
                <w:sz w:val="24"/>
              </w:rPr>
              <w:t>taken</w:t>
            </w:r>
            <w:r>
              <w:rPr>
                <w:spacing w:val="-1"/>
                <w:sz w:val="24"/>
              </w:rPr>
              <w:t> </w:t>
            </w:r>
            <w:r>
              <w:rPr>
                <w:sz w:val="24"/>
              </w:rPr>
              <w:t>to reach</w:t>
            </w:r>
            <w:r>
              <w:rPr>
                <w:spacing w:val="-1"/>
                <w:sz w:val="24"/>
              </w:rPr>
              <w:t> </w:t>
            </w:r>
            <w:r>
              <w:rPr>
                <w:sz w:val="24"/>
              </w:rPr>
              <w:t>maximum </w:t>
            </w:r>
            <w:r>
              <w:rPr>
                <w:spacing w:val="-2"/>
                <w:sz w:val="24"/>
              </w:rPr>
              <w:t>concentration</w:t>
            </w:r>
          </w:p>
        </w:tc>
      </w:tr>
      <w:tr>
        <w:trPr>
          <w:trHeight w:val="524" w:hRule="atLeast"/>
        </w:trPr>
        <w:tc>
          <w:tcPr>
            <w:tcW w:w="1209" w:type="dxa"/>
          </w:tcPr>
          <w:p>
            <w:pPr>
              <w:pStyle w:val="TableParagraph"/>
              <w:spacing w:before="117"/>
              <w:ind w:left="50"/>
              <w:rPr>
                <w:sz w:val="24"/>
              </w:rPr>
            </w:pPr>
            <w:r>
              <w:rPr>
                <w:spacing w:val="-2"/>
                <w:position w:val="3"/>
                <w:sz w:val="24"/>
              </w:rPr>
              <w:t>T</w:t>
            </w:r>
            <w:r>
              <w:rPr>
                <w:spacing w:val="-2"/>
                <w:sz w:val="16"/>
              </w:rPr>
              <w:t>1/2</w:t>
            </w:r>
            <w:r>
              <w:rPr>
                <w:spacing w:val="-2"/>
                <w:position w:val="3"/>
                <w:sz w:val="24"/>
              </w:rPr>
              <w:t>:</w:t>
            </w:r>
          </w:p>
        </w:tc>
        <w:tc>
          <w:tcPr>
            <w:tcW w:w="4640" w:type="dxa"/>
          </w:tcPr>
          <w:p>
            <w:pPr>
              <w:pStyle w:val="TableParagraph"/>
              <w:spacing w:before="116"/>
              <w:ind w:left="281"/>
              <w:rPr>
                <w:sz w:val="24"/>
              </w:rPr>
            </w:pPr>
            <w:r>
              <w:rPr>
                <w:spacing w:val="-2"/>
                <w:sz w:val="24"/>
              </w:rPr>
              <w:t>Half-</w:t>
            </w:r>
            <w:r>
              <w:rPr>
                <w:spacing w:val="-4"/>
                <w:sz w:val="24"/>
              </w:rPr>
              <w:t>life</w:t>
            </w:r>
          </w:p>
        </w:tc>
      </w:tr>
      <w:tr>
        <w:trPr>
          <w:trHeight w:val="510" w:hRule="atLeast"/>
        </w:trPr>
        <w:tc>
          <w:tcPr>
            <w:tcW w:w="1209" w:type="dxa"/>
          </w:tcPr>
          <w:p>
            <w:pPr>
              <w:pStyle w:val="TableParagraph"/>
              <w:spacing w:before="108"/>
              <w:ind w:left="50"/>
              <w:rPr>
                <w:sz w:val="24"/>
              </w:rPr>
            </w:pPr>
            <w:r>
              <w:rPr>
                <w:spacing w:val="-2"/>
                <w:sz w:val="24"/>
              </w:rPr>
              <w:t>T1DM:</w:t>
            </w:r>
          </w:p>
        </w:tc>
        <w:tc>
          <w:tcPr>
            <w:tcW w:w="4640" w:type="dxa"/>
          </w:tcPr>
          <w:p>
            <w:pPr>
              <w:pStyle w:val="TableParagraph"/>
              <w:spacing w:before="108"/>
              <w:ind w:left="281"/>
              <w:rPr>
                <w:sz w:val="24"/>
              </w:rPr>
            </w:pPr>
            <w:r>
              <w:rPr>
                <w:sz w:val="24"/>
              </w:rPr>
              <w:t>Type</w:t>
            </w:r>
            <w:r>
              <w:rPr>
                <w:spacing w:val="-3"/>
                <w:sz w:val="24"/>
              </w:rPr>
              <w:t> </w:t>
            </w:r>
            <w:r>
              <w:rPr>
                <w:sz w:val="24"/>
              </w:rPr>
              <w:t>1</w:t>
            </w:r>
            <w:r>
              <w:rPr>
                <w:spacing w:val="-1"/>
                <w:sz w:val="24"/>
              </w:rPr>
              <w:t> </w:t>
            </w:r>
            <w:r>
              <w:rPr>
                <w:sz w:val="24"/>
              </w:rPr>
              <w:t>diabetes</w:t>
            </w:r>
            <w:r>
              <w:rPr>
                <w:spacing w:val="-1"/>
                <w:sz w:val="24"/>
              </w:rPr>
              <w:t> </w:t>
            </w:r>
            <w:r>
              <w:rPr>
                <w:spacing w:val="-2"/>
                <w:sz w:val="24"/>
              </w:rPr>
              <w:t>mellitus</w:t>
            </w:r>
          </w:p>
        </w:tc>
      </w:tr>
      <w:tr>
        <w:trPr>
          <w:trHeight w:val="518" w:hRule="atLeast"/>
        </w:trPr>
        <w:tc>
          <w:tcPr>
            <w:tcW w:w="1209" w:type="dxa"/>
          </w:tcPr>
          <w:p>
            <w:pPr>
              <w:pStyle w:val="TableParagraph"/>
              <w:spacing w:before="116"/>
              <w:ind w:left="50"/>
              <w:rPr>
                <w:sz w:val="24"/>
              </w:rPr>
            </w:pPr>
            <w:r>
              <w:rPr>
                <w:spacing w:val="-2"/>
                <w:sz w:val="24"/>
              </w:rPr>
              <w:t>T2DM:</w:t>
            </w:r>
          </w:p>
        </w:tc>
        <w:tc>
          <w:tcPr>
            <w:tcW w:w="4640" w:type="dxa"/>
          </w:tcPr>
          <w:p>
            <w:pPr>
              <w:pStyle w:val="TableParagraph"/>
              <w:spacing w:before="116"/>
              <w:ind w:left="281"/>
              <w:rPr>
                <w:sz w:val="24"/>
              </w:rPr>
            </w:pPr>
            <w:r>
              <w:rPr>
                <w:sz w:val="24"/>
              </w:rPr>
              <w:t>Type</w:t>
            </w:r>
            <w:r>
              <w:rPr>
                <w:spacing w:val="-3"/>
                <w:sz w:val="24"/>
              </w:rPr>
              <w:t> </w:t>
            </w:r>
            <w:r>
              <w:rPr>
                <w:sz w:val="24"/>
              </w:rPr>
              <w:t>2</w:t>
            </w:r>
            <w:r>
              <w:rPr>
                <w:spacing w:val="-1"/>
                <w:sz w:val="24"/>
              </w:rPr>
              <w:t> </w:t>
            </w:r>
            <w:r>
              <w:rPr>
                <w:sz w:val="24"/>
              </w:rPr>
              <w:t>diabetes</w:t>
            </w:r>
            <w:r>
              <w:rPr>
                <w:spacing w:val="-1"/>
                <w:sz w:val="24"/>
              </w:rPr>
              <w:t> </w:t>
            </w:r>
            <w:r>
              <w:rPr>
                <w:spacing w:val="-2"/>
                <w:sz w:val="24"/>
              </w:rPr>
              <w:t>mellitus</w:t>
            </w:r>
          </w:p>
        </w:tc>
      </w:tr>
      <w:tr>
        <w:trPr>
          <w:trHeight w:val="392" w:hRule="atLeast"/>
        </w:trPr>
        <w:tc>
          <w:tcPr>
            <w:tcW w:w="1209" w:type="dxa"/>
          </w:tcPr>
          <w:p>
            <w:pPr>
              <w:pStyle w:val="TableParagraph"/>
              <w:spacing w:line="256" w:lineRule="exact" w:before="116"/>
              <w:ind w:left="50"/>
              <w:rPr>
                <w:sz w:val="24"/>
              </w:rPr>
            </w:pPr>
            <w:r>
              <w:rPr>
                <w:spacing w:val="-4"/>
                <w:sz w:val="24"/>
              </w:rPr>
              <w:t>WHO:</w:t>
            </w:r>
          </w:p>
        </w:tc>
        <w:tc>
          <w:tcPr>
            <w:tcW w:w="4640" w:type="dxa"/>
          </w:tcPr>
          <w:p>
            <w:pPr>
              <w:pStyle w:val="TableParagraph"/>
              <w:spacing w:line="256" w:lineRule="exact" w:before="116"/>
              <w:ind w:left="281"/>
              <w:rPr>
                <w:sz w:val="24"/>
              </w:rPr>
            </w:pPr>
            <w:r>
              <w:rPr>
                <w:sz w:val="24"/>
              </w:rPr>
              <w:t>World</w:t>
            </w:r>
            <w:r>
              <w:rPr>
                <w:spacing w:val="-1"/>
                <w:sz w:val="24"/>
              </w:rPr>
              <w:t> </w:t>
            </w:r>
            <w:r>
              <w:rPr>
                <w:sz w:val="24"/>
              </w:rPr>
              <w:t>Health</w:t>
            </w:r>
            <w:r>
              <w:rPr>
                <w:spacing w:val="-1"/>
                <w:sz w:val="24"/>
              </w:rPr>
              <w:t> </w:t>
            </w:r>
            <w:r>
              <w:rPr>
                <w:spacing w:val="-2"/>
                <w:sz w:val="24"/>
              </w:rPr>
              <w:t>Organization</w:t>
            </w:r>
          </w:p>
        </w:tc>
      </w:tr>
    </w:tbl>
    <w:p>
      <w:pPr>
        <w:spacing w:after="0" w:line="256" w:lineRule="exact"/>
        <w:rPr>
          <w:sz w:val="24"/>
        </w:rPr>
        <w:sectPr>
          <w:pgSz w:w="12240" w:h="15840"/>
          <w:pgMar w:header="0" w:footer="1015" w:top="1420" w:bottom="1200" w:left="1720" w:right="300"/>
        </w:sectPr>
      </w:pPr>
    </w:p>
    <w:p>
      <w:pPr>
        <w:pStyle w:val="Heading1"/>
        <w:ind w:left="960"/>
      </w:pPr>
      <w:bookmarkStart w:name="_TOC_250071" w:id="10"/>
      <w:bookmarkEnd w:id="10"/>
      <w:r>
        <w:rPr>
          <w:spacing w:val="-2"/>
        </w:rPr>
        <w:t>ABSTRACT</w:t>
      </w:r>
    </w:p>
    <w:p>
      <w:pPr>
        <w:pStyle w:val="BodyText"/>
        <w:spacing w:line="480" w:lineRule="auto" w:before="272"/>
        <w:ind w:left="296" w:right="1131"/>
        <w:jc w:val="both"/>
      </w:pPr>
      <w:r>
        <w:rPr/>
        <w:t>Diabetic complications pose increasing public health problems worldwide. Glimepiride, a sulphonylurea is among the most frequently used anti-diabetic drugs, and is often</w:t>
      </w:r>
      <w:r>
        <w:rPr>
          <w:spacing w:val="40"/>
        </w:rPr>
        <w:t> </w:t>
      </w:r>
      <w:r>
        <w:rPr/>
        <w:t>combined with other drugs for the management of type 2 diabetes mellitus. Nifedipine, a calcium channel blocker is recommended for its role in mitigating microvascular complications</w:t>
      </w:r>
      <w:r>
        <w:rPr>
          <w:spacing w:val="-3"/>
        </w:rPr>
        <w:t> </w:t>
      </w:r>
      <w:r>
        <w:rPr/>
        <w:t>especially</w:t>
      </w:r>
      <w:r>
        <w:rPr>
          <w:spacing w:val="-6"/>
        </w:rPr>
        <w:t> </w:t>
      </w:r>
      <w:r>
        <w:rPr/>
        <w:t>in</w:t>
      </w:r>
      <w:r>
        <w:rPr>
          <w:spacing w:val="-3"/>
        </w:rPr>
        <w:t> </w:t>
      </w:r>
      <w:r>
        <w:rPr/>
        <w:t>delaying</w:t>
      </w:r>
      <w:r>
        <w:rPr>
          <w:spacing w:val="-3"/>
        </w:rPr>
        <w:t> </w:t>
      </w:r>
      <w:r>
        <w:rPr/>
        <w:t>the</w:t>
      </w:r>
      <w:r>
        <w:rPr>
          <w:spacing w:val="-3"/>
        </w:rPr>
        <w:t> </w:t>
      </w:r>
      <w:r>
        <w:rPr/>
        <w:t>onset</w:t>
      </w:r>
      <w:r>
        <w:rPr>
          <w:spacing w:val="-3"/>
        </w:rPr>
        <w:t> </w:t>
      </w:r>
      <w:r>
        <w:rPr/>
        <w:t>of</w:t>
      </w:r>
      <w:r>
        <w:rPr>
          <w:spacing w:val="-3"/>
        </w:rPr>
        <w:t> </w:t>
      </w:r>
      <w:r>
        <w:rPr/>
        <w:t>diabetic</w:t>
      </w:r>
      <w:r>
        <w:rPr>
          <w:spacing w:val="-4"/>
        </w:rPr>
        <w:t> </w:t>
      </w:r>
      <w:r>
        <w:rPr/>
        <w:t>nephropathy. Interaction</w:t>
      </w:r>
      <w:r>
        <w:rPr>
          <w:spacing w:val="-3"/>
        </w:rPr>
        <w:t> </w:t>
      </w:r>
      <w:r>
        <w:rPr/>
        <w:t>between both drugs leads to regimen failure when simultaneously administered. However, established diurnal variation in nifedipine pharmacokinetics can ameliorate the benefits of nifedipine-glimepiride co-administration. This study investigates the effect of 21-day chronomodulated nifedipine administration on glycaemic control and microvascular complications in glimepiride-treated streptozotocin-induced hyperglycaemic rats. All animals were treated daily per oral. Fasting and random blood glucose were assessed on days 0, 3, 7, 14, 21, and days 0, 6, 10, 13 20 respectively. Peripheral neuropathy was evaluated using the paw pressure and tail immersion tests on days 7, 14 and 21. At the end of drug treatment, nephropathy and retinopathy were evaluated by determining levels of some serum renal and ocular markers; in addition to histological assessment of the kidney and retina. Administration of glimepiride alone at 8 pm significantly (</w:t>
      </w:r>
      <w:r>
        <w:rPr>
          <w:i/>
        </w:rPr>
        <w:t>p</w:t>
      </w:r>
      <w:r>
        <w:rPr/>
        <w:t>&lt;0.01) reduced blood glucose levels on days 7, 14 and 21 when compared to initial values but had no significant effect on outcome of microvascular complications. Concurrent administration</w:t>
      </w:r>
      <w:r>
        <w:rPr>
          <w:spacing w:val="40"/>
        </w:rPr>
        <w:t> </w:t>
      </w:r>
      <w:r>
        <w:rPr/>
        <w:t>of glimepiride and nifedipine at 8 pm impaired glycaemic control and exacerbated microvascular complications. In contrast, treatment with glimepiride at 8 pm and</w:t>
      </w:r>
      <w:r>
        <w:rPr>
          <w:spacing w:val="40"/>
        </w:rPr>
        <w:t> </w:t>
      </w:r>
      <w:r>
        <w:rPr/>
        <w:t>nifedipine at 8 am significantly (</w:t>
      </w:r>
      <w:r>
        <w:rPr>
          <w:i/>
        </w:rPr>
        <w:t>p</w:t>
      </w:r>
      <w:r>
        <w:rPr/>
        <w:t>&lt;0.01) improved glycaemic control in a manner similar</w:t>
      </w:r>
      <w:r>
        <w:rPr>
          <w:spacing w:val="40"/>
        </w:rPr>
        <w:t> </w:t>
      </w:r>
      <w:r>
        <w:rPr/>
        <w:t>to</w:t>
      </w:r>
      <w:r>
        <w:rPr>
          <w:spacing w:val="13"/>
        </w:rPr>
        <w:t> </w:t>
      </w:r>
      <w:r>
        <w:rPr/>
        <w:t>the</w:t>
      </w:r>
      <w:r>
        <w:rPr>
          <w:spacing w:val="15"/>
        </w:rPr>
        <w:t> </w:t>
      </w:r>
      <w:r>
        <w:rPr/>
        <w:t>group</w:t>
      </w:r>
      <w:r>
        <w:rPr>
          <w:spacing w:val="13"/>
        </w:rPr>
        <w:t> </w:t>
      </w:r>
      <w:r>
        <w:rPr/>
        <w:t>treated</w:t>
      </w:r>
      <w:r>
        <w:rPr>
          <w:spacing w:val="15"/>
        </w:rPr>
        <w:t> </w:t>
      </w:r>
      <w:r>
        <w:rPr/>
        <w:t>with</w:t>
      </w:r>
      <w:r>
        <w:rPr>
          <w:spacing w:val="14"/>
        </w:rPr>
        <w:t> </w:t>
      </w:r>
      <w:r>
        <w:rPr/>
        <w:t>glimepiride</w:t>
      </w:r>
      <w:r>
        <w:rPr>
          <w:spacing w:val="14"/>
        </w:rPr>
        <w:t> </w:t>
      </w:r>
      <w:r>
        <w:rPr/>
        <w:t>alone</w:t>
      </w:r>
      <w:r>
        <w:rPr>
          <w:spacing w:val="16"/>
        </w:rPr>
        <w:t> </w:t>
      </w:r>
      <w:r>
        <w:rPr/>
        <w:t>at</w:t>
      </w:r>
      <w:r>
        <w:rPr>
          <w:spacing w:val="13"/>
        </w:rPr>
        <w:t> </w:t>
      </w:r>
      <w:r>
        <w:rPr/>
        <w:t>8</w:t>
      </w:r>
      <w:r>
        <w:rPr>
          <w:spacing w:val="14"/>
        </w:rPr>
        <w:t> </w:t>
      </w:r>
      <w:r>
        <w:rPr/>
        <w:t>pm.</w:t>
      </w:r>
      <w:r>
        <w:rPr>
          <w:spacing w:val="13"/>
        </w:rPr>
        <w:t> </w:t>
      </w:r>
      <w:r>
        <w:rPr/>
        <w:t>The</w:t>
      </w:r>
      <w:r>
        <w:rPr>
          <w:spacing w:val="12"/>
        </w:rPr>
        <w:t> </w:t>
      </w:r>
      <w:r>
        <w:rPr/>
        <w:t>paw</w:t>
      </w:r>
      <w:r>
        <w:rPr>
          <w:spacing w:val="14"/>
        </w:rPr>
        <w:t> </w:t>
      </w:r>
      <w:r>
        <w:rPr/>
        <w:t>pressure</w:t>
      </w:r>
      <w:r>
        <w:rPr>
          <w:spacing w:val="14"/>
        </w:rPr>
        <w:t> </w:t>
      </w:r>
      <w:r>
        <w:rPr/>
        <w:t>and</w:t>
      </w:r>
      <w:r>
        <w:rPr>
          <w:spacing w:val="13"/>
        </w:rPr>
        <w:t> </w:t>
      </w:r>
      <w:r>
        <w:rPr/>
        <w:t>tail</w:t>
      </w:r>
      <w:r>
        <w:rPr>
          <w:spacing w:val="14"/>
        </w:rPr>
        <w:t> </w:t>
      </w:r>
      <w:r>
        <w:rPr>
          <w:spacing w:val="-2"/>
        </w:rPr>
        <w:t>immersion</w:t>
      </w:r>
    </w:p>
    <w:p>
      <w:pPr>
        <w:spacing w:after="0" w:line="480" w:lineRule="auto"/>
        <w:jc w:val="both"/>
        <w:sectPr>
          <w:pgSz w:w="12240" w:h="15840"/>
          <w:pgMar w:header="0" w:footer="1015" w:top="1360" w:bottom="1200" w:left="1720" w:right="300"/>
        </w:sectPr>
      </w:pPr>
    </w:p>
    <w:p>
      <w:pPr>
        <w:pStyle w:val="BodyText"/>
        <w:spacing w:line="480" w:lineRule="auto" w:before="72"/>
        <w:ind w:left="296" w:right="1132"/>
        <w:jc w:val="both"/>
      </w:pPr>
      <w:r>
        <w:rPr/>
        <w:t>tests showed significant (</w:t>
      </w:r>
      <w:r>
        <w:rPr>
          <w:i/>
        </w:rPr>
        <w:t>p</w:t>
      </w:r>
      <w:r>
        <w:rPr/>
        <w:t>&lt;0.05) increase in paw withdrawal latency and mean reaction time respectively on days 14 and 21 in comparison to values on day 7, indicating amelioration in peripheral neuropathy. The serum protein and albumin levels were significantly (</w:t>
      </w:r>
      <w:r>
        <w:rPr>
          <w:i/>
        </w:rPr>
        <w:t>p</w:t>
      </w:r>
      <w:r>
        <w:rPr/>
        <w:t>&lt;0.05) higher in this group when compared with diabetic controls. The serum urea levels and relative kidney weights were also significantly (</w:t>
      </w:r>
      <w:r>
        <w:rPr>
          <w:i/>
        </w:rPr>
        <w:t>p</w:t>
      </w:r>
      <w:r>
        <w:rPr/>
        <w:t>&lt;0.05) lower when compared to the diabetic control. These indicate improvement in the prognosis of nephropathy. Similarly, the serum triglyceride and cholesterol levels were significantly (</w:t>
      </w:r>
      <w:r>
        <w:rPr>
          <w:i/>
        </w:rPr>
        <w:t>p</w:t>
      </w:r>
      <w:r>
        <w:rPr/>
        <w:t>&lt;0.05) lower when compared to the diabetic control. Also, the serum magnesium level was significantly (</w:t>
      </w:r>
      <w:r>
        <w:rPr>
          <w:i/>
        </w:rPr>
        <w:t>p</w:t>
      </w:r>
      <w:r>
        <w:rPr/>
        <w:t>&lt;0.05) higher when compared to diabetic control. This indicates protection against retinopathy and is supported by histological findings where photomicrograph of the retina shows normal features similar to non-diabetic control. The findings from this study suggest that diurnal variation in pharmacokinetics can be effectively used to advantage, resulting in glimepiride and nifedipine being successfully</w:t>
      </w:r>
      <w:r>
        <w:rPr>
          <w:spacing w:val="40"/>
        </w:rPr>
        <w:t> </w:t>
      </w:r>
      <w:r>
        <w:rPr/>
        <w:t>co-administered without losing the glucose lowering benefits of glimepiride, while simultaneously delaying the progression and improving prognosis of microvascular </w:t>
      </w:r>
      <w:r>
        <w:rPr>
          <w:spacing w:val="-2"/>
        </w:rPr>
        <w:t>complications.</w:t>
      </w:r>
    </w:p>
    <w:p>
      <w:pPr>
        <w:spacing w:after="0" w:line="480" w:lineRule="auto"/>
        <w:jc w:val="both"/>
        <w:sectPr>
          <w:pgSz w:w="12240" w:h="15840"/>
          <w:pgMar w:header="0" w:footer="1015" w:top="1360" w:bottom="1200" w:left="1720" w:right="300"/>
        </w:sectPr>
      </w:pPr>
    </w:p>
    <w:p>
      <w:pPr>
        <w:pStyle w:val="Heading1"/>
        <w:ind w:left="957"/>
      </w:pPr>
      <w:bookmarkStart w:name="_TOC_250070" w:id="11"/>
      <w:r>
        <w:rPr/>
        <w:t>CHAPTER</w:t>
      </w:r>
      <w:r>
        <w:rPr>
          <w:spacing w:val="-4"/>
        </w:rPr>
        <w:t> </w:t>
      </w:r>
      <w:bookmarkEnd w:id="11"/>
      <w:r>
        <w:rPr>
          <w:spacing w:val="-5"/>
        </w:rPr>
        <w:t>ONE</w:t>
      </w:r>
    </w:p>
    <w:p>
      <w:pPr>
        <w:pStyle w:val="BodyText"/>
        <w:spacing w:before="1"/>
        <w:rPr>
          <w:b/>
        </w:rPr>
      </w:pPr>
    </w:p>
    <w:p>
      <w:pPr>
        <w:pStyle w:val="Heading2"/>
        <w:numPr>
          <w:ilvl w:val="1"/>
          <w:numId w:val="11"/>
        </w:numPr>
        <w:tabs>
          <w:tab w:pos="4393" w:val="left" w:leader="none"/>
        </w:tabs>
        <w:spacing w:line="240" w:lineRule="auto" w:before="0" w:after="0"/>
        <w:ind w:left="4393" w:right="0" w:hanging="720"/>
        <w:jc w:val="both"/>
      </w:pPr>
      <w:bookmarkStart w:name="_TOC_250069" w:id="12"/>
      <w:bookmarkEnd w:id="12"/>
      <w:r>
        <w:rPr>
          <w:spacing w:val="-2"/>
        </w:rPr>
        <w:t>Introduction</w:t>
      </w:r>
    </w:p>
    <w:p>
      <w:pPr>
        <w:pStyle w:val="BodyText"/>
        <w:rPr>
          <w:b/>
        </w:rPr>
      </w:pPr>
    </w:p>
    <w:p>
      <w:pPr>
        <w:pStyle w:val="Heading2"/>
        <w:numPr>
          <w:ilvl w:val="1"/>
          <w:numId w:val="11"/>
        </w:numPr>
        <w:tabs>
          <w:tab w:pos="4415" w:val="left" w:leader="none"/>
        </w:tabs>
        <w:spacing w:line="240" w:lineRule="auto" w:before="0" w:after="0"/>
        <w:ind w:left="4415" w:right="0" w:hanging="720"/>
        <w:jc w:val="both"/>
      </w:pPr>
      <w:bookmarkStart w:name="_TOC_250068" w:id="13"/>
      <w:bookmarkEnd w:id="13"/>
      <w:r>
        <w:rPr>
          <w:spacing w:val="-2"/>
        </w:rPr>
        <w:t>Background</w:t>
      </w:r>
    </w:p>
    <w:p>
      <w:pPr>
        <w:pStyle w:val="BodyText"/>
        <w:spacing w:line="480" w:lineRule="auto" w:before="271"/>
        <w:ind w:left="296" w:right="1136"/>
        <w:jc w:val="both"/>
      </w:pPr>
      <w:r>
        <w:rPr/>
        <w:t>Circadian rhythm is any biological process that displays an endogenous (“built in”, self sustained) and entrainable (can be adjusted or reset) oscillation of about twenty-four hours (Halberg</w:t>
      </w:r>
      <w:r>
        <w:rPr>
          <w:spacing w:val="-3"/>
        </w:rPr>
        <w:t> </w:t>
      </w:r>
      <w:r>
        <w:rPr>
          <w:i/>
        </w:rPr>
        <w:t>et</w:t>
      </w:r>
      <w:r>
        <w:rPr>
          <w:i/>
          <w:spacing w:val="-3"/>
        </w:rPr>
        <w:t> </w:t>
      </w:r>
      <w:r>
        <w:rPr>
          <w:i/>
        </w:rPr>
        <w:t>al</w:t>
      </w:r>
      <w:r>
        <w:rPr/>
        <w:t>.,</w:t>
      </w:r>
      <w:r>
        <w:rPr>
          <w:spacing w:val="-1"/>
        </w:rPr>
        <w:t> </w:t>
      </w:r>
      <w:r>
        <w:rPr/>
        <w:t>2003).</w:t>
      </w:r>
      <w:r>
        <w:rPr>
          <w:spacing w:val="-3"/>
        </w:rPr>
        <w:t> </w:t>
      </w:r>
      <w:r>
        <w:rPr/>
        <w:t>These</w:t>
      </w:r>
      <w:r>
        <w:rPr>
          <w:spacing w:val="-4"/>
        </w:rPr>
        <w:t> </w:t>
      </w:r>
      <w:r>
        <w:rPr/>
        <w:t>rhythms</w:t>
      </w:r>
      <w:r>
        <w:rPr>
          <w:spacing w:val="-1"/>
        </w:rPr>
        <w:t> </w:t>
      </w:r>
      <w:r>
        <w:rPr/>
        <w:t>are</w:t>
      </w:r>
      <w:r>
        <w:rPr>
          <w:spacing w:val="-3"/>
        </w:rPr>
        <w:t> </w:t>
      </w:r>
      <w:r>
        <w:rPr/>
        <w:t>driven by</w:t>
      </w:r>
      <w:r>
        <w:rPr>
          <w:spacing w:val="-6"/>
        </w:rPr>
        <w:t> </w:t>
      </w:r>
      <w:r>
        <w:rPr/>
        <w:t>a</w:t>
      </w:r>
      <w:r>
        <w:rPr>
          <w:spacing w:val="-2"/>
        </w:rPr>
        <w:t> </w:t>
      </w:r>
      <w:r>
        <w:rPr/>
        <w:t>circadian</w:t>
      </w:r>
      <w:r>
        <w:rPr>
          <w:spacing w:val="-3"/>
        </w:rPr>
        <w:t> </w:t>
      </w:r>
      <w:r>
        <w:rPr/>
        <w:t>clock</w:t>
      </w:r>
      <w:r>
        <w:rPr>
          <w:spacing w:val="-3"/>
        </w:rPr>
        <w:t> </w:t>
      </w:r>
      <w:r>
        <w:rPr/>
        <w:t>and have</w:t>
      </w:r>
      <w:r>
        <w:rPr>
          <w:spacing w:val="-4"/>
        </w:rPr>
        <w:t> </w:t>
      </w:r>
      <w:r>
        <w:rPr/>
        <w:t>been</w:t>
      </w:r>
      <w:r>
        <w:rPr>
          <w:spacing w:val="-1"/>
        </w:rPr>
        <w:t> </w:t>
      </w:r>
      <w:r>
        <w:rPr/>
        <w:t>widely observed in plants, animals, fungi and cyanobacteria. The term circadian comes from the Latin word “</w:t>
      </w:r>
      <w:r>
        <w:rPr>
          <w:i/>
        </w:rPr>
        <w:t>circa</w:t>
      </w:r>
      <w:r>
        <w:rPr/>
        <w:t>” meaning “around” (or “approximately”) and “</w:t>
      </w:r>
      <w:r>
        <w:rPr>
          <w:i/>
        </w:rPr>
        <w:t>diem</w:t>
      </w:r>
      <w:r>
        <w:rPr/>
        <w:t>” or “</w:t>
      </w:r>
      <w:r>
        <w:rPr>
          <w:i/>
        </w:rPr>
        <w:t>dies</w:t>
      </w:r>
      <w:r>
        <w:rPr/>
        <w:t>” meaning “day” (Carskadon </w:t>
      </w:r>
      <w:r>
        <w:rPr>
          <w:i/>
        </w:rPr>
        <w:t>et al., </w:t>
      </w:r>
      <w:r>
        <w:rPr/>
        <w:t>1999).</w:t>
      </w:r>
    </w:p>
    <w:p>
      <w:pPr>
        <w:pStyle w:val="BodyText"/>
      </w:pPr>
    </w:p>
    <w:p>
      <w:pPr>
        <w:pStyle w:val="BodyText"/>
        <w:spacing w:before="1"/>
      </w:pPr>
    </w:p>
    <w:p>
      <w:pPr>
        <w:pStyle w:val="BodyText"/>
        <w:spacing w:line="480" w:lineRule="auto"/>
        <w:ind w:left="296" w:right="1136"/>
        <w:jc w:val="both"/>
      </w:pPr>
      <w:r>
        <w:rPr/>
        <w:t>The body’s primary circadian clock resides deep in the hypothalamus, in the suprachiasmatic nuclei (SCN), though other local clocks are also found in tissues and organs</w:t>
      </w:r>
      <w:r>
        <w:rPr>
          <w:spacing w:val="-1"/>
        </w:rPr>
        <w:t> </w:t>
      </w:r>
      <w:r>
        <w:rPr/>
        <w:t>throughout</w:t>
      </w:r>
      <w:r>
        <w:rPr>
          <w:spacing w:val="-1"/>
        </w:rPr>
        <w:t> </w:t>
      </w:r>
      <w:r>
        <w:rPr/>
        <w:t>the</w:t>
      </w:r>
      <w:r>
        <w:rPr>
          <w:spacing w:val="-2"/>
        </w:rPr>
        <w:t> </w:t>
      </w:r>
      <w:r>
        <w:rPr/>
        <w:t>body,</w:t>
      </w:r>
      <w:r>
        <w:rPr>
          <w:spacing w:val="-1"/>
        </w:rPr>
        <w:t> </w:t>
      </w:r>
      <w:r>
        <w:rPr/>
        <w:t>including</w:t>
      </w:r>
      <w:r>
        <w:rPr>
          <w:spacing w:val="-4"/>
        </w:rPr>
        <w:t> </w:t>
      </w:r>
      <w:r>
        <w:rPr/>
        <w:t>the</w:t>
      </w:r>
      <w:r>
        <w:rPr>
          <w:spacing w:val="-2"/>
        </w:rPr>
        <w:t> </w:t>
      </w:r>
      <w:r>
        <w:rPr/>
        <w:t>pancreas,</w:t>
      </w:r>
      <w:r>
        <w:rPr>
          <w:spacing w:val="-1"/>
        </w:rPr>
        <w:t> </w:t>
      </w:r>
      <w:r>
        <w:rPr/>
        <w:t>lungs,</w:t>
      </w:r>
      <w:r>
        <w:rPr>
          <w:spacing w:val="-1"/>
        </w:rPr>
        <w:t> </w:t>
      </w:r>
      <w:r>
        <w:rPr/>
        <w:t>liver,</w:t>
      </w:r>
      <w:r>
        <w:rPr>
          <w:spacing w:val="-2"/>
        </w:rPr>
        <w:t> </w:t>
      </w:r>
      <w:r>
        <w:rPr/>
        <w:t>heart</w:t>
      </w:r>
      <w:r>
        <w:rPr>
          <w:spacing w:val="-2"/>
        </w:rPr>
        <w:t> </w:t>
      </w:r>
      <w:r>
        <w:rPr/>
        <w:t>and skeletal</w:t>
      </w:r>
      <w:r>
        <w:rPr>
          <w:spacing w:val="-1"/>
        </w:rPr>
        <w:t> </w:t>
      </w:r>
      <w:r>
        <w:rPr/>
        <w:t>muscles (Reppert and Weaver, 2002). These clocks are in synchrony with the master clock and operate on a 24 hour circadian cycle that governs functions such as sleeping and waking (Akerstedt and Gillberg, 1981), rest and activity, fluid balance, body</w:t>
      </w:r>
      <w:r>
        <w:rPr>
          <w:spacing w:val="-1"/>
        </w:rPr>
        <w:t> </w:t>
      </w:r>
      <w:r>
        <w:rPr/>
        <w:t>temperature (Redfern </w:t>
      </w:r>
      <w:r>
        <w:rPr>
          <w:i/>
        </w:rPr>
        <w:t>et al.</w:t>
      </w:r>
      <w:r>
        <w:rPr/>
        <w:t>, 1991), cardiac output, oxygen consumption, metabolism (Waterhouse </w:t>
      </w:r>
      <w:r>
        <w:rPr>
          <w:i/>
        </w:rPr>
        <w:t>et al</w:t>
      </w:r>
      <w:r>
        <w:rPr/>
        <w:t>., 1990) and endocrine gland secretion (Redfern </w:t>
      </w:r>
      <w:r>
        <w:rPr>
          <w:i/>
        </w:rPr>
        <w:t>et al</w:t>
      </w:r>
      <w:r>
        <w:rPr/>
        <w:t>., 1991).</w:t>
      </w:r>
    </w:p>
    <w:p>
      <w:pPr>
        <w:pStyle w:val="BodyText"/>
      </w:pPr>
    </w:p>
    <w:p>
      <w:pPr>
        <w:pStyle w:val="BodyText"/>
        <w:spacing w:before="1"/>
      </w:pPr>
    </w:p>
    <w:p>
      <w:pPr>
        <w:pStyle w:val="BodyText"/>
        <w:spacing w:line="480" w:lineRule="auto" w:before="1"/>
        <w:ind w:left="296" w:right="1137"/>
        <w:jc w:val="both"/>
      </w:pPr>
      <w:r>
        <w:rPr/>
        <w:t>Many functions within the human body vary considerably within a day and as such, a number of disease conditions follow circadian variations (Devdhawala and Seth 2010). Cardiovascular diseases (Hermida </w:t>
      </w:r>
      <w:r>
        <w:rPr>
          <w:i/>
        </w:rPr>
        <w:t>et al</w:t>
      </w:r>
      <w:r>
        <w:rPr/>
        <w:t>., 2011), diabetes mellitus (Friedman and Banerji, 2011),</w:t>
      </w:r>
      <w:r>
        <w:rPr>
          <w:spacing w:val="6"/>
        </w:rPr>
        <w:t> </w:t>
      </w:r>
      <w:r>
        <w:rPr/>
        <w:t>peptic</w:t>
      </w:r>
      <w:r>
        <w:rPr>
          <w:spacing w:val="7"/>
        </w:rPr>
        <w:t> </w:t>
      </w:r>
      <w:r>
        <w:rPr/>
        <w:t>ulcer</w:t>
      </w:r>
      <w:r>
        <w:rPr>
          <w:spacing w:val="10"/>
        </w:rPr>
        <w:t> </w:t>
      </w:r>
      <w:r>
        <w:rPr/>
        <w:t>(Matsuo</w:t>
      </w:r>
      <w:r>
        <w:rPr>
          <w:spacing w:val="9"/>
        </w:rPr>
        <w:t> </w:t>
      </w:r>
      <w:r>
        <w:rPr>
          <w:i/>
        </w:rPr>
        <w:t>et</w:t>
      </w:r>
      <w:r>
        <w:rPr>
          <w:i/>
          <w:spacing w:val="8"/>
        </w:rPr>
        <w:t> </w:t>
      </w:r>
      <w:r>
        <w:rPr>
          <w:i/>
        </w:rPr>
        <w:t>al</w:t>
      </w:r>
      <w:r>
        <w:rPr/>
        <w:t>.,</w:t>
      </w:r>
      <w:r>
        <w:rPr>
          <w:spacing w:val="8"/>
        </w:rPr>
        <w:t> </w:t>
      </w:r>
      <w:r>
        <w:rPr/>
        <w:t>2003),</w:t>
      </w:r>
      <w:r>
        <w:rPr>
          <w:spacing w:val="8"/>
        </w:rPr>
        <w:t> </w:t>
      </w:r>
      <w:r>
        <w:rPr/>
        <w:t>arthritis</w:t>
      </w:r>
      <w:r>
        <w:rPr>
          <w:spacing w:val="9"/>
        </w:rPr>
        <w:t> </w:t>
      </w:r>
      <w:r>
        <w:rPr/>
        <w:t>(Lotlikar</w:t>
      </w:r>
      <w:r>
        <w:rPr>
          <w:spacing w:val="11"/>
        </w:rPr>
        <w:t> </w:t>
      </w:r>
      <w:r>
        <w:rPr>
          <w:i/>
        </w:rPr>
        <w:t>et</w:t>
      </w:r>
      <w:r>
        <w:rPr>
          <w:i/>
          <w:spacing w:val="8"/>
        </w:rPr>
        <w:t> </w:t>
      </w:r>
      <w:r>
        <w:rPr>
          <w:i/>
        </w:rPr>
        <w:t>al</w:t>
      </w:r>
      <w:r>
        <w:rPr/>
        <w:t>.,</w:t>
      </w:r>
      <w:r>
        <w:rPr>
          <w:spacing w:val="9"/>
        </w:rPr>
        <w:t> </w:t>
      </w:r>
      <w:r>
        <w:rPr/>
        <w:t>2010)</w:t>
      </w:r>
      <w:r>
        <w:rPr>
          <w:spacing w:val="7"/>
        </w:rPr>
        <w:t> </w:t>
      </w:r>
      <w:r>
        <w:rPr/>
        <w:t>and</w:t>
      </w:r>
      <w:r>
        <w:rPr>
          <w:spacing w:val="8"/>
        </w:rPr>
        <w:t> </w:t>
      </w:r>
      <w:r>
        <w:rPr/>
        <w:t>asthma</w:t>
      </w:r>
      <w:r>
        <w:rPr>
          <w:spacing w:val="8"/>
        </w:rPr>
        <w:t> </w:t>
      </w:r>
      <w:r>
        <w:rPr>
          <w:spacing w:val="-2"/>
        </w:rPr>
        <w:t>(Patel</w:t>
      </w:r>
    </w:p>
    <w:p>
      <w:pPr>
        <w:spacing w:after="0" w:line="480" w:lineRule="auto"/>
        <w:jc w:val="both"/>
        <w:sectPr>
          <w:footerReference w:type="default" r:id="rId6"/>
          <w:pgSz w:w="12240" w:h="15840"/>
          <w:pgMar w:header="0" w:footer="1015" w:top="1360" w:bottom="1200" w:left="1720" w:right="300"/>
          <w:pgNumType w:start="1"/>
        </w:sectPr>
      </w:pPr>
    </w:p>
    <w:p>
      <w:pPr>
        <w:pStyle w:val="BodyText"/>
        <w:spacing w:line="480" w:lineRule="auto" w:before="72"/>
        <w:ind w:left="296" w:right="1145"/>
        <w:jc w:val="both"/>
      </w:pPr>
      <w:r>
        <w:rPr/>
        <w:t>and Amin, 2011) are among the many conditions reported to follow distinct circadian </w:t>
      </w:r>
      <w:r>
        <w:rPr>
          <w:spacing w:val="-2"/>
        </w:rPr>
        <w:t>patterns.</w:t>
      </w:r>
    </w:p>
    <w:p>
      <w:pPr>
        <w:pStyle w:val="BodyText"/>
      </w:pPr>
    </w:p>
    <w:p>
      <w:pPr>
        <w:pStyle w:val="BodyText"/>
      </w:pPr>
    </w:p>
    <w:p>
      <w:pPr>
        <w:pStyle w:val="BodyText"/>
        <w:spacing w:line="480" w:lineRule="auto"/>
        <w:ind w:left="296" w:right="1134"/>
        <w:jc w:val="both"/>
      </w:pPr>
      <w:r>
        <w:rPr/>
        <w:t>Cardiovascular diseases have been reported to predominate between 6 am and 12 pm. This is because of increase in cardiovascular activities such as rapid rise in BP, a rapid increase in sympathetic tone and concentrations of pressor hormones, and the highest values in peripheral resistance (Lemmer, 1996). It is thus easy to appreciate that pathophysiological events within the cardiovascular system do not occur at random (Willich and Muller,</w:t>
      </w:r>
      <w:r>
        <w:rPr>
          <w:spacing w:val="40"/>
        </w:rPr>
        <w:t> </w:t>
      </w:r>
      <w:r>
        <w:rPr>
          <w:spacing w:val="-2"/>
        </w:rPr>
        <w:t>1996).</w:t>
      </w:r>
    </w:p>
    <w:p>
      <w:pPr>
        <w:pStyle w:val="BodyText"/>
      </w:pPr>
    </w:p>
    <w:p>
      <w:pPr>
        <w:pStyle w:val="BodyText"/>
        <w:spacing w:before="1"/>
      </w:pPr>
    </w:p>
    <w:p>
      <w:pPr>
        <w:pStyle w:val="BodyText"/>
        <w:spacing w:line="480" w:lineRule="auto"/>
        <w:ind w:left="296" w:right="1139"/>
        <w:jc w:val="both"/>
      </w:pPr>
      <w:r>
        <w:rPr/>
        <w:t>Similarly, glucose rhythm shows a circadian variation, with its peak value in the early morning hours.</w:t>
      </w:r>
      <w:r>
        <w:rPr>
          <w:spacing w:val="40"/>
        </w:rPr>
        <w:t> </w:t>
      </w:r>
      <w:r>
        <w:rPr/>
        <w:t>This is because insulin levels and the hormones which work against insulin’s action are influenced by circadian rhythm (Suresh and Pandit, 2009). These hormones which include glucagon, epinephrine (adrenaline), cortisol, and growth</w:t>
      </w:r>
      <w:r>
        <w:rPr>
          <w:spacing w:val="40"/>
        </w:rPr>
        <w:t> </w:t>
      </w:r>
      <w:r>
        <w:rPr/>
        <w:t>hormones raise blood sugar levels at given times. For instance, during the middle of the night time hours, there is a surge in the amount of growth hormone released by the body, and is followed by a surge in cortisol (Suresh and Pandit, 2009).</w:t>
      </w:r>
    </w:p>
    <w:p>
      <w:pPr>
        <w:pStyle w:val="BodyText"/>
      </w:pPr>
    </w:p>
    <w:p>
      <w:pPr>
        <w:pStyle w:val="BodyText"/>
        <w:spacing w:before="1"/>
      </w:pPr>
    </w:p>
    <w:p>
      <w:pPr>
        <w:pStyle w:val="BodyText"/>
        <w:spacing w:line="480" w:lineRule="auto"/>
        <w:ind w:left="296" w:right="1136"/>
        <w:jc w:val="both"/>
      </w:pPr>
      <w:r>
        <w:rPr/>
        <w:t>In a non-diabetic person, these effects are annulled by a compensatory increase in insulin secretion by the functional pancreas and as a result, normoglycaemia is maintained. However, in type 1 diabetics where there is absolute insulin deficiency, and in type 2 diabetics</w:t>
      </w:r>
      <w:r>
        <w:rPr>
          <w:spacing w:val="26"/>
        </w:rPr>
        <w:t> </w:t>
      </w:r>
      <w:r>
        <w:rPr/>
        <w:t>where</w:t>
      </w:r>
      <w:r>
        <w:rPr>
          <w:spacing w:val="26"/>
        </w:rPr>
        <w:t> </w:t>
      </w:r>
      <w:r>
        <w:rPr/>
        <w:t>there</w:t>
      </w:r>
      <w:r>
        <w:rPr>
          <w:spacing w:val="26"/>
        </w:rPr>
        <w:t> </w:t>
      </w:r>
      <w:r>
        <w:rPr/>
        <w:t>is</w:t>
      </w:r>
      <w:r>
        <w:rPr>
          <w:spacing w:val="28"/>
        </w:rPr>
        <w:t> </w:t>
      </w:r>
      <w:r>
        <w:rPr/>
        <w:t>insulin</w:t>
      </w:r>
      <w:r>
        <w:rPr>
          <w:spacing w:val="28"/>
        </w:rPr>
        <w:t> </w:t>
      </w:r>
      <w:r>
        <w:rPr/>
        <w:t>resistance,</w:t>
      </w:r>
      <w:r>
        <w:rPr>
          <w:spacing w:val="27"/>
        </w:rPr>
        <w:t> </w:t>
      </w:r>
      <w:r>
        <w:rPr/>
        <w:t>changes</w:t>
      </w:r>
      <w:r>
        <w:rPr>
          <w:spacing w:val="27"/>
        </w:rPr>
        <w:t> </w:t>
      </w:r>
      <w:r>
        <w:rPr/>
        <w:t>in</w:t>
      </w:r>
      <w:r>
        <w:rPr>
          <w:spacing w:val="28"/>
        </w:rPr>
        <w:t> </w:t>
      </w:r>
      <w:r>
        <w:rPr/>
        <w:t>blood</w:t>
      </w:r>
      <w:r>
        <w:rPr>
          <w:spacing w:val="28"/>
        </w:rPr>
        <w:t> </w:t>
      </w:r>
      <w:r>
        <w:rPr/>
        <w:t>sugar</w:t>
      </w:r>
      <w:r>
        <w:rPr>
          <w:spacing w:val="26"/>
        </w:rPr>
        <w:t> </w:t>
      </w:r>
      <w:r>
        <w:rPr/>
        <w:t>levels</w:t>
      </w:r>
      <w:r>
        <w:rPr>
          <w:spacing w:val="30"/>
        </w:rPr>
        <w:t> </w:t>
      </w:r>
      <w:r>
        <w:rPr/>
        <w:t>during</w:t>
      </w:r>
      <w:r>
        <w:rPr>
          <w:spacing w:val="24"/>
        </w:rPr>
        <w:t> </w:t>
      </w:r>
      <w:r>
        <w:rPr/>
        <w:t>rest</w:t>
      </w:r>
      <w:r>
        <w:rPr>
          <w:spacing w:val="28"/>
        </w:rPr>
        <w:t> </w:t>
      </w:r>
      <w:r>
        <w:rPr>
          <w:spacing w:val="-5"/>
        </w:rPr>
        <w:t>can</w:t>
      </w:r>
    </w:p>
    <w:p>
      <w:pPr>
        <w:spacing w:after="0" w:line="480" w:lineRule="auto"/>
        <w:jc w:val="both"/>
        <w:sectPr>
          <w:pgSz w:w="12240" w:h="15840"/>
          <w:pgMar w:header="0" w:footer="1015" w:top="1360" w:bottom="1200" w:left="1720" w:right="300"/>
        </w:sectPr>
      </w:pPr>
    </w:p>
    <w:p>
      <w:pPr>
        <w:pStyle w:val="BodyText"/>
        <w:spacing w:line="480" w:lineRule="auto" w:before="72"/>
        <w:ind w:left="296" w:right="1142"/>
        <w:jc w:val="both"/>
      </w:pPr>
      <w:r>
        <w:rPr/>
        <w:t>have a deleterious effect on morning glucose levels. This is where the dawn phenomenon occurs, and glucose levels rise between 4 am and 8 am (Bolli and Gerich, 1984).</w:t>
      </w:r>
    </w:p>
    <w:p>
      <w:pPr>
        <w:pStyle w:val="BodyText"/>
      </w:pPr>
    </w:p>
    <w:p>
      <w:pPr>
        <w:pStyle w:val="BodyText"/>
      </w:pPr>
    </w:p>
    <w:p>
      <w:pPr>
        <w:pStyle w:val="BodyText"/>
        <w:spacing w:line="480" w:lineRule="auto"/>
        <w:ind w:left="296" w:right="1134"/>
        <w:jc w:val="both"/>
      </w:pPr>
      <w:r>
        <w:rPr/>
        <w:t>Furthermore, several studies have shown that the time of drug administration, especially with reference to biological or circadian rhythms, affects the kinetics and dynamics of various classes of medications (Lemmer </w:t>
      </w:r>
      <w:r>
        <w:rPr>
          <w:i/>
        </w:rPr>
        <w:t>et al</w:t>
      </w:r>
      <w:r>
        <w:rPr/>
        <w:t>., 1991; Hermida </w:t>
      </w:r>
      <w:r>
        <w:rPr>
          <w:i/>
        </w:rPr>
        <w:t>et al</w:t>
      </w:r>
      <w:r>
        <w:rPr/>
        <w:t>., 2007 and Hermida </w:t>
      </w:r>
      <w:r>
        <w:rPr>
          <w:i/>
        </w:rPr>
        <w:t>et al</w:t>
      </w:r>
      <w:r>
        <w:rPr/>
        <w:t>., 2008). Hence, for improved efficacy in drug therapy, it is important that drug delivery is timed to match the rhythms of disease conditions.</w:t>
      </w:r>
    </w:p>
    <w:p>
      <w:pPr>
        <w:pStyle w:val="BodyText"/>
      </w:pPr>
    </w:p>
    <w:p>
      <w:pPr>
        <w:pStyle w:val="BodyText"/>
        <w:spacing w:before="6"/>
      </w:pPr>
    </w:p>
    <w:p>
      <w:pPr>
        <w:pStyle w:val="Heading2"/>
        <w:numPr>
          <w:ilvl w:val="1"/>
          <w:numId w:val="11"/>
        </w:numPr>
        <w:tabs>
          <w:tab w:pos="3424" w:val="left" w:leader="none"/>
        </w:tabs>
        <w:spacing w:line="240" w:lineRule="auto" w:before="0" w:after="0"/>
        <w:ind w:left="3424" w:right="0" w:hanging="720"/>
        <w:jc w:val="both"/>
      </w:pPr>
      <w:bookmarkStart w:name="_TOC_250067" w:id="14"/>
      <w:r>
        <w:rPr/>
        <w:t>Statement</w:t>
      </w:r>
      <w:r>
        <w:rPr>
          <w:spacing w:val="-3"/>
        </w:rPr>
        <w:t> </w:t>
      </w:r>
      <w:r>
        <w:rPr/>
        <w:t>of</w:t>
      </w:r>
      <w:r>
        <w:rPr>
          <w:spacing w:val="-2"/>
        </w:rPr>
        <w:t> </w:t>
      </w:r>
      <w:r>
        <w:rPr/>
        <w:t>Research</w:t>
      </w:r>
      <w:r>
        <w:rPr>
          <w:spacing w:val="-1"/>
        </w:rPr>
        <w:t> </w:t>
      </w:r>
      <w:bookmarkEnd w:id="14"/>
      <w:r>
        <w:rPr>
          <w:spacing w:val="-2"/>
        </w:rPr>
        <w:t>Problem</w:t>
      </w:r>
    </w:p>
    <w:p>
      <w:pPr>
        <w:pStyle w:val="BodyText"/>
        <w:spacing w:line="480" w:lineRule="auto" w:before="271"/>
        <w:ind w:left="296" w:right="1136"/>
        <w:jc w:val="both"/>
      </w:pPr>
      <w:r>
        <w:rPr/>
        <w:t>Persistent hyperglycemia has been shown to be a major determinant for the progression of diabetic microvascular complications (Somani </w:t>
      </w:r>
      <w:r>
        <w:rPr>
          <w:i/>
        </w:rPr>
        <w:t>et al</w:t>
      </w:r>
      <w:r>
        <w:rPr/>
        <w:t>., 2012; Bodhankar</w:t>
      </w:r>
      <w:r>
        <w:rPr>
          <w:spacing w:val="-2"/>
        </w:rPr>
        <w:t> </w:t>
      </w:r>
      <w:r>
        <w:rPr>
          <w:sz w:val="22"/>
        </w:rPr>
        <w:t>and </w:t>
      </w:r>
      <w:r>
        <w:rPr/>
        <w:t>Kamble</w:t>
      </w:r>
      <w:r>
        <w:rPr>
          <w:sz w:val="22"/>
        </w:rPr>
        <w:t>, </w:t>
      </w:r>
      <w:r>
        <w:rPr/>
        <w:t>2013). Adequate treatment is therefore required to maintain blood glucose levels, and this is coupled with treatment measures to delay the onset and prognosis of microvascular complications. This involves the use of glimepiride (Baynes, 2015), and nifedipine which has been recommended for microvascular complications especially nephropathy (J-MIND, 2001; ALLHAT, 2002; Padwel and Laupacis, 2004).</w:t>
      </w:r>
    </w:p>
    <w:p>
      <w:pPr>
        <w:pStyle w:val="BodyText"/>
      </w:pPr>
    </w:p>
    <w:p>
      <w:pPr>
        <w:pStyle w:val="BodyText"/>
        <w:spacing w:before="1"/>
      </w:pPr>
    </w:p>
    <w:p>
      <w:pPr>
        <w:pStyle w:val="BodyText"/>
        <w:spacing w:line="480" w:lineRule="auto"/>
        <w:ind w:left="296" w:right="1135"/>
        <w:jc w:val="both"/>
      </w:pPr>
      <w:r>
        <w:rPr/>
        <w:t>However, a deleterious drug interaction occurs when these two drugs are co-administered (Gillian, 2001; Suresha </w:t>
      </w:r>
      <w:r>
        <w:rPr>
          <w:i/>
        </w:rPr>
        <w:t>et al</w:t>
      </w:r>
      <w:r>
        <w:rPr/>
        <w:t>., 2012). This is because insulin secretion from pancreatic β- cells is tightly coupled to Ca</w:t>
      </w:r>
      <w:r>
        <w:rPr>
          <w:vertAlign w:val="superscript"/>
        </w:rPr>
        <w:t>2+</w:t>
      </w:r>
      <w:r>
        <w:rPr>
          <w:vertAlign w:val="baseline"/>
        </w:rPr>
        <w:t> influx through the L-type Ca</w:t>
      </w:r>
      <w:r>
        <w:rPr>
          <w:vertAlign w:val="superscript"/>
        </w:rPr>
        <w:t>2+</w:t>
      </w:r>
      <w:r>
        <w:rPr>
          <w:spacing w:val="-14"/>
          <w:vertAlign w:val="baseline"/>
        </w:rPr>
        <w:t> </w:t>
      </w:r>
      <w:r>
        <w:rPr>
          <w:vertAlign w:val="baseline"/>
        </w:rPr>
        <w:t>channels (LTCCs) (Ashcroft </w:t>
      </w:r>
      <w:r>
        <w:rPr>
          <w:i/>
          <w:vertAlign w:val="baseline"/>
        </w:rPr>
        <w:t>et al</w:t>
      </w:r>
      <w:r>
        <w:rPr>
          <w:vertAlign w:val="baseline"/>
        </w:rPr>
        <w:t>., 1994). Dihydropyridines (e.g. nifedipine), a group of calcium channel blockers on the</w:t>
      </w:r>
      <w:r>
        <w:rPr>
          <w:spacing w:val="1"/>
          <w:vertAlign w:val="baseline"/>
        </w:rPr>
        <w:t> </w:t>
      </w:r>
      <w:r>
        <w:rPr>
          <w:vertAlign w:val="baseline"/>
        </w:rPr>
        <w:t>other</w:t>
      </w:r>
      <w:r>
        <w:rPr>
          <w:spacing w:val="3"/>
          <w:vertAlign w:val="baseline"/>
        </w:rPr>
        <w:t> </w:t>
      </w:r>
      <w:r>
        <w:rPr>
          <w:vertAlign w:val="baseline"/>
        </w:rPr>
        <w:t>hand</w:t>
      </w:r>
      <w:r>
        <w:rPr>
          <w:spacing w:val="4"/>
          <w:vertAlign w:val="baseline"/>
        </w:rPr>
        <w:t> </w:t>
      </w:r>
      <w:r>
        <w:rPr>
          <w:vertAlign w:val="baseline"/>
        </w:rPr>
        <w:t>reversibly</w:t>
      </w:r>
      <w:r>
        <w:rPr>
          <w:spacing w:val="2"/>
          <w:vertAlign w:val="baseline"/>
        </w:rPr>
        <w:t> </w:t>
      </w:r>
      <w:r>
        <w:rPr>
          <w:vertAlign w:val="baseline"/>
        </w:rPr>
        <w:t>bind</w:t>
      </w:r>
      <w:r>
        <w:rPr>
          <w:spacing w:val="5"/>
          <w:vertAlign w:val="baseline"/>
        </w:rPr>
        <w:t> </w:t>
      </w:r>
      <w:r>
        <w:rPr>
          <w:vertAlign w:val="baseline"/>
        </w:rPr>
        <w:t>to</w:t>
      </w:r>
      <w:r>
        <w:rPr>
          <w:spacing w:val="5"/>
          <w:vertAlign w:val="baseline"/>
        </w:rPr>
        <w:t> </w:t>
      </w:r>
      <w:r>
        <w:rPr>
          <w:vertAlign w:val="baseline"/>
        </w:rPr>
        <w:t>the</w:t>
      </w:r>
      <w:r>
        <w:rPr>
          <w:spacing w:val="6"/>
          <w:vertAlign w:val="baseline"/>
        </w:rPr>
        <w:t> </w:t>
      </w:r>
      <w:r>
        <w:rPr>
          <w:vertAlign w:val="baseline"/>
        </w:rPr>
        <w:t>LTCCs</w:t>
      </w:r>
      <w:r>
        <w:rPr>
          <w:spacing w:val="4"/>
          <w:vertAlign w:val="baseline"/>
        </w:rPr>
        <w:t> </w:t>
      </w:r>
      <w:r>
        <w:rPr>
          <w:vertAlign w:val="baseline"/>
        </w:rPr>
        <w:t>complex</w:t>
      </w:r>
      <w:r>
        <w:rPr>
          <w:spacing w:val="6"/>
          <w:vertAlign w:val="baseline"/>
        </w:rPr>
        <w:t> </w:t>
      </w:r>
      <w:r>
        <w:rPr>
          <w:vertAlign w:val="baseline"/>
        </w:rPr>
        <w:t>in</w:t>
      </w:r>
      <w:r>
        <w:rPr>
          <w:spacing w:val="5"/>
          <w:vertAlign w:val="baseline"/>
        </w:rPr>
        <w:t> </w:t>
      </w:r>
      <w:r>
        <w:rPr>
          <w:vertAlign w:val="baseline"/>
        </w:rPr>
        <w:t>various</w:t>
      </w:r>
      <w:r>
        <w:rPr>
          <w:spacing w:val="4"/>
          <w:vertAlign w:val="baseline"/>
        </w:rPr>
        <w:t> </w:t>
      </w:r>
      <w:r>
        <w:rPr>
          <w:vertAlign w:val="baseline"/>
        </w:rPr>
        <w:t>insulin</w:t>
      </w:r>
      <w:r>
        <w:rPr>
          <w:spacing w:val="5"/>
          <w:vertAlign w:val="baseline"/>
        </w:rPr>
        <w:t> </w:t>
      </w:r>
      <w:r>
        <w:rPr>
          <w:vertAlign w:val="baseline"/>
        </w:rPr>
        <w:t>secreting</w:t>
      </w:r>
      <w:r>
        <w:rPr>
          <w:spacing w:val="2"/>
          <w:vertAlign w:val="baseline"/>
        </w:rPr>
        <w:t> </w:t>
      </w:r>
      <w:r>
        <w:rPr>
          <w:vertAlign w:val="baseline"/>
        </w:rPr>
        <w:t>cell</w:t>
      </w:r>
      <w:r>
        <w:rPr>
          <w:spacing w:val="5"/>
          <w:vertAlign w:val="baseline"/>
        </w:rPr>
        <w:t> </w:t>
      </w:r>
      <w:r>
        <w:rPr>
          <w:spacing w:val="-2"/>
          <w:vertAlign w:val="baseline"/>
        </w:rPr>
        <w:t>lines</w:t>
      </w:r>
    </w:p>
    <w:p>
      <w:pPr>
        <w:spacing w:after="0" w:line="480" w:lineRule="auto"/>
        <w:jc w:val="both"/>
        <w:sectPr>
          <w:pgSz w:w="12240" w:h="15840"/>
          <w:pgMar w:header="0" w:footer="1015" w:top="1360" w:bottom="1200" w:left="1720" w:right="300"/>
        </w:sectPr>
      </w:pPr>
    </w:p>
    <w:p>
      <w:pPr>
        <w:pStyle w:val="BodyText"/>
        <w:spacing w:line="480" w:lineRule="auto" w:before="72"/>
        <w:ind w:left="296" w:right="1133"/>
        <w:jc w:val="both"/>
      </w:pPr>
      <w:r>
        <w:rPr/>
        <w:t>with high affinity (Yaney </w:t>
      </w:r>
      <w:r>
        <w:rPr>
          <w:i/>
        </w:rPr>
        <w:t>et al</w:t>
      </w:r>
      <w:r>
        <w:rPr/>
        <w:t>., 1991; Roenfeldt </w:t>
      </w:r>
      <w:r>
        <w:rPr>
          <w:i/>
        </w:rPr>
        <w:t>et al</w:t>
      </w:r>
      <w:r>
        <w:rPr/>
        <w:t>., 1992), and selectively block these channels (Catteral and Striessnig, 1992; Striessnig </w:t>
      </w:r>
      <w:r>
        <w:rPr>
          <w:i/>
        </w:rPr>
        <w:t>et al</w:t>
      </w:r>
      <w:r>
        <w:rPr/>
        <w:t>., 1993) and are thus potent</w:t>
      </w:r>
      <w:r>
        <w:rPr>
          <w:spacing w:val="40"/>
        </w:rPr>
        <w:t> </w:t>
      </w:r>
      <w:r>
        <w:rPr/>
        <w:t>blockers of insulin secretion (Yaney </w:t>
      </w:r>
      <w:r>
        <w:rPr>
          <w:i/>
        </w:rPr>
        <w:t>et al</w:t>
      </w:r>
      <w:r>
        <w:rPr/>
        <w:t>., 1991; Ashcroft </w:t>
      </w:r>
      <w:r>
        <w:rPr>
          <w:i/>
        </w:rPr>
        <w:t>et al</w:t>
      </w:r>
      <w:r>
        <w:rPr/>
        <w:t>., 1994; Davalli </w:t>
      </w:r>
      <w:r>
        <w:rPr>
          <w:i/>
        </w:rPr>
        <w:t>et al</w:t>
      </w:r>
      <w:r>
        <w:rPr/>
        <w:t>., 1996). This will ultimately impair glycaemic control and consequently exacerbate microvascular complications in type 2 diabetes (Bodhankar </w:t>
      </w:r>
      <w:r>
        <w:rPr>
          <w:sz w:val="22"/>
        </w:rPr>
        <w:t>and </w:t>
      </w:r>
      <w:r>
        <w:rPr/>
        <w:t>Kamble</w:t>
      </w:r>
      <w:r>
        <w:rPr>
          <w:sz w:val="22"/>
        </w:rPr>
        <w:t>, </w:t>
      </w:r>
      <w:r>
        <w:rPr/>
        <w:t>2013).</w:t>
      </w:r>
    </w:p>
    <w:p>
      <w:pPr>
        <w:pStyle w:val="BodyText"/>
      </w:pPr>
    </w:p>
    <w:p>
      <w:pPr>
        <w:pStyle w:val="BodyText"/>
        <w:spacing w:before="5"/>
      </w:pPr>
    </w:p>
    <w:p>
      <w:pPr>
        <w:pStyle w:val="Heading2"/>
        <w:numPr>
          <w:ilvl w:val="1"/>
          <w:numId w:val="11"/>
        </w:numPr>
        <w:tabs>
          <w:tab w:pos="4415" w:val="left" w:leader="none"/>
        </w:tabs>
        <w:spacing w:line="240" w:lineRule="auto" w:before="0" w:after="0"/>
        <w:ind w:left="4415" w:right="0" w:hanging="720"/>
        <w:jc w:val="both"/>
      </w:pPr>
      <w:bookmarkStart w:name="_TOC_250066" w:id="15"/>
      <w:bookmarkEnd w:id="15"/>
      <w:r>
        <w:rPr>
          <w:spacing w:val="-2"/>
        </w:rPr>
        <w:t>Justification</w:t>
      </w:r>
    </w:p>
    <w:p>
      <w:pPr>
        <w:pStyle w:val="BodyText"/>
        <w:spacing w:line="480" w:lineRule="auto" w:before="272"/>
        <w:ind w:left="296" w:right="1135"/>
        <w:jc w:val="both"/>
      </w:pPr>
      <w:r>
        <w:rPr/>
        <w:t>Studies have shown that nifedipine delays the onset and progression of diabetic microvascular complications (Ravid </w:t>
      </w:r>
      <w:r>
        <w:rPr>
          <w:i/>
        </w:rPr>
        <w:t>et al</w:t>
      </w:r>
      <w:r>
        <w:rPr/>
        <w:t>., 1996; Estacio </w:t>
      </w:r>
      <w:r>
        <w:rPr>
          <w:i/>
        </w:rPr>
        <w:t>et al</w:t>
      </w:r>
      <w:r>
        <w:rPr/>
        <w:t>., 2000; Shigeaki, 2001 and Toyohiko </w:t>
      </w:r>
      <w:r>
        <w:rPr>
          <w:i/>
        </w:rPr>
        <w:t>et al</w:t>
      </w:r>
      <w:r>
        <w:rPr/>
        <w:t>., 2014). It has also been established that Ca</w:t>
      </w:r>
      <w:r>
        <w:rPr>
          <w:vertAlign w:val="superscript"/>
        </w:rPr>
        <w:t>2+</w:t>
      </w:r>
      <w:r>
        <w:rPr>
          <w:vertAlign w:val="baseline"/>
        </w:rPr>
        <w:t> is required for the maintenance of normal oscillatory performance of the hypothalamic suprachiasmatic</w:t>
      </w:r>
      <w:r>
        <w:rPr>
          <w:spacing w:val="40"/>
          <w:vertAlign w:val="baseline"/>
        </w:rPr>
        <w:t> </w:t>
      </w:r>
      <w:r>
        <w:rPr>
          <w:vertAlign w:val="baseline"/>
        </w:rPr>
        <w:t>nuclei (Lundkvist </w:t>
      </w:r>
      <w:r>
        <w:rPr>
          <w:i/>
          <w:vertAlign w:val="baseline"/>
        </w:rPr>
        <w:t>et al</w:t>
      </w:r>
      <w:r>
        <w:rPr>
          <w:vertAlign w:val="baseline"/>
        </w:rPr>
        <w:t>., 2005). The use of nifedipine may affect the main body clock and other local clocks thereby altering major rhythms including glucose rhythm. Furthermore, by blocking calcium channels, nifedipine antagonizes the insulin secretory action of glimepiride</w:t>
      </w:r>
      <w:r>
        <w:rPr>
          <w:spacing w:val="-3"/>
          <w:vertAlign w:val="baseline"/>
        </w:rPr>
        <w:t> </w:t>
      </w:r>
      <w:r>
        <w:rPr>
          <w:vertAlign w:val="baseline"/>
        </w:rPr>
        <w:t>(Gillian,</w:t>
      </w:r>
      <w:r>
        <w:rPr>
          <w:spacing w:val="-2"/>
          <w:vertAlign w:val="baseline"/>
        </w:rPr>
        <w:t> </w:t>
      </w:r>
      <w:r>
        <w:rPr>
          <w:vertAlign w:val="baseline"/>
        </w:rPr>
        <w:t>2001; Suresha</w:t>
      </w:r>
      <w:r>
        <w:rPr>
          <w:spacing w:val="-3"/>
          <w:vertAlign w:val="baseline"/>
        </w:rPr>
        <w:t> </w:t>
      </w:r>
      <w:r>
        <w:rPr>
          <w:i/>
          <w:vertAlign w:val="baseline"/>
        </w:rPr>
        <w:t>et</w:t>
      </w:r>
      <w:r>
        <w:rPr>
          <w:i/>
          <w:spacing w:val="-2"/>
          <w:vertAlign w:val="baseline"/>
        </w:rPr>
        <w:t> </w:t>
      </w:r>
      <w:r>
        <w:rPr>
          <w:i/>
          <w:vertAlign w:val="baseline"/>
        </w:rPr>
        <w:t>al</w:t>
      </w:r>
      <w:r>
        <w:rPr>
          <w:vertAlign w:val="baseline"/>
        </w:rPr>
        <w:t>.,</w:t>
      </w:r>
      <w:r>
        <w:rPr>
          <w:spacing w:val="-2"/>
          <w:vertAlign w:val="baseline"/>
        </w:rPr>
        <w:t> </w:t>
      </w:r>
      <w:r>
        <w:rPr>
          <w:vertAlign w:val="baseline"/>
        </w:rPr>
        <w:t>2012).</w:t>
      </w:r>
      <w:r>
        <w:rPr>
          <w:spacing w:val="-4"/>
          <w:vertAlign w:val="baseline"/>
        </w:rPr>
        <w:t> </w:t>
      </w:r>
      <w:r>
        <w:rPr>
          <w:vertAlign w:val="baseline"/>
        </w:rPr>
        <w:t>This</w:t>
      </w:r>
      <w:r>
        <w:rPr>
          <w:spacing w:val="-2"/>
          <w:vertAlign w:val="baseline"/>
        </w:rPr>
        <w:t> </w:t>
      </w:r>
      <w:r>
        <w:rPr>
          <w:vertAlign w:val="baseline"/>
        </w:rPr>
        <w:t>will</w:t>
      </w:r>
      <w:r>
        <w:rPr>
          <w:spacing w:val="-4"/>
          <w:vertAlign w:val="baseline"/>
        </w:rPr>
        <w:t> </w:t>
      </w:r>
      <w:r>
        <w:rPr>
          <w:vertAlign w:val="baseline"/>
        </w:rPr>
        <w:t>lead</w:t>
      </w:r>
      <w:r>
        <w:rPr>
          <w:spacing w:val="-2"/>
          <w:vertAlign w:val="baseline"/>
        </w:rPr>
        <w:t> </w:t>
      </w:r>
      <w:r>
        <w:rPr>
          <w:vertAlign w:val="baseline"/>
        </w:rPr>
        <w:t>to</w:t>
      </w:r>
      <w:r>
        <w:rPr>
          <w:spacing w:val="-2"/>
          <w:vertAlign w:val="baseline"/>
        </w:rPr>
        <w:t> </w:t>
      </w:r>
      <w:r>
        <w:rPr>
          <w:vertAlign w:val="baseline"/>
        </w:rPr>
        <w:t>reduction</w:t>
      </w:r>
      <w:r>
        <w:rPr>
          <w:spacing w:val="-2"/>
          <w:vertAlign w:val="baseline"/>
        </w:rPr>
        <w:t> </w:t>
      </w:r>
      <w:r>
        <w:rPr>
          <w:vertAlign w:val="baseline"/>
        </w:rPr>
        <w:t>in glimepiride- mediated insulin secretion and diminish glycaemic control, with increased risk of microvascular complications in diabetes there by making it difficult to co administer the two drugs. Finding an alternate dosing or timing regimen by chronomodulation of the drugs, may offer an acceptable and effective alternative to concurrent administration. This may preserve the therapeutic benefit of both medications in diabetes with consequent improved glycaemic control and prognosis of microvascular complications.</w:t>
      </w:r>
    </w:p>
    <w:p>
      <w:pPr>
        <w:spacing w:after="0" w:line="480" w:lineRule="auto"/>
        <w:jc w:val="both"/>
        <w:sectPr>
          <w:pgSz w:w="12240" w:h="15840"/>
          <w:pgMar w:header="0" w:footer="1015" w:top="1360" w:bottom="1200" w:left="1720" w:right="300"/>
        </w:sectPr>
      </w:pPr>
    </w:p>
    <w:p>
      <w:pPr>
        <w:pStyle w:val="Heading2"/>
        <w:numPr>
          <w:ilvl w:val="1"/>
          <w:numId w:val="11"/>
        </w:numPr>
        <w:tabs>
          <w:tab w:pos="4828" w:val="left" w:leader="none"/>
        </w:tabs>
        <w:spacing w:line="240" w:lineRule="auto" w:before="76" w:after="0"/>
        <w:ind w:left="4828" w:right="0" w:hanging="720"/>
        <w:jc w:val="left"/>
      </w:pPr>
      <w:bookmarkStart w:name="_TOC_250065" w:id="16"/>
      <w:bookmarkEnd w:id="16"/>
      <w:r>
        <w:rPr>
          <w:spacing w:val="-5"/>
        </w:rPr>
        <w:t>Aim</w:t>
      </w:r>
    </w:p>
    <w:p>
      <w:pPr>
        <w:pStyle w:val="BodyText"/>
        <w:spacing w:line="480" w:lineRule="auto" w:before="272"/>
        <w:ind w:left="296" w:right="1141"/>
      </w:pPr>
      <w:r>
        <w:rPr/>
        <w:t>To investigate the effect of time of administration of nifedipine on glycaemic control and microvascular complications in glimepiride-treated hyperglycemic rats.</w:t>
      </w:r>
    </w:p>
    <w:p>
      <w:pPr>
        <w:pStyle w:val="BodyText"/>
      </w:pPr>
    </w:p>
    <w:p>
      <w:pPr>
        <w:pStyle w:val="BodyText"/>
        <w:spacing w:before="5"/>
      </w:pPr>
    </w:p>
    <w:p>
      <w:pPr>
        <w:pStyle w:val="Heading2"/>
        <w:numPr>
          <w:ilvl w:val="1"/>
          <w:numId w:val="11"/>
        </w:numPr>
        <w:tabs>
          <w:tab w:pos="4079" w:val="left" w:leader="none"/>
        </w:tabs>
        <w:spacing w:line="240" w:lineRule="auto" w:before="0" w:after="0"/>
        <w:ind w:left="4079" w:right="0" w:hanging="720"/>
        <w:jc w:val="left"/>
      </w:pPr>
      <w:bookmarkStart w:name="_TOC_250064" w:id="17"/>
      <w:r>
        <w:rPr/>
        <w:t>Specific</w:t>
      </w:r>
      <w:r>
        <w:rPr>
          <w:spacing w:val="-1"/>
        </w:rPr>
        <w:t> </w:t>
      </w:r>
      <w:bookmarkEnd w:id="17"/>
      <w:r>
        <w:rPr>
          <w:spacing w:val="-2"/>
        </w:rPr>
        <w:t>Objectives</w:t>
      </w:r>
    </w:p>
    <w:p>
      <w:pPr>
        <w:pStyle w:val="BodyText"/>
        <w:spacing w:before="271"/>
        <w:ind w:left="296"/>
      </w:pPr>
      <w:r>
        <w:rPr/>
        <w:t>The</w:t>
      </w:r>
      <w:r>
        <w:rPr>
          <w:spacing w:val="-2"/>
        </w:rPr>
        <w:t> </w:t>
      </w:r>
      <w:r>
        <w:rPr/>
        <w:t>specific objectives of the</w:t>
      </w:r>
      <w:r>
        <w:rPr>
          <w:spacing w:val="-2"/>
        </w:rPr>
        <w:t> </w:t>
      </w:r>
      <w:r>
        <w:rPr/>
        <w:t>study</w:t>
      </w:r>
      <w:r>
        <w:rPr>
          <w:spacing w:val="-3"/>
        </w:rPr>
        <w:t> </w:t>
      </w:r>
      <w:r>
        <w:rPr>
          <w:spacing w:val="-4"/>
        </w:rPr>
        <w:t>are:</w:t>
      </w:r>
    </w:p>
    <w:p>
      <w:pPr>
        <w:pStyle w:val="BodyText"/>
      </w:pPr>
    </w:p>
    <w:p>
      <w:pPr>
        <w:pStyle w:val="ListParagraph"/>
        <w:numPr>
          <w:ilvl w:val="2"/>
          <w:numId w:val="10"/>
        </w:numPr>
        <w:tabs>
          <w:tab w:pos="1016" w:val="left" w:leader="none"/>
        </w:tabs>
        <w:spacing w:line="480" w:lineRule="auto" w:before="0" w:after="0"/>
        <w:ind w:left="1016" w:right="1139" w:hanging="360"/>
        <w:jc w:val="left"/>
        <w:rPr>
          <w:sz w:val="24"/>
        </w:rPr>
      </w:pPr>
      <w:r>
        <w:rPr>
          <w:sz w:val="24"/>
        </w:rPr>
        <w:t>To evaluate the effect of time of administration of nifedipine on glycaemic control in glimepiride-treated hyperglycaemic rats.</w:t>
      </w:r>
    </w:p>
    <w:p>
      <w:pPr>
        <w:pStyle w:val="ListParagraph"/>
        <w:numPr>
          <w:ilvl w:val="2"/>
          <w:numId w:val="10"/>
        </w:numPr>
        <w:tabs>
          <w:tab w:pos="1016" w:val="left" w:leader="none"/>
        </w:tabs>
        <w:spacing w:line="480" w:lineRule="auto" w:before="1" w:after="0"/>
        <w:ind w:left="1016" w:right="1138" w:hanging="360"/>
        <w:jc w:val="left"/>
        <w:rPr>
          <w:sz w:val="24"/>
        </w:rPr>
      </w:pPr>
      <w:r>
        <w:rPr>
          <w:sz w:val="24"/>
        </w:rPr>
        <w:t>To investigate the effect of time of administration of nifedipine on the progression and prognosis of peripheral neuropathy in glimepiride-treated hyperglycaemic rats.</w:t>
      </w:r>
    </w:p>
    <w:p>
      <w:pPr>
        <w:pStyle w:val="ListParagraph"/>
        <w:numPr>
          <w:ilvl w:val="2"/>
          <w:numId w:val="10"/>
        </w:numPr>
        <w:tabs>
          <w:tab w:pos="1016" w:val="left" w:leader="none"/>
        </w:tabs>
        <w:spacing w:line="480" w:lineRule="auto" w:before="0" w:after="0"/>
        <w:ind w:left="1016" w:right="1138" w:hanging="360"/>
        <w:jc w:val="left"/>
        <w:rPr>
          <w:sz w:val="24"/>
        </w:rPr>
      </w:pPr>
      <w:r>
        <w:rPr>
          <w:sz w:val="24"/>
        </w:rPr>
        <w:t>To determine the effect of time of administration of nifedipine on the prognosis of nephropathy in glimepiride-treated hyperglycaemic rats.</w:t>
      </w:r>
    </w:p>
    <w:p>
      <w:pPr>
        <w:pStyle w:val="ListParagraph"/>
        <w:numPr>
          <w:ilvl w:val="2"/>
          <w:numId w:val="10"/>
        </w:numPr>
        <w:tabs>
          <w:tab w:pos="1016" w:val="left" w:leader="none"/>
        </w:tabs>
        <w:spacing w:line="480" w:lineRule="auto" w:before="0" w:after="0"/>
        <w:ind w:left="1016" w:right="1138" w:hanging="360"/>
        <w:jc w:val="left"/>
        <w:rPr>
          <w:sz w:val="24"/>
        </w:rPr>
      </w:pPr>
      <w:r>
        <w:rPr>
          <w:sz w:val="24"/>
        </w:rPr>
        <w:t>To evaluate the effect of time of administration</w:t>
      </w:r>
      <w:r>
        <w:rPr>
          <w:spacing w:val="23"/>
          <w:sz w:val="24"/>
        </w:rPr>
        <w:t> </w:t>
      </w:r>
      <w:r>
        <w:rPr>
          <w:sz w:val="24"/>
        </w:rPr>
        <w:t>of nifedipine on the prognosis of</w:t>
      </w:r>
      <w:r>
        <w:rPr>
          <w:spacing w:val="80"/>
          <w:sz w:val="24"/>
        </w:rPr>
        <w:t> </w:t>
      </w:r>
      <w:r>
        <w:rPr>
          <w:sz w:val="24"/>
        </w:rPr>
        <w:t>retinopathy in glimepiride-treated hyperglycaemic rats.</w:t>
      </w:r>
    </w:p>
    <w:p>
      <w:pPr>
        <w:pStyle w:val="BodyText"/>
      </w:pPr>
    </w:p>
    <w:p>
      <w:pPr>
        <w:pStyle w:val="BodyText"/>
        <w:spacing w:before="5"/>
      </w:pPr>
    </w:p>
    <w:p>
      <w:pPr>
        <w:pStyle w:val="Heading2"/>
        <w:tabs>
          <w:tab w:pos="4482" w:val="left" w:leader="none"/>
        </w:tabs>
        <w:ind w:left="3762" w:firstLine="0"/>
        <w:jc w:val="left"/>
      </w:pPr>
      <w:bookmarkStart w:name="_TOC_250063" w:id="18"/>
      <w:r>
        <w:rPr>
          <w:spacing w:val="-5"/>
        </w:rPr>
        <w:t>1.6</w:t>
      </w:r>
      <w:r>
        <w:rPr/>
        <w:tab/>
      </w:r>
      <w:bookmarkEnd w:id="18"/>
      <w:r>
        <w:rPr>
          <w:spacing w:val="-2"/>
        </w:rPr>
        <w:t>Hypothesis</w:t>
      </w:r>
    </w:p>
    <w:p>
      <w:pPr>
        <w:pStyle w:val="BodyText"/>
        <w:spacing w:line="480" w:lineRule="auto" w:before="272"/>
        <w:ind w:left="296" w:right="1141"/>
      </w:pPr>
      <w:r>
        <w:rPr/>
        <w:t>The</w:t>
      </w:r>
      <w:r>
        <w:rPr>
          <w:spacing w:val="80"/>
        </w:rPr>
        <w:t> </w:t>
      </w:r>
      <w:r>
        <w:rPr/>
        <w:t>time</w:t>
      </w:r>
      <w:r>
        <w:rPr>
          <w:spacing w:val="80"/>
        </w:rPr>
        <w:t> </w:t>
      </w:r>
      <w:r>
        <w:rPr/>
        <w:t>of</w:t>
      </w:r>
      <w:r>
        <w:rPr>
          <w:spacing w:val="80"/>
        </w:rPr>
        <w:t> </w:t>
      </w:r>
      <w:r>
        <w:rPr/>
        <w:t>nifedipine</w:t>
      </w:r>
      <w:r>
        <w:rPr>
          <w:spacing w:val="80"/>
        </w:rPr>
        <w:t> </w:t>
      </w:r>
      <w:r>
        <w:rPr/>
        <w:t>administration</w:t>
      </w:r>
      <w:r>
        <w:rPr>
          <w:spacing w:val="80"/>
        </w:rPr>
        <w:t> </w:t>
      </w:r>
      <w:r>
        <w:rPr/>
        <w:t>affects</w:t>
      </w:r>
      <w:r>
        <w:rPr>
          <w:spacing w:val="80"/>
        </w:rPr>
        <w:t> </w:t>
      </w:r>
      <w:r>
        <w:rPr/>
        <w:t>glycaemic</w:t>
      </w:r>
      <w:r>
        <w:rPr>
          <w:spacing w:val="80"/>
        </w:rPr>
        <w:t> </w:t>
      </w:r>
      <w:r>
        <w:rPr/>
        <w:t>control,</w:t>
      </w:r>
      <w:r>
        <w:rPr>
          <w:spacing w:val="80"/>
        </w:rPr>
        <w:t> </w:t>
      </w:r>
      <w:r>
        <w:rPr/>
        <w:t>and</w:t>
      </w:r>
      <w:r>
        <w:rPr>
          <w:spacing w:val="80"/>
        </w:rPr>
        <w:t> </w:t>
      </w:r>
      <w:r>
        <w:rPr/>
        <w:t>exacerbates</w:t>
      </w:r>
      <w:r>
        <w:rPr>
          <w:spacing w:val="80"/>
          <w:w w:val="150"/>
        </w:rPr>
        <w:t> </w:t>
      </w:r>
      <w:r>
        <w:rPr/>
        <w:t>microvascular complications in glimepiride-treated hyperglycaemic rats.</w:t>
      </w:r>
    </w:p>
    <w:p>
      <w:pPr>
        <w:spacing w:after="0" w:line="480" w:lineRule="auto"/>
        <w:sectPr>
          <w:pgSz w:w="12240" w:h="15840"/>
          <w:pgMar w:header="0" w:footer="1015" w:top="1360" w:bottom="1200" w:left="1720" w:right="300"/>
        </w:sectPr>
      </w:pPr>
    </w:p>
    <w:p>
      <w:pPr>
        <w:pStyle w:val="Heading1"/>
        <w:ind w:left="961"/>
      </w:pPr>
      <w:bookmarkStart w:name="_TOC_250062" w:id="19"/>
      <w:r>
        <w:rPr/>
        <w:t>CHAPTER</w:t>
      </w:r>
      <w:r>
        <w:rPr>
          <w:spacing w:val="-4"/>
        </w:rPr>
        <w:t> </w:t>
      </w:r>
      <w:bookmarkEnd w:id="19"/>
      <w:r>
        <w:rPr>
          <w:spacing w:val="-5"/>
        </w:rPr>
        <w:t>TWO</w:t>
      </w:r>
    </w:p>
    <w:p>
      <w:pPr>
        <w:pStyle w:val="BodyText"/>
        <w:spacing w:before="1"/>
        <w:rPr>
          <w:b/>
        </w:rPr>
      </w:pPr>
    </w:p>
    <w:p>
      <w:pPr>
        <w:pStyle w:val="Heading2"/>
        <w:numPr>
          <w:ilvl w:val="1"/>
          <w:numId w:val="12"/>
        </w:numPr>
        <w:tabs>
          <w:tab w:pos="4146" w:val="left" w:leader="none"/>
        </w:tabs>
        <w:spacing w:line="240" w:lineRule="auto" w:before="0" w:after="0"/>
        <w:ind w:left="4146" w:right="0" w:hanging="720"/>
        <w:jc w:val="left"/>
      </w:pPr>
      <w:bookmarkStart w:name="_TOC_250061" w:id="20"/>
      <w:r>
        <w:rPr/>
        <w:t>Literature</w:t>
      </w:r>
      <w:r>
        <w:rPr>
          <w:spacing w:val="-4"/>
        </w:rPr>
        <w:t> </w:t>
      </w:r>
      <w:bookmarkEnd w:id="20"/>
      <w:r>
        <w:rPr>
          <w:spacing w:val="-2"/>
        </w:rPr>
        <w:t>review</w:t>
      </w:r>
    </w:p>
    <w:p>
      <w:pPr>
        <w:pStyle w:val="BodyText"/>
        <w:rPr>
          <w:b/>
        </w:rPr>
      </w:pPr>
    </w:p>
    <w:p>
      <w:pPr>
        <w:pStyle w:val="Heading2"/>
        <w:numPr>
          <w:ilvl w:val="1"/>
          <w:numId w:val="12"/>
        </w:numPr>
        <w:tabs>
          <w:tab w:pos="3023" w:val="left" w:leader="none"/>
        </w:tabs>
        <w:spacing w:line="240" w:lineRule="auto" w:before="0" w:after="0"/>
        <w:ind w:left="3023" w:right="0" w:hanging="720"/>
        <w:jc w:val="both"/>
      </w:pPr>
      <w:bookmarkStart w:name="_TOC_250060" w:id="21"/>
      <w:r>
        <w:rPr/>
        <w:t>Chronobiology</w:t>
      </w:r>
      <w:r>
        <w:rPr>
          <w:spacing w:val="-2"/>
        </w:rPr>
        <w:t> </w:t>
      </w:r>
      <w:r>
        <w:rPr/>
        <w:t>and</w:t>
      </w:r>
      <w:r>
        <w:rPr>
          <w:spacing w:val="-2"/>
        </w:rPr>
        <w:t> </w:t>
      </w:r>
      <w:r>
        <w:rPr/>
        <w:t>Biological</w:t>
      </w:r>
      <w:bookmarkEnd w:id="21"/>
      <w:r>
        <w:rPr>
          <w:spacing w:val="-2"/>
        </w:rPr>
        <w:t> Rhythms</w:t>
      </w:r>
    </w:p>
    <w:p>
      <w:pPr>
        <w:pStyle w:val="BodyText"/>
        <w:spacing w:line="480" w:lineRule="auto" w:before="271"/>
        <w:ind w:left="296" w:right="1136"/>
        <w:jc w:val="both"/>
      </w:pPr>
      <w:r>
        <w:rPr/>
        <w:t>Chronobiology</w:t>
      </w:r>
      <w:r>
        <w:rPr>
          <w:spacing w:val="-2"/>
        </w:rPr>
        <w:t> </w:t>
      </w:r>
      <w:r>
        <w:rPr/>
        <w:t>is a field of biology</w:t>
      </w:r>
      <w:r>
        <w:rPr>
          <w:spacing w:val="-3"/>
        </w:rPr>
        <w:t> </w:t>
      </w:r>
      <w:r>
        <w:rPr/>
        <w:t>that examines periodic or cyclic phenomena that occur in living organisms and their adaptation to solar and lunar rhythms (Chung </w:t>
      </w:r>
      <w:r>
        <w:rPr>
          <w:i/>
        </w:rPr>
        <w:t>et al</w:t>
      </w:r>
      <w:r>
        <w:rPr/>
        <w:t>., 2011). These cycles are known as biological rhythms and have been identified in both plants and animals. In plants, it is observed in processes like leaf</w:t>
      </w:r>
      <w:r>
        <w:rPr>
          <w:spacing w:val="-1"/>
        </w:rPr>
        <w:t> </w:t>
      </w:r>
      <w:r>
        <w:rPr/>
        <w:t>movement and photosynthesis while in animals, it is reported in activities such as sleeping and waking, eating and mating among others (Duffield, 2003). Biological rhythms are common ubiquitous phenomena present in almost all living organisms and can be classified based on the length of the rhythm into circadian which lasts about 24 hours defining sleep awake patterns, ultradian which lasts less than 24 hours, like REM cycle, and infradian which lasts longer than 24 hours, as in monthly menstruation (Smolensky </w:t>
      </w:r>
      <w:r>
        <w:rPr>
          <w:i/>
        </w:rPr>
        <w:t>et al</w:t>
      </w:r>
      <w:r>
        <w:rPr/>
        <w:t>., 2011). These biological rhythms synchronize various behavioral, biochemical and physiological process with changes in environmental factors thus allowing the organism to adapt, anticipate, and respond to changes effectively.</w:t>
      </w:r>
    </w:p>
    <w:p>
      <w:pPr>
        <w:pStyle w:val="BodyText"/>
      </w:pPr>
    </w:p>
    <w:p>
      <w:pPr>
        <w:pStyle w:val="BodyText"/>
        <w:spacing w:before="2"/>
      </w:pPr>
    </w:p>
    <w:p>
      <w:pPr>
        <w:pStyle w:val="BodyText"/>
        <w:spacing w:line="480" w:lineRule="auto"/>
        <w:ind w:left="296" w:right="1136"/>
        <w:jc w:val="both"/>
      </w:pPr>
      <w:r>
        <w:rPr/>
        <w:t>It is well established that many physiological processes and parameters such as body temperature (Redfern </w:t>
      </w:r>
      <w:r>
        <w:rPr>
          <w:i/>
        </w:rPr>
        <w:t>et al.</w:t>
      </w:r>
      <w:r>
        <w:rPr/>
        <w:t>, 1991), sleep-wake cycles (Akerstedt and Gillberg, 1981), feeding behaviors, endocrine functions (Patel and Amin, 2011), hepatic metabolism, renal functions (Lamberg, 1991) and many</w:t>
      </w:r>
      <w:r>
        <w:rPr>
          <w:spacing w:val="-5"/>
        </w:rPr>
        <w:t> </w:t>
      </w:r>
      <w:r>
        <w:rPr/>
        <w:t>others show rhythmicity. These types of</w:t>
      </w:r>
      <w:r>
        <w:rPr>
          <w:spacing w:val="-1"/>
        </w:rPr>
        <w:t> </w:t>
      </w:r>
      <w:r>
        <w:rPr/>
        <w:t>variations to a very great extent cause changes both in disease state and in plasma drug concentration (Singh</w:t>
      </w:r>
      <w:r>
        <w:rPr>
          <w:spacing w:val="25"/>
        </w:rPr>
        <w:t> </w:t>
      </w:r>
      <w:r>
        <w:rPr>
          <w:i/>
        </w:rPr>
        <w:t>et</w:t>
      </w:r>
      <w:r>
        <w:rPr>
          <w:i/>
          <w:spacing w:val="29"/>
        </w:rPr>
        <w:t> </w:t>
      </w:r>
      <w:r>
        <w:rPr>
          <w:i/>
        </w:rPr>
        <w:t>al</w:t>
      </w:r>
      <w:r>
        <w:rPr/>
        <w:t>.,</w:t>
      </w:r>
      <w:r>
        <w:rPr>
          <w:spacing w:val="27"/>
        </w:rPr>
        <w:t> </w:t>
      </w:r>
      <w:r>
        <w:rPr/>
        <w:t>2010).</w:t>
      </w:r>
      <w:r>
        <w:rPr>
          <w:spacing w:val="27"/>
        </w:rPr>
        <w:t> </w:t>
      </w:r>
      <w:r>
        <w:rPr/>
        <w:t>With</w:t>
      </w:r>
      <w:r>
        <w:rPr>
          <w:spacing w:val="27"/>
        </w:rPr>
        <w:t> </w:t>
      </w:r>
      <w:r>
        <w:rPr/>
        <w:t>these</w:t>
      </w:r>
      <w:r>
        <w:rPr>
          <w:spacing w:val="27"/>
        </w:rPr>
        <w:t> </w:t>
      </w:r>
      <w:r>
        <w:rPr/>
        <w:t>emerging</w:t>
      </w:r>
      <w:r>
        <w:rPr>
          <w:spacing w:val="27"/>
        </w:rPr>
        <w:t> </w:t>
      </w:r>
      <w:r>
        <w:rPr/>
        <w:t>findings</w:t>
      </w:r>
      <w:r>
        <w:rPr>
          <w:spacing w:val="28"/>
        </w:rPr>
        <w:t> </w:t>
      </w:r>
      <w:r>
        <w:rPr/>
        <w:t>from</w:t>
      </w:r>
      <w:r>
        <w:rPr>
          <w:spacing w:val="27"/>
        </w:rPr>
        <w:t> </w:t>
      </w:r>
      <w:r>
        <w:rPr/>
        <w:t>chronobiological</w:t>
      </w:r>
      <w:r>
        <w:rPr>
          <w:spacing w:val="29"/>
        </w:rPr>
        <w:t> </w:t>
      </w:r>
      <w:r>
        <w:rPr>
          <w:spacing w:val="-2"/>
        </w:rPr>
        <w:t>investigations,</w:t>
      </w:r>
    </w:p>
    <w:p>
      <w:pPr>
        <w:spacing w:after="0" w:line="480" w:lineRule="auto"/>
        <w:jc w:val="both"/>
        <w:sectPr>
          <w:pgSz w:w="12240" w:h="15840"/>
          <w:pgMar w:header="0" w:footer="1015" w:top="1360" w:bottom="1200" w:left="1720" w:right="300"/>
        </w:sectPr>
      </w:pPr>
    </w:p>
    <w:p>
      <w:pPr>
        <w:pStyle w:val="BodyText"/>
        <w:spacing w:line="480" w:lineRule="auto" w:before="72"/>
        <w:ind w:left="296" w:right="1139"/>
        <w:jc w:val="both"/>
      </w:pPr>
      <w:r>
        <w:rPr/>
        <w:t>re-examination of several practices (e.g., dosing interval and dosing time) in clinical medicine is very necessary. Hence, one can easily appreciate the role of chronopharmacology as an investigative science that seeks to make clear the biological rhythm dependencies of medications (Satwara </w:t>
      </w:r>
      <w:r>
        <w:rPr>
          <w:i/>
        </w:rPr>
        <w:t>et al</w:t>
      </w:r>
      <w:r>
        <w:rPr/>
        <w:t>., 2012).</w:t>
      </w:r>
    </w:p>
    <w:p>
      <w:pPr>
        <w:pStyle w:val="BodyText"/>
      </w:pPr>
    </w:p>
    <w:p>
      <w:pPr>
        <w:pStyle w:val="BodyText"/>
        <w:spacing w:before="5"/>
      </w:pPr>
    </w:p>
    <w:p>
      <w:pPr>
        <w:pStyle w:val="Heading2"/>
        <w:numPr>
          <w:ilvl w:val="1"/>
          <w:numId w:val="12"/>
        </w:numPr>
        <w:tabs>
          <w:tab w:pos="3921" w:val="left" w:leader="none"/>
        </w:tabs>
        <w:spacing w:line="240" w:lineRule="auto" w:before="0" w:after="0"/>
        <w:ind w:left="3921" w:right="0" w:hanging="720"/>
        <w:jc w:val="both"/>
      </w:pPr>
      <w:bookmarkStart w:name="_TOC_250059" w:id="22"/>
      <w:bookmarkEnd w:id="22"/>
      <w:r>
        <w:rPr>
          <w:spacing w:val="-2"/>
        </w:rPr>
        <w:t>Chronopharmacology</w:t>
      </w:r>
    </w:p>
    <w:p>
      <w:pPr>
        <w:pStyle w:val="BodyText"/>
        <w:spacing w:line="480" w:lineRule="auto" w:before="271"/>
        <w:ind w:left="296" w:right="1134"/>
        <w:jc w:val="both"/>
      </w:pPr>
      <w:r>
        <w:rPr/>
        <w:t>Chronopharmacology is an aspect of pharmacology that studies the manner and extent to which the kinetics and dynamics of medications are directly affected by endogenous biological rhythms (Hermida </w:t>
      </w:r>
      <w:r>
        <w:rPr>
          <w:i/>
        </w:rPr>
        <w:t>et al</w:t>
      </w:r>
      <w:r>
        <w:rPr/>
        <w:t>., 2008). Some basic elements make up chronopharmacology. They include; chronopharmacokinetics, chronopharmacodynamics, chronotoxicology and chronotherapy.</w:t>
      </w:r>
    </w:p>
    <w:p>
      <w:pPr>
        <w:pStyle w:val="BodyText"/>
      </w:pPr>
    </w:p>
    <w:p>
      <w:pPr>
        <w:pStyle w:val="BodyText"/>
        <w:spacing w:before="6"/>
      </w:pPr>
    </w:p>
    <w:p>
      <w:pPr>
        <w:pStyle w:val="Heading2"/>
        <w:numPr>
          <w:ilvl w:val="2"/>
          <w:numId w:val="12"/>
        </w:numPr>
        <w:tabs>
          <w:tab w:pos="1016" w:val="left" w:leader="none"/>
        </w:tabs>
        <w:spacing w:line="240" w:lineRule="auto" w:before="0" w:after="0"/>
        <w:ind w:left="1016" w:right="0" w:hanging="720"/>
        <w:jc w:val="both"/>
      </w:pPr>
      <w:bookmarkStart w:name="_TOC_250058" w:id="23"/>
      <w:bookmarkEnd w:id="23"/>
      <w:r>
        <w:rPr>
          <w:spacing w:val="-2"/>
        </w:rPr>
        <w:t>Chronopharmacokinetics</w:t>
      </w:r>
    </w:p>
    <w:p>
      <w:pPr>
        <w:pStyle w:val="BodyText"/>
        <w:spacing w:line="480" w:lineRule="auto" w:before="272"/>
        <w:ind w:left="296" w:right="1141"/>
        <w:jc w:val="both"/>
      </w:pPr>
      <w:r>
        <w:rPr/>
        <w:t>Chronopharmacokinetics involves the study of temporal variation in the kinetics of drugs. Hence it studies how the absorption, distribution, metabolism and excretion of drugs are affected by time of day (Lemmer and Bruguerolle, 1994). It investigates the variation in drug</w:t>
      </w:r>
      <w:r>
        <w:rPr>
          <w:spacing w:val="-3"/>
        </w:rPr>
        <w:t> </w:t>
      </w:r>
      <w:r>
        <w:rPr/>
        <w:t>plasma</w:t>
      </w:r>
      <w:r>
        <w:rPr>
          <w:spacing w:val="-1"/>
        </w:rPr>
        <w:t> </w:t>
      </w:r>
      <w:r>
        <w:rPr/>
        <w:t>levels as it relates to time</w:t>
      </w:r>
      <w:r>
        <w:rPr>
          <w:spacing w:val="-1"/>
        </w:rPr>
        <w:t> </w:t>
      </w:r>
      <w:r>
        <w:rPr/>
        <w:t>of</w:t>
      </w:r>
      <w:r>
        <w:rPr>
          <w:spacing w:val="-1"/>
        </w:rPr>
        <w:t> </w:t>
      </w:r>
      <w:r>
        <w:rPr/>
        <w:t>the</w:t>
      </w:r>
      <w:r>
        <w:rPr>
          <w:spacing w:val="-1"/>
        </w:rPr>
        <w:t> </w:t>
      </w:r>
      <w:r>
        <w:rPr/>
        <w:t>day</w:t>
      </w:r>
      <w:r>
        <w:rPr>
          <w:spacing w:val="-3"/>
        </w:rPr>
        <w:t> </w:t>
      </w:r>
      <w:r>
        <w:rPr/>
        <w:t>and the</w:t>
      </w:r>
      <w:r>
        <w:rPr>
          <w:spacing w:val="-1"/>
        </w:rPr>
        <w:t> </w:t>
      </w:r>
      <w:r>
        <w:rPr/>
        <w:t>mechanisms responsible</w:t>
      </w:r>
      <w:r>
        <w:rPr>
          <w:spacing w:val="-1"/>
        </w:rPr>
        <w:t> </w:t>
      </w:r>
      <w:r>
        <w:rPr/>
        <w:t>for</w:t>
      </w:r>
      <w:r>
        <w:rPr>
          <w:spacing w:val="-2"/>
        </w:rPr>
        <w:t> </w:t>
      </w:r>
      <w:r>
        <w:rPr/>
        <w:t>these time dependent variations. These changes could be due to circadian variation in factors involved in pharmacokinetics within the biological system and include gastric emptying time, gastric and mucosal motility, hepatic and renal blood flow or diurnal variation of protein binding (Paysse </w:t>
      </w:r>
      <w:r>
        <w:rPr>
          <w:i/>
        </w:rPr>
        <w:t>et al</w:t>
      </w:r>
      <w:r>
        <w:rPr/>
        <w:t>., 1997).</w:t>
      </w:r>
    </w:p>
    <w:p>
      <w:pPr>
        <w:spacing w:after="0" w:line="480" w:lineRule="auto"/>
        <w:jc w:val="both"/>
        <w:sectPr>
          <w:pgSz w:w="12240" w:h="15840"/>
          <w:pgMar w:header="0" w:footer="1015" w:top="1360" w:bottom="1200" w:left="1720" w:right="300"/>
        </w:sectPr>
      </w:pPr>
    </w:p>
    <w:p>
      <w:pPr>
        <w:pStyle w:val="BodyText"/>
        <w:spacing w:line="480" w:lineRule="auto" w:before="72"/>
        <w:ind w:left="296" w:right="1138"/>
        <w:jc w:val="both"/>
      </w:pPr>
      <w:r>
        <w:rPr/>
        <w:t>The time-dependent variations in the pharmacokinetics of a number of drugs have been established. For instance, chronopharmacokinetics of 5-methoxylpsoralen shows that evening administration produces a higher 5-methoxypsoralen concentration and a higher AUC than morning or afternoon administration (Treffel </w:t>
      </w:r>
      <w:r>
        <w:rPr>
          <w:i/>
        </w:rPr>
        <w:t>et al</w:t>
      </w:r>
      <w:r>
        <w:rPr/>
        <w:t>., 1990). Similarly, the circadian rhythm in the pharmacokinetics of valproic acid revealed that plasma valproic acid concentrations were significantly higher and the plasma clearance was lower during the day</w:t>
      </w:r>
      <w:r>
        <w:rPr>
          <w:spacing w:val="-4"/>
        </w:rPr>
        <w:t> </w:t>
      </w:r>
      <w:r>
        <w:rPr/>
        <w:t>when compared to night administration (Ohdo </w:t>
      </w:r>
      <w:r>
        <w:rPr>
          <w:i/>
        </w:rPr>
        <w:t>et al</w:t>
      </w:r>
      <w:r>
        <w:rPr/>
        <w:t>., 1991). Hence, if well applied, chronopharmacokinetics could serve as a strong therapeutic tool in defining the best time</w:t>
      </w:r>
      <w:r>
        <w:rPr>
          <w:spacing w:val="40"/>
        </w:rPr>
        <w:t> </w:t>
      </w:r>
      <w:r>
        <w:rPr/>
        <w:t>of drug administration for maximal efficacy.</w:t>
      </w:r>
    </w:p>
    <w:p>
      <w:pPr>
        <w:pStyle w:val="BodyText"/>
      </w:pPr>
    </w:p>
    <w:p>
      <w:pPr>
        <w:pStyle w:val="BodyText"/>
        <w:spacing w:before="6"/>
      </w:pPr>
    </w:p>
    <w:p>
      <w:pPr>
        <w:pStyle w:val="Heading2"/>
        <w:numPr>
          <w:ilvl w:val="2"/>
          <w:numId w:val="12"/>
        </w:numPr>
        <w:tabs>
          <w:tab w:pos="1016" w:val="left" w:leader="none"/>
        </w:tabs>
        <w:spacing w:line="240" w:lineRule="auto" w:before="0" w:after="0"/>
        <w:ind w:left="1016" w:right="0" w:hanging="720"/>
        <w:jc w:val="both"/>
      </w:pPr>
      <w:bookmarkStart w:name="_TOC_250057" w:id="24"/>
      <w:bookmarkEnd w:id="24"/>
      <w:r>
        <w:rPr>
          <w:spacing w:val="-2"/>
        </w:rPr>
        <w:t>Chronopharmacodynamics</w:t>
      </w:r>
    </w:p>
    <w:p>
      <w:pPr>
        <w:pStyle w:val="BodyText"/>
        <w:spacing w:line="480" w:lineRule="auto" w:before="271"/>
        <w:ind w:left="296" w:right="1138"/>
        <w:jc w:val="both"/>
      </w:pPr>
      <w:r>
        <w:rPr/>
        <w:t>Chronopharmacodynamics refers to the rhythm-dependent differences in the effects of medications. This is dependent on the cyclical rhythms in the factors affecting drug effect which include the free and bound drug fraction, number and conformation of drug-specific receptors, ion channel dynamics, and rate limiting</w:t>
      </w:r>
      <w:r>
        <w:rPr>
          <w:spacing w:val="-1"/>
        </w:rPr>
        <w:t> </w:t>
      </w:r>
      <w:r>
        <w:rPr/>
        <w:t>step(s) in metabolic pathways (Lemmer, 1991). The effects produced by drugs can either be desired or undesired and both the desired and adverse effects of medications can vary significantly according to their time of administration (Lemmer, 1996).</w:t>
      </w:r>
    </w:p>
    <w:p>
      <w:pPr>
        <w:pStyle w:val="BodyText"/>
      </w:pPr>
    </w:p>
    <w:p>
      <w:pPr>
        <w:pStyle w:val="BodyText"/>
        <w:spacing w:before="6"/>
      </w:pPr>
    </w:p>
    <w:p>
      <w:pPr>
        <w:pStyle w:val="Heading2"/>
        <w:numPr>
          <w:ilvl w:val="2"/>
          <w:numId w:val="12"/>
        </w:numPr>
        <w:tabs>
          <w:tab w:pos="1016" w:val="left" w:leader="none"/>
        </w:tabs>
        <w:spacing w:line="240" w:lineRule="auto" w:before="0" w:after="0"/>
        <w:ind w:left="1016" w:right="0" w:hanging="720"/>
        <w:jc w:val="both"/>
      </w:pPr>
      <w:bookmarkStart w:name="_TOC_250056" w:id="25"/>
      <w:bookmarkEnd w:id="25"/>
      <w:r>
        <w:rPr>
          <w:spacing w:val="-2"/>
        </w:rPr>
        <w:t>Chronotoxicology</w:t>
      </w:r>
    </w:p>
    <w:p>
      <w:pPr>
        <w:pStyle w:val="BodyText"/>
        <w:spacing w:line="480" w:lineRule="auto" w:before="272"/>
        <w:ind w:left="296" w:right="1141"/>
        <w:jc w:val="both"/>
      </w:pPr>
      <w:r>
        <w:rPr/>
        <w:t>Chronotoxicology refers to circadian variation in the manifestation and severity of adverse effects and thus intolerance of patients to medications (Reinberg, 1976). Chronotoxicity is more common</w:t>
      </w:r>
      <w:r>
        <w:rPr>
          <w:spacing w:val="4"/>
        </w:rPr>
        <w:t> </w:t>
      </w:r>
      <w:r>
        <w:rPr/>
        <w:t>in</w:t>
      </w:r>
      <w:r>
        <w:rPr>
          <w:spacing w:val="5"/>
        </w:rPr>
        <w:t> </w:t>
      </w:r>
      <w:r>
        <w:rPr/>
        <w:t>drugs</w:t>
      </w:r>
      <w:r>
        <w:rPr>
          <w:spacing w:val="7"/>
        </w:rPr>
        <w:t> </w:t>
      </w:r>
      <w:r>
        <w:rPr/>
        <w:t>with</w:t>
      </w:r>
      <w:r>
        <w:rPr>
          <w:spacing w:val="5"/>
        </w:rPr>
        <w:t> </w:t>
      </w:r>
      <w:r>
        <w:rPr/>
        <w:t>relatively</w:t>
      </w:r>
      <w:r>
        <w:rPr>
          <w:spacing w:val="-1"/>
        </w:rPr>
        <w:t> </w:t>
      </w:r>
      <w:r>
        <w:rPr/>
        <w:t>low</w:t>
      </w:r>
      <w:r>
        <w:rPr>
          <w:spacing w:val="6"/>
        </w:rPr>
        <w:t> </w:t>
      </w:r>
      <w:r>
        <w:rPr/>
        <w:t>therapeutic</w:t>
      </w:r>
      <w:r>
        <w:rPr>
          <w:spacing w:val="2"/>
        </w:rPr>
        <w:t> </w:t>
      </w:r>
      <w:r>
        <w:rPr/>
        <w:t>index</w:t>
      </w:r>
      <w:r>
        <w:rPr>
          <w:spacing w:val="6"/>
        </w:rPr>
        <w:t> </w:t>
      </w:r>
      <w:r>
        <w:rPr/>
        <w:t>and</w:t>
      </w:r>
      <w:r>
        <w:rPr>
          <w:spacing w:val="4"/>
        </w:rPr>
        <w:t> </w:t>
      </w:r>
      <w:r>
        <w:rPr/>
        <w:t>have</w:t>
      </w:r>
      <w:r>
        <w:rPr>
          <w:spacing w:val="3"/>
        </w:rPr>
        <w:t> </w:t>
      </w:r>
      <w:r>
        <w:rPr/>
        <w:t>high</w:t>
      </w:r>
      <w:r>
        <w:rPr>
          <w:spacing w:val="6"/>
        </w:rPr>
        <w:t> </w:t>
      </w:r>
      <w:r>
        <w:rPr/>
        <w:t>risk</w:t>
      </w:r>
      <w:r>
        <w:rPr>
          <w:spacing w:val="4"/>
        </w:rPr>
        <w:t> </w:t>
      </w:r>
      <w:r>
        <w:rPr/>
        <w:t>of</w:t>
      </w:r>
      <w:r>
        <w:rPr>
          <w:spacing w:val="6"/>
        </w:rPr>
        <w:t> </w:t>
      </w:r>
      <w:r>
        <w:rPr>
          <w:spacing w:val="-2"/>
        </w:rPr>
        <w:t>adverse</w:t>
      </w:r>
    </w:p>
    <w:p>
      <w:pPr>
        <w:spacing w:after="0" w:line="480" w:lineRule="auto"/>
        <w:jc w:val="both"/>
        <w:sectPr>
          <w:pgSz w:w="12240" w:h="15840"/>
          <w:pgMar w:header="0" w:footer="1015" w:top="1360" w:bottom="1200" w:left="1720" w:right="300"/>
        </w:sectPr>
      </w:pPr>
    </w:p>
    <w:p>
      <w:pPr>
        <w:pStyle w:val="BodyText"/>
        <w:spacing w:line="480" w:lineRule="auto" w:before="72"/>
        <w:ind w:left="296" w:right="1135"/>
        <w:jc w:val="both"/>
      </w:pPr>
      <w:r>
        <w:rPr/>
        <w:t>effects (Francis and Ueli, 2007). For instance, tolerance in the pharmacokinetics of Flourouracil (5-FU) given by intravenous injection was studied by Novakowska, (1990) and data revealed that administration of 5-FU at 1 am resulted in the longest half-life, the largest volumes of distribution and AUCs, and the lowest clearance, as well as in the least depression in leukocyte counts. This reduced plasma clearance of 5-FU at night resulted in an</w:t>
      </w:r>
      <w:r>
        <w:rPr>
          <w:spacing w:val="-1"/>
        </w:rPr>
        <w:t> </w:t>
      </w:r>
      <w:r>
        <w:rPr/>
        <w:t>accumulation</w:t>
      </w:r>
      <w:r>
        <w:rPr>
          <w:spacing w:val="-1"/>
        </w:rPr>
        <w:t> </w:t>
      </w:r>
      <w:r>
        <w:rPr/>
        <w:t>of</w:t>
      </w:r>
      <w:r>
        <w:rPr>
          <w:spacing w:val="-2"/>
        </w:rPr>
        <w:t> </w:t>
      </w:r>
      <w:r>
        <w:rPr/>
        <w:t>the</w:t>
      </w:r>
      <w:r>
        <w:rPr>
          <w:spacing w:val="-2"/>
        </w:rPr>
        <w:t> </w:t>
      </w:r>
      <w:r>
        <w:rPr/>
        <w:t>drug</w:t>
      </w:r>
      <w:r>
        <w:rPr>
          <w:spacing w:val="-4"/>
        </w:rPr>
        <w:t> </w:t>
      </w:r>
      <w:r>
        <w:rPr/>
        <w:t>between 12</w:t>
      </w:r>
      <w:r>
        <w:rPr>
          <w:spacing w:val="-1"/>
        </w:rPr>
        <w:t> </w:t>
      </w:r>
      <w:r>
        <w:rPr/>
        <w:t>midnight</w:t>
      </w:r>
      <w:r>
        <w:rPr>
          <w:spacing w:val="-1"/>
        </w:rPr>
        <w:t> </w:t>
      </w:r>
      <w:r>
        <w:rPr/>
        <w:t>and</w:t>
      </w:r>
      <w:r>
        <w:rPr>
          <w:spacing w:val="-1"/>
        </w:rPr>
        <w:t> </w:t>
      </w:r>
      <w:r>
        <w:rPr/>
        <w:t>6 am</w:t>
      </w:r>
      <w:r>
        <w:rPr>
          <w:spacing w:val="-1"/>
        </w:rPr>
        <w:t> </w:t>
      </w:r>
      <w:r>
        <w:rPr/>
        <w:t>during</w:t>
      </w:r>
      <w:r>
        <w:rPr>
          <w:spacing w:val="-4"/>
        </w:rPr>
        <w:t> </w:t>
      </w:r>
      <w:r>
        <w:rPr/>
        <w:t>continuous</w:t>
      </w:r>
      <w:r>
        <w:rPr>
          <w:spacing w:val="-1"/>
        </w:rPr>
        <w:t> </w:t>
      </w:r>
      <w:r>
        <w:rPr/>
        <w:t>infusion</w:t>
      </w:r>
      <w:r>
        <w:rPr>
          <w:spacing w:val="-1"/>
        </w:rPr>
        <w:t> </w:t>
      </w:r>
      <w:r>
        <w:rPr/>
        <w:t>at</w:t>
      </w:r>
      <w:r>
        <w:rPr>
          <w:spacing w:val="-1"/>
        </w:rPr>
        <w:t> </w:t>
      </w:r>
      <w:r>
        <w:rPr/>
        <w:t>a constant rate. A good grasp in the time dependent toxicity of drugs will help in the adjustment of dosing time so as to reduce toxicity and improve compliance.</w:t>
      </w:r>
    </w:p>
    <w:p>
      <w:pPr>
        <w:pStyle w:val="BodyText"/>
      </w:pPr>
    </w:p>
    <w:p>
      <w:pPr>
        <w:pStyle w:val="BodyText"/>
        <w:spacing w:before="6"/>
      </w:pPr>
    </w:p>
    <w:p>
      <w:pPr>
        <w:pStyle w:val="Heading2"/>
        <w:numPr>
          <w:ilvl w:val="2"/>
          <w:numId w:val="12"/>
        </w:numPr>
        <w:tabs>
          <w:tab w:pos="1016" w:val="left" w:leader="none"/>
        </w:tabs>
        <w:spacing w:line="240" w:lineRule="auto" w:before="0" w:after="0"/>
        <w:ind w:left="1016" w:right="0" w:hanging="720"/>
        <w:jc w:val="both"/>
      </w:pPr>
      <w:bookmarkStart w:name="_TOC_250055" w:id="26"/>
      <w:bookmarkEnd w:id="26"/>
      <w:r>
        <w:rPr>
          <w:spacing w:val="-2"/>
        </w:rPr>
        <w:t>Chronotherapy</w:t>
      </w:r>
    </w:p>
    <w:p>
      <w:pPr>
        <w:pStyle w:val="BodyText"/>
        <w:spacing w:line="480" w:lineRule="auto" w:before="271"/>
        <w:ind w:left="296" w:right="1136"/>
        <w:jc w:val="both"/>
      </w:pPr>
      <w:r>
        <w:rPr/>
        <w:t>Chronotherapy refers to a treatment method in which </w:t>
      </w:r>
      <w:r>
        <w:rPr>
          <w:i/>
        </w:rPr>
        <w:t>in vivo </w:t>
      </w:r>
      <w:r>
        <w:rPr/>
        <w:t>drug availability is timed to match rhythms of disease in order to optimize therapeutic outcomes and minimize side effects. It takes the advantage of the knowledge that various disease conditions, pharmacologic sensitivity, and pharmacokinetics of many drugs follow circadian variation (Traynor </w:t>
      </w:r>
      <w:r>
        <w:rPr>
          <w:i/>
        </w:rPr>
        <w:t>et al</w:t>
      </w:r>
      <w:r>
        <w:rPr/>
        <w:t>., 1992). The idea of “once a day” medication and the tradition of administration of drugs at evenly spaced intervals to maintain constant drug levels throughout a day may soon wade off with increasing knowledge that some medications may work better if their administration is coordinated with day-night patterns and biological rhythms (Evans and Marain, 1996).</w:t>
      </w:r>
    </w:p>
    <w:p>
      <w:pPr>
        <w:pStyle w:val="BodyText"/>
      </w:pPr>
    </w:p>
    <w:p>
      <w:pPr>
        <w:pStyle w:val="BodyText"/>
        <w:spacing w:before="1"/>
      </w:pPr>
    </w:p>
    <w:p>
      <w:pPr>
        <w:pStyle w:val="BodyText"/>
        <w:spacing w:line="480" w:lineRule="auto" w:before="1"/>
        <w:ind w:left="296" w:right="1138"/>
        <w:jc w:val="both"/>
      </w:pPr>
      <w:r>
        <w:rPr/>
        <w:t>Chronotherapy is employed in the management of a number of disease conditions such as cardiovascular diseases (Hermida </w:t>
      </w:r>
      <w:r>
        <w:rPr>
          <w:i/>
        </w:rPr>
        <w:t>et al</w:t>
      </w:r>
      <w:r>
        <w:rPr/>
        <w:t>., 2011), diabetes mellitus (Friedman and Banerji, 2011),</w:t>
      </w:r>
      <w:r>
        <w:rPr>
          <w:spacing w:val="6"/>
        </w:rPr>
        <w:t> </w:t>
      </w:r>
      <w:r>
        <w:rPr/>
        <w:t>peptic</w:t>
      </w:r>
      <w:r>
        <w:rPr>
          <w:spacing w:val="7"/>
        </w:rPr>
        <w:t> </w:t>
      </w:r>
      <w:r>
        <w:rPr/>
        <w:t>ulcer</w:t>
      </w:r>
      <w:r>
        <w:rPr>
          <w:spacing w:val="10"/>
        </w:rPr>
        <w:t> </w:t>
      </w:r>
      <w:r>
        <w:rPr/>
        <w:t>(Matsuo</w:t>
      </w:r>
      <w:r>
        <w:rPr>
          <w:spacing w:val="9"/>
        </w:rPr>
        <w:t> </w:t>
      </w:r>
      <w:r>
        <w:rPr>
          <w:i/>
        </w:rPr>
        <w:t>et</w:t>
      </w:r>
      <w:r>
        <w:rPr>
          <w:i/>
          <w:spacing w:val="8"/>
        </w:rPr>
        <w:t> </w:t>
      </w:r>
      <w:r>
        <w:rPr>
          <w:i/>
        </w:rPr>
        <w:t>al</w:t>
      </w:r>
      <w:r>
        <w:rPr/>
        <w:t>.,</w:t>
      </w:r>
      <w:r>
        <w:rPr>
          <w:spacing w:val="8"/>
        </w:rPr>
        <w:t> </w:t>
      </w:r>
      <w:r>
        <w:rPr/>
        <w:t>2003),</w:t>
      </w:r>
      <w:r>
        <w:rPr>
          <w:spacing w:val="8"/>
        </w:rPr>
        <w:t> </w:t>
      </w:r>
      <w:r>
        <w:rPr/>
        <w:t>arthritis</w:t>
      </w:r>
      <w:r>
        <w:rPr>
          <w:spacing w:val="9"/>
        </w:rPr>
        <w:t> </w:t>
      </w:r>
      <w:r>
        <w:rPr/>
        <w:t>(Lotlikar</w:t>
      </w:r>
      <w:r>
        <w:rPr>
          <w:spacing w:val="11"/>
        </w:rPr>
        <w:t> </w:t>
      </w:r>
      <w:r>
        <w:rPr>
          <w:i/>
        </w:rPr>
        <w:t>et</w:t>
      </w:r>
      <w:r>
        <w:rPr>
          <w:i/>
          <w:spacing w:val="8"/>
        </w:rPr>
        <w:t> </w:t>
      </w:r>
      <w:r>
        <w:rPr>
          <w:i/>
        </w:rPr>
        <w:t>al</w:t>
      </w:r>
      <w:r>
        <w:rPr/>
        <w:t>.,</w:t>
      </w:r>
      <w:r>
        <w:rPr>
          <w:spacing w:val="9"/>
        </w:rPr>
        <w:t> </w:t>
      </w:r>
      <w:r>
        <w:rPr/>
        <w:t>2010)</w:t>
      </w:r>
      <w:r>
        <w:rPr>
          <w:spacing w:val="7"/>
        </w:rPr>
        <w:t> </w:t>
      </w:r>
      <w:r>
        <w:rPr/>
        <w:t>and</w:t>
      </w:r>
      <w:r>
        <w:rPr>
          <w:spacing w:val="8"/>
        </w:rPr>
        <w:t> </w:t>
      </w:r>
      <w:r>
        <w:rPr/>
        <w:t>asthma</w:t>
      </w:r>
      <w:r>
        <w:rPr>
          <w:spacing w:val="8"/>
        </w:rPr>
        <w:t> </w:t>
      </w:r>
      <w:r>
        <w:rPr>
          <w:spacing w:val="-2"/>
        </w:rPr>
        <w:t>(Patel</w:t>
      </w:r>
    </w:p>
    <w:p>
      <w:pPr>
        <w:spacing w:after="0" w:line="480" w:lineRule="auto"/>
        <w:jc w:val="both"/>
        <w:sectPr>
          <w:pgSz w:w="12240" w:h="15840"/>
          <w:pgMar w:header="0" w:footer="1015" w:top="1360" w:bottom="1200" w:left="1720" w:right="300"/>
        </w:sectPr>
      </w:pPr>
    </w:p>
    <w:p>
      <w:pPr>
        <w:pStyle w:val="BodyText"/>
        <w:spacing w:line="480" w:lineRule="auto" w:before="72"/>
        <w:ind w:left="296" w:right="1138"/>
        <w:jc w:val="both"/>
      </w:pPr>
      <w:r>
        <w:rPr/>
        <w:t>and Amin, 2011) because of their distinct circadian variations. In general, chronotherapy seeks to maximize efficacy and minimize toxicity as much as possible.</w:t>
      </w:r>
    </w:p>
    <w:p>
      <w:pPr>
        <w:pStyle w:val="BodyText"/>
      </w:pPr>
    </w:p>
    <w:p>
      <w:pPr>
        <w:pStyle w:val="BodyText"/>
        <w:spacing w:before="5"/>
      </w:pPr>
    </w:p>
    <w:p>
      <w:pPr>
        <w:pStyle w:val="Heading2"/>
        <w:numPr>
          <w:ilvl w:val="1"/>
          <w:numId w:val="12"/>
        </w:numPr>
        <w:tabs>
          <w:tab w:pos="4158" w:val="left" w:leader="none"/>
        </w:tabs>
        <w:spacing w:line="240" w:lineRule="auto" w:before="0" w:after="0"/>
        <w:ind w:left="4158" w:right="0" w:hanging="720"/>
        <w:jc w:val="both"/>
      </w:pPr>
      <w:bookmarkStart w:name="_TOC_250054" w:id="27"/>
      <w:r>
        <w:rPr/>
        <w:t>Diabetes</w:t>
      </w:r>
      <w:r>
        <w:rPr>
          <w:spacing w:val="-5"/>
        </w:rPr>
        <w:t> </w:t>
      </w:r>
      <w:bookmarkEnd w:id="27"/>
      <w:r>
        <w:rPr>
          <w:spacing w:val="-2"/>
        </w:rPr>
        <w:t>Mellitus</w:t>
      </w:r>
    </w:p>
    <w:p>
      <w:pPr>
        <w:pStyle w:val="BodyText"/>
        <w:spacing w:line="480" w:lineRule="auto" w:before="271"/>
        <w:ind w:left="296" w:right="1133"/>
        <w:jc w:val="both"/>
      </w:pPr>
      <w:r>
        <w:rPr/>
        <w:t>Diabetes Mellitus (DM) is a metabolic disorder characterized by the presence of chronic hyperglycemia accompanied by greater or lesser impairment in the metabolism of carbohydrates, lipids and proteins (Baynes, 2015). It is characterized by clinical features such</w:t>
      </w:r>
      <w:r>
        <w:rPr>
          <w:spacing w:val="-1"/>
        </w:rPr>
        <w:t> </w:t>
      </w:r>
      <w:r>
        <w:rPr/>
        <w:t>as polyphagia,</w:t>
      </w:r>
      <w:r>
        <w:rPr>
          <w:spacing w:val="-1"/>
        </w:rPr>
        <w:t> </w:t>
      </w:r>
      <w:r>
        <w:rPr/>
        <w:t>polyuria,</w:t>
      </w:r>
      <w:r>
        <w:rPr>
          <w:spacing w:val="-1"/>
        </w:rPr>
        <w:t> </w:t>
      </w:r>
      <w:r>
        <w:rPr/>
        <w:t>polydipsia, and unexplained weight loss, and is confirmed by measurement of abnormal hyperglycaemia (fasting venous plasma glucose (FPG) ≥7.0 mmol/l; random blood glucose ≥11.1 mmol/l or venous plasma glucose ≥11.1 mmol/l at two hours after a 75 g oral glucose load i.e. oral glucose tolerance test [OGTT] (IDF,</w:t>
      </w:r>
      <w:r>
        <w:rPr>
          <w:spacing w:val="40"/>
        </w:rPr>
        <w:t> </w:t>
      </w:r>
      <w:r>
        <w:rPr>
          <w:spacing w:val="-2"/>
        </w:rPr>
        <w:t>2011).</w:t>
      </w:r>
    </w:p>
    <w:p>
      <w:pPr>
        <w:pStyle w:val="BodyText"/>
      </w:pPr>
    </w:p>
    <w:p>
      <w:pPr>
        <w:pStyle w:val="BodyText"/>
        <w:spacing w:before="6"/>
      </w:pPr>
    </w:p>
    <w:p>
      <w:pPr>
        <w:pStyle w:val="Heading2"/>
        <w:numPr>
          <w:ilvl w:val="2"/>
          <w:numId w:val="12"/>
        </w:numPr>
        <w:tabs>
          <w:tab w:pos="1016" w:val="left" w:leader="none"/>
        </w:tabs>
        <w:spacing w:line="240" w:lineRule="auto" w:before="0" w:after="0"/>
        <w:ind w:left="1016" w:right="0" w:hanging="720"/>
        <w:jc w:val="both"/>
      </w:pPr>
      <w:bookmarkStart w:name="_TOC_250053" w:id="28"/>
      <w:r>
        <w:rPr/>
        <w:t>Types</w:t>
      </w:r>
      <w:r>
        <w:rPr>
          <w:spacing w:val="-2"/>
        </w:rPr>
        <w:t> </w:t>
      </w:r>
      <w:r>
        <w:rPr/>
        <w:t>of</w:t>
      </w:r>
      <w:r>
        <w:rPr>
          <w:spacing w:val="-1"/>
        </w:rPr>
        <w:t> </w:t>
      </w:r>
      <w:r>
        <w:rPr/>
        <w:t>diabetes</w:t>
      </w:r>
      <w:r>
        <w:rPr>
          <w:spacing w:val="-1"/>
        </w:rPr>
        <w:t> </w:t>
      </w:r>
      <w:bookmarkEnd w:id="28"/>
      <w:r>
        <w:rPr>
          <w:spacing w:val="-2"/>
        </w:rPr>
        <w:t>mellitus</w:t>
      </w:r>
    </w:p>
    <w:p>
      <w:pPr>
        <w:pStyle w:val="BodyText"/>
        <w:spacing w:line="480" w:lineRule="auto" w:before="272"/>
        <w:ind w:left="296" w:right="1136"/>
        <w:jc w:val="both"/>
      </w:pPr>
      <w:r>
        <w:rPr/>
        <w:t>DM is classified into insulin-dependent diabetes mellitus (IDDM), also known as type 1 (formerly called juvenile-onset diabetes mellitus) and non insulin-dependent diabetes mellitus (NIDDM), also known as type 2 (formerly referred to as adult-onset diabetes mellitus) and gestational diabetes.</w:t>
      </w:r>
    </w:p>
    <w:p>
      <w:pPr>
        <w:pStyle w:val="BodyText"/>
      </w:pPr>
    </w:p>
    <w:p>
      <w:pPr>
        <w:pStyle w:val="BodyText"/>
      </w:pPr>
    </w:p>
    <w:p>
      <w:pPr>
        <w:pStyle w:val="ListParagraph"/>
        <w:numPr>
          <w:ilvl w:val="3"/>
          <w:numId w:val="12"/>
        </w:numPr>
        <w:tabs>
          <w:tab w:pos="1016" w:val="left" w:leader="none"/>
        </w:tabs>
        <w:spacing w:line="240" w:lineRule="auto" w:before="0" w:after="0"/>
        <w:ind w:left="1016" w:right="0" w:hanging="720"/>
        <w:jc w:val="both"/>
        <w:rPr>
          <w:i/>
          <w:sz w:val="24"/>
        </w:rPr>
      </w:pPr>
      <w:r>
        <w:rPr>
          <w:i/>
          <w:sz w:val="24"/>
        </w:rPr>
        <w:t>Type</w:t>
      </w:r>
      <w:r>
        <w:rPr>
          <w:i/>
          <w:spacing w:val="-2"/>
          <w:sz w:val="24"/>
        </w:rPr>
        <w:t> </w:t>
      </w:r>
      <w:r>
        <w:rPr>
          <w:i/>
          <w:sz w:val="24"/>
        </w:rPr>
        <w:t>1</w:t>
      </w:r>
      <w:r>
        <w:rPr>
          <w:i/>
          <w:spacing w:val="-1"/>
          <w:sz w:val="24"/>
        </w:rPr>
        <w:t> </w:t>
      </w:r>
      <w:r>
        <w:rPr>
          <w:i/>
          <w:sz w:val="24"/>
        </w:rPr>
        <w:t>diabetes </w:t>
      </w:r>
      <w:r>
        <w:rPr>
          <w:i/>
          <w:spacing w:val="-2"/>
          <w:sz w:val="24"/>
        </w:rPr>
        <w:t>mellitus</w:t>
      </w:r>
    </w:p>
    <w:p>
      <w:pPr>
        <w:pStyle w:val="BodyText"/>
        <w:rPr>
          <w:i/>
        </w:rPr>
      </w:pPr>
    </w:p>
    <w:p>
      <w:pPr>
        <w:pStyle w:val="BodyText"/>
        <w:spacing w:line="480" w:lineRule="auto" w:before="1"/>
        <w:ind w:left="296" w:right="1136"/>
        <w:jc w:val="both"/>
      </w:pPr>
      <w:r>
        <w:rPr/>
        <w:t>Type 1 diabetes (T1DM) mellitus occurs as a result of beta cell destruction caused by an autoimmune process, which results to absolute insulin deficiency and constitutes about 10%</w:t>
      </w:r>
      <w:r>
        <w:rPr>
          <w:spacing w:val="2"/>
        </w:rPr>
        <w:t> </w:t>
      </w:r>
      <w:r>
        <w:rPr/>
        <w:t>cases</w:t>
      </w:r>
      <w:r>
        <w:rPr>
          <w:spacing w:val="3"/>
        </w:rPr>
        <w:t> </w:t>
      </w:r>
      <w:r>
        <w:rPr/>
        <w:t>of</w:t>
      </w:r>
      <w:r>
        <w:rPr>
          <w:spacing w:val="3"/>
        </w:rPr>
        <w:t> </w:t>
      </w:r>
      <w:r>
        <w:rPr/>
        <w:t>diabetes</w:t>
      </w:r>
      <w:r>
        <w:rPr>
          <w:spacing w:val="3"/>
        </w:rPr>
        <w:t> </w:t>
      </w:r>
      <w:r>
        <w:rPr/>
        <w:t>mellitus</w:t>
      </w:r>
      <w:r>
        <w:rPr>
          <w:spacing w:val="8"/>
        </w:rPr>
        <w:t> </w:t>
      </w:r>
      <w:r>
        <w:rPr/>
        <w:t>(Kumar</w:t>
      </w:r>
      <w:r>
        <w:rPr>
          <w:spacing w:val="2"/>
        </w:rPr>
        <w:t> </w:t>
      </w:r>
      <w:r>
        <w:rPr/>
        <w:t>and</w:t>
      </w:r>
      <w:r>
        <w:rPr>
          <w:spacing w:val="4"/>
        </w:rPr>
        <w:t> </w:t>
      </w:r>
      <w:r>
        <w:rPr/>
        <w:t>Clark,</w:t>
      </w:r>
      <w:r>
        <w:rPr>
          <w:spacing w:val="3"/>
        </w:rPr>
        <w:t> </w:t>
      </w:r>
      <w:r>
        <w:rPr/>
        <w:t>2002).</w:t>
      </w:r>
      <w:r>
        <w:rPr>
          <w:spacing w:val="3"/>
        </w:rPr>
        <w:t> </w:t>
      </w:r>
      <w:r>
        <w:rPr/>
        <w:t>Most</w:t>
      </w:r>
      <w:r>
        <w:rPr>
          <w:spacing w:val="5"/>
        </w:rPr>
        <w:t> </w:t>
      </w:r>
      <w:r>
        <w:rPr/>
        <w:t>often,</w:t>
      </w:r>
      <w:r>
        <w:rPr>
          <w:spacing w:val="3"/>
        </w:rPr>
        <w:t> </w:t>
      </w:r>
      <w:r>
        <w:rPr/>
        <w:t>it</w:t>
      </w:r>
      <w:r>
        <w:rPr>
          <w:spacing w:val="5"/>
        </w:rPr>
        <w:t> </w:t>
      </w:r>
      <w:r>
        <w:rPr/>
        <w:t>is</w:t>
      </w:r>
      <w:r>
        <w:rPr>
          <w:spacing w:val="6"/>
        </w:rPr>
        <w:t> </w:t>
      </w:r>
      <w:r>
        <w:rPr/>
        <w:t>characterized</w:t>
      </w:r>
      <w:r>
        <w:rPr>
          <w:spacing w:val="4"/>
        </w:rPr>
        <w:t> </w:t>
      </w:r>
      <w:r>
        <w:rPr>
          <w:spacing w:val="-5"/>
        </w:rPr>
        <w:t>by</w:t>
      </w:r>
    </w:p>
    <w:p>
      <w:pPr>
        <w:spacing w:after="0" w:line="480" w:lineRule="auto"/>
        <w:jc w:val="both"/>
        <w:sectPr>
          <w:pgSz w:w="12240" w:h="15840"/>
          <w:pgMar w:header="0" w:footer="1015" w:top="1360" w:bottom="1200" w:left="1720" w:right="300"/>
        </w:sectPr>
      </w:pPr>
    </w:p>
    <w:p>
      <w:pPr>
        <w:pStyle w:val="BodyText"/>
        <w:spacing w:line="480" w:lineRule="auto" w:before="72"/>
        <w:ind w:left="296" w:right="1134"/>
        <w:jc w:val="both"/>
      </w:pPr>
      <w:r>
        <w:rPr/>
        <w:t>the presence of anti-glutamic acid decarboxylase, islet cell or insulin antibodies which identify the autoimmune processes that lead to beta cell destruction. Some common symptoms produced by type 1 diabetes include abnormal thirst, dry mouth, polyuria, lack of energy, extreme tiredness, polyphagia, sudden weight loss, slow wound healing, recurrent infections and blurred vision (Bearse </w:t>
      </w:r>
      <w:r>
        <w:rPr>
          <w:i/>
        </w:rPr>
        <w:t>et al</w:t>
      </w:r>
      <w:r>
        <w:rPr/>
        <w:t>., 2004; ADA, 2006). Management requires a combination of daily insulin therapy, a close monitoring, a healthy diet, and regular physical exercise to maintain normoglycaemia (Knowler </w:t>
      </w:r>
      <w:r>
        <w:rPr>
          <w:i/>
        </w:rPr>
        <w:t>et al</w:t>
      </w:r>
      <w:r>
        <w:rPr/>
        <w:t>., 2002).</w:t>
      </w:r>
    </w:p>
    <w:p>
      <w:pPr>
        <w:pStyle w:val="BodyText"/>
      </w:pPr>
    </w:p>
    <w:p>
      <w:pPr>
        <w:pStyle w:val="BodyText"/>
        <w:spacing w:before="1"/>
      </w:pPr>
    </w:p>
    <w:p>
      <w:pPr>
        <w:pStyle w:val="ListParagraph"/>
        <w:numPr>
          <w:ilvl w:val="3"/>
          <w:numId w:val="12"/>
        </w:numPr>
        <w:tabs>
          <w:tab w:pos="1016" w:val="left" w:leader="none"/>
        </w:tabs>
        <w:spacing w:line="240" w:lineRule="auto" w:before="0" w:after="0"/>
        <w:ind w:left="1016" w:right="0" w:hanging="720"/>
        <w:jc w:val="left"/>
        <w:rPr>
          <w:i/>
          <w:sz w:val="24"/>
        </w:rPr>
      </w:pPr>
      <w:r>
        <w:rPr>
          <w:i/>
          <w:sz w:val="24"/>
        </w:rPr>
        <w:t>Type</w:t>
      </w:r>
      <w:r>
        <w:rPr>
          <w:i/>
          <w:spacing w:val="-2"/>
          <w:sz w:val="24"/>
        </w:rPr>
        <w:t> </w:t>
      </w:r>
      <w:r>
        <w:rPr>
          <w:i/>
          <w:sz w:val="24"/>
        </w:rPr>
        <w:t>2</w:t>
      </w:r>
      <w:r>
        <w:rPr>
          <w:i/>
          <w:spacing w:val="-1"/>
          <w:sz w:val="24"/>
        </w:rPr>
        <w:t> </w:t>
      </w:r>
      <w:r>
        <w:rPr>
          <w:i/>
          <w:sz w:val="24"/>
        </w:rPr>
        <w:t>diabetes </w:t>
      </w:r>
      <w:r>
        <w:rPr>
          <w:i/>
          <w:spacing w:val="-2"/>
          <w:sz w:val="24"/>
        </w:rPr>
        <w:t>mellitus</w:t>
      </w:r>
    </w:p>
    <w:p>
      <w:pPr>
        <w:pStyle w:val="BodyText"/>
        <w:rPr>
          <w:i/>
        </w:rPr>
      </w:pPr>
    </w:p>
    <w:p>
      <w:pPr>
        <w:pStyle w:val="BodyText"/>
        <w:spacing w:line="480" w:lineRule="auto"/>
        <w:ind w:left="296" w:right="1137"/>
        <w:jc w:val="both"/>
      </w:pPr>
      <w:r>
        <w:rPr/>
        <w:t>Type 2 diabetes mellitus (T2DM) is the most common form of diabetes mellitus and comprises about 80% to 90% of all cases of DM (Ahmed, 2002). Family history of diabetes, old age, obesity and lack of exercise has been linked to T2DM (Nasir </w:t>
      </w:r>
      <w:r>
        <w:rPr>
          <w:i/>
        </w:rPr>
        <w:t>et al</w:t>
      </w:r>
      <w:r>
        <w:rPr/>
        <w:t>., 2008). T2DM is more common in women, especially those with a history of gestational diabetes, and in Blacks, Hispanics and Native Americans (ADA, 2010). The prevalence is higher in adults; however, recent reports suggest it has been increasingly seen in children (IDF, 2013). In contrast to T1DM, in T2DM, the body produces insulin which may not be sufficient or sometimes the tissue response to insulin is low (also known as insulin resistance), leading to hyperglycaemia.</w:t>
      </w:r>
    </w:p>
    <w:p>
      <w:pPr>
        <w:pStyle w:val="BodyText"/>
      </w:pPr>
    </w:p>
    <w:p>
      <w:pPr>
        <w:pStyle w:val="BodyText"/>
        <w:spacing w:before="1"/>
      </w:pPr>
    </w:p>
    <w:p>
      <w:pPr>
        <w:pStyle w:val="ListParagraph"/>
        <w:numPr>
          <w:ilvl w:val="3"/>
          <w:numId w:val="12"/>
        </w:numPr>
        <w:tabs>
          <w:tab w:pos="1016" w:val="left" w:leader="none"/>
        </w:tabs>
        <w:spacing w:line="240" w:lineRule="auto" w:before="1" w:after="0"/>
        <w:ind w:left="1016" w:right="0" w:hanging="720"/>
        <w:jc w:val="left"/>
        <w:rPr>
          <w:i/>
          <w:sz w:val="24"/>
        </w:rPr>
      </w:pPr>
      <w:r>
        <w:rPr>
          <w:i/>
          <w:sz w:val="24"/>
        </w:rPr>
        <w:t>Gestational</w:t>
      </w:r>
      <w:r>
        <w:rPr>
          <w:i/>
          <w:spacing w:val="-2"/>
          <w:sz w:val="24"/>
        </w:rPr>
        <w:t> </w:t>
      </w:r>
      <w:r>
        <w:rPr>
          <w:i/>
          <w:sz w:val="24"/>
        </w:rPr>
        <w:t>diabetes</w:t>
      </w:r>
      <w:r>
        <w:rPr>
          <w:i/>
          <w:spacing w:val="-1"/>
          <w:sz w:val="24"/>
        </w:rPr>
        <w:t> </w:t>
      </w:r>
      <w:r>
        <w:rPr>
          <w:i/>
          <w:spacing w:val="-2"/>
          <w:sz w:val="24"/>
        </w:rPr>
        <w:t>mellitus</w:t>
      </w:r>
    </w:p>
    <w:p>
      <w:pPr>
        <w:pStyle w:val="BodyText"/>
        <w:spacing w:line="480" w:lineRule="auto" w:before="276"/>
        <w:ind w:left="296" w:right="1141"/>
        <w:jc w:val="both"/>
      </w:pPr>
      <w:r>
        <w:rPr/>
        <w:t>Gestational diabetes mellitus (GDM) is a type of diabetes found in women who develop diabetes mellitus during pregnancy. Women who develop T1DM during gestation, and women with</w:t>
      </w:r>
      <w:r>
        <w:rPr>
          <w:spacing w:val="4"/>
        </w:rPr>
        <w:t> </w:t>
      </w:r>
      <w:r>
        <w:rPr/>
        <w:t>undiagnosed</w:t>
      </w:r>
      <w:r>
        <w:rPr>
          <w:spacing w:val="3"/>
        </w:rPr>
        <w:t> </w:t>
      </w:r>
      <w:r>
        <w:rPr/>
        <w:t>asymptomatic</w:t>
      </w:r>
      <w:r>
        <w:rPr>
          <w:spacing w:val="3"/>
        </w:rPr>
        <w:t> </w:t>
      </w:r>
      <w:r>
        <w:rPr/>
        <w:t>T2DM</w:t>
      </w:r>
      <w:r>
        <w:rPr>
          <w:spacing w:val="5"/>
        </w:rPr>
        <w:t> </w:t>
      </w:r>
      <w:r>
        <w:rPr/>
        <w:t>discovered</w:t>
      </w:r>
      <w:r>
        <w:rPr>
          <w:spacing w:val="3"/>
        </w:rPr>
        <w:t> </w:t>
      </w:r>
      <w:r>
        <w:rPr/>
        <w:t>during</w:t>
      </w:r>
      <w:r>
        <w:rPr>
          <w:spacing w:val="1"/>
        </w:rPr>
        <w:t> </w:t>
      </w:r>
      <w:r>
        <w:rPr/>
        <w:t>pregnancy</w:t>
      </w:r>
      <w:r>
        <w:rPr>
          <w:spacing w:val="-2"/>
        </w:rPr>
        <w:t> </w:t>
      </w:r>
      <w:r>
        <w:rPr/>
        <w:t>are</w:t>
      </w:r>
      <w:r>
        <w:rPr>
          <w:spacing w:val="1"/>
        </w:rPr>
        <w:t> </w:t>
      </w:r>
      <w:r>
        <w:rPr>
          <w:spacing w:val="-2"/>
        </w:rPr>
        <w:t>classified</w:t>
      </w:r>
    </w:p>
    <w:p>
      <w:pPr>
        <w:spacing w:after="0" w:line="480" w:lineRule="auto"/>
        <w:jc w:val="both"/>
        <w:sectPr>
          <w:pgSz w:w="12240" w:h="15840"/>
          <w:pgMar w:header="0" w:footer="1015" w:top="1360" w:bottom="1200" w:left="1720" w:right="300"/>
        </w:sectPr>
      </w:pPr>
    </w:p>
    <w:p>
      <w:pPr>
        <w:pStyle w:val="BodyText"/>
        <w:spacing w:line="480" w:lineRule="auto" w:before="72"/>
        <w:ind w:left="296" w:right="1133"/>
        <w:jc w:val="both"/>
      </w:pPr>
      <w:r>
        <w:rPr/>
        <w:t>with GDM and this usually occurs in the third trimester for most women (Naylor </w:t>
      </w:r>
      <w:r>
        <w:rPr>
          <w:i/>
        </w:rPr>
        <w:t>et al</w:t>
      </w:r>
      <w:r>
        <w:rPr/>
        <w:t>., </w:t>
      </w:r>
      <w:r>
        <w:rPr>
          <w:spacing w:val="-2"/>
        </w:rPr>
        <w:t>1997).</w:t>
      </w:r>
    </w:p>
    <w:p>
      <w:pPr>
        <w:pStyle w:val="BodyText"/>
      </w:pPr>
    </w:p>
    <w:p>
      <w:pPr>
        <w:pStyle w:val="BodyText"/>
        <w:spacing w:before="5"/>
      </w:pPr>
    </w:p>
    <w:p>
      <w:pPr>
        <w:pStyle w:val="Heading2"/>
        <w:numPr>
          <w:ilvl w:val="1"/>
          <w:numId w:val="12"/>
        </w:numPr>
        <w:tabs>
          <w:tab w:pos="2238" w:val="left" w:leader="none"/>
        </w:tabs>
        <w:spacing w:line="240" w:lineRule="auto" w:before="0" w:after="0"/>
        <w:ind w:left="2238" w:right="0" w:hanging="720"/>
        <w:jc w:val="both"/>
      </w:pPr>
      <w:bookmarkStart w:name="_TOC_250052" w:id="29"/>
      <w:r>
        <w:rPr/>
        <w:t>Pathogenesis</w:t>
      </w:r>
      <w:r>
        <w:rPr>
          <w:spacing w:val="-5"/>
        </w:rPr>
        <w:t> </w:t>
      </w:r>
      <w:r>
        <w:rPr/>
        <w:t>and</w:t>
      </w:r>
      <w:r>
        <w:rPr>
          <w:spacing w:val="-3"/>
        </w:rPr>
        <w:t> </w:t>
      </w:r>
      <w:r>
        <w:rPr/>
        <w:t>Pathophysiology</w:t>
      </w:r>
      <w:r>
        <w:rPr>
          <w:spacing w:val="-2"/>
        </w:rPr>
        <w:t> </w:t>
      </w:r>
      <w:r>
        <w:rPr/>
        <w:t>of</w:t>
      </w:r>
      <w:r>
        <w:rPr>
          <w:spacing w:val="-2"/>
        </w:rPr>
        <w:t> </w:t>
      </w:r>
      <w:r>
        <w:rPr/>
        <w:t>Diabetes</w:t>
      </w:r>
      <w:bookmarkEnd w:id="29"/>
      <w:r>
        <w:rPr>
          <w:spacing w:val="-2"/>
        </w:rPr>
        <w:t> Mellitus</w:t>
      </w:r>
    </w:p>
    <w:p>
      <w:pPr>
        <w:pStyle w:val="BodyText"/>
        <w:spacing w:line="480" w:lineRule="auto" w:before="271"/>
        <w:ind w:left="296" w:right="1137"/>
        <w:jc w:val="both"/>
      </w:pPr>
      <w:r>
        <w:rPr/>
        <w:t>The pathogenesis and pathophysiology of diabetes mellitus is a complex process and this varies depending on the type of DM (Patidar, 2011). T1DM is characterized by an autoimmune destruction of pancreatic β cells by CD4</w:t>
      </w:r>
      <w:r>
        <w:rPr>
          <w:vertAlign w:val="superscript"/>
        </w:rPr>
        <w:t>+</w:t>
      </w:r>
      <w:r>
        <w:rPr>
          <w:vertAlign w:val="baseline"/>
        </w:rPr>
        <w:t> and CD8</w:t>
      </w:r>
      <w:r>
        <w:rPr>
          <w:vertAlign w:val="superscript"/>
        </w:rPr>
        <w:t>+</w:t>
      </w:r>
      <w:r>
        <w:rPr>
          <w:vertAlign w:val="baseline"/>
        </w:rPr>
        <w:t> T cells and macrophages infiltrating the islets and results to absolute deficiency in insulin secretion (Al Homsi and Lukic, 1992). Deficiency in insulin leads to uncontrolled lipolysis and elevated levels of free fatty acids in the plasma, which suppresses glucose metabolism in peripheral tissues such as skeletal muscles (Holt, 2004).</w:t>
      </w:r>
    </w:p>
    <w:p>
      <w:pPr>
        <w:pStyle w:val="BodyText"/>
      </w:pPr>
    </w:p>
    <w:p>
      <w:pPr>
        <w:pStyle w:val="BodyText"/>
        <w:spacing w:before="1"/>
      </w:pPr>
    </w:p>
    <w:p>
      <w:pPr>
        <w:pStyle w:val="BodyText"/>
        <w:spacing w:line="480" w:lineRule="auto"/>
        <w:ind w:left="296" w:right="1134"/>
        <w:jc w:val="both"/>
      </w:pPr>
      <w:r>
        <w:rPr/>
        <w:t>Two main pathological defects are typical of T2DM. Impaired insulin secretion through a dysfunction of the pancreatic β-cell and impaired insulin action through insulin resistance (ADA, 2010). In instances where insulin resistance predominates, the mass of β-cells undergo a transformation capable of increasing the insulin supply and compensate for the excessive demand. Absolutely, the plasma insulin concentration (both fasting and meal stimulated) is usually increased, but because of the reduced sensitivity to insulin, plasma insulin concentration is insufficient to maintain normal glucose homeostasis (Baynes, </w:t>
      </w:r>
      <w:r>
        <w:rPr>
          <w:spacing w:val="-2"/>
        </w:rPr>
        <w:t>2015).</w:t>
      </w:r>
    </w:p>
    <w:p>
      <w:pPr>
        <w:spacing w:after="0" w:line="480" w:lineRule="auto"/>
        <w:jc w:val="both"/>
        <w:sectPr>
          <w:pgSz w:w="12240" w:h="15840"/>
          <w:pgMar w:header="0" w:footer="1015" w:top="1360" w:bottom="1200" w:left="1720" w:right="300"/>
        </w:sectPr>
      </w:pPr>
    </w:p>
    <w:p>
      <w:pPr>
        <w:pStyle w:val="Heading2"/>
        <w:numPr>
          <w:ilvl w:val="1"/>
          <w:numId w:val="12"/>
        </w:numPr>
        <w:tabs>
          <w:tab w:pos="3438" w:val="left" w:leader="none"/>
        </w:tabs>
        <w:spacing w:line="240" w:lineRule="auto" w:before="76" w:after="0"/>
        <w:ind w:left="3438" w:right="0" w:hanging="720"/>
        <w:jc w:val="both"/>
      </w:pPr>
      <w:bookmarkStart w:name="_TOC_250051" w:id="30"/>
      <w:r>
        <w:rPr/>
        <w:t>Prevalence</w:t>
      </w:r>
      <w:r>
        <w:rPr>
          <w:spacing w:val="-4"/>
        </w:rPr>
        <w:t> </w:t>
      </w:r>
      <w:r>
        <w:rPr/>
        <w:t>of</w:t>
      </w:r>
      <w:r>
        <w:rPr>
          <w:spacing w:val="-1"/>
        </w:rPr>
        <w:t> </w:t>
      </w:r>
      <w:r>
        <w:rPr/>
        <w:t>Diabetes </w:t>
      </w:r>
      <w:bookmarkEnd w:id="30"/>
      <w:r>
        <w:rPr>
          <w:spacing w:val="-2"/>
        </w:rPr>
        <w:t>Mellitus</w:t>
      </w:r>
    </w:p>
    <w:p>
      <w:pPr>
        <w:pStyle w:val="BodyText"/>
        <w:spacing w:line="480" w:lineRule="auto" w:before="272"/>
        <w:ind w:left="296" w:right="1134"/>
        <w:jc w:val="both"/>
      </w:pPr>
      <w:r>
        <w:rPr/>
        <w:t>The</w:t>
      </w:r>
      <w:r>
        <w:rPr>
          <w:spacing w:val="-5"/>
        </w:rPr>
        <w:t> </w:t>
      </w:r>
      <w:r>
        <w:rPr/>
        <w:t>worldwide</w:t>
      </w:r>
      <w:r>
        <w:rPr>
          <w:spacing w:val="-3"/>
        </w:rPr>
        <w:t> </w:t>
      </w:r>
      <w:r>
        <w:rPr/>
        <w:t>prevalence</w:t>
      </w:r>
      <w:r>
        <w:rPr>
          <w:spacing w:val="-4"/>
        </w:rPr>
        <w:t> </w:t>
      </w:r>
      <w:r>
        <w:rPr/>
        <w:t>of</w:t>
      </w:r>
      <w:r>
        <w:rPr>
          <w:spacing w:val="-3"/>
        </w:rPr>
        <w:t> </w:t>
      </w:r>
      <w:r>
        <w:rPr/>
        <w:t>diabetes</w:t>
      </w:r>
      <w:r>
        <w:rPr>
          <w:spacing w:val="-3"/>
        </w:rPr>
        <w:t> </w:t>
      </w:r>
      <w:r>
        <w:rPr/>
        <w:t>has</w:t>
      </w:r>
      <w:r>
        <w:rPr>
          <w:spacing w:val="-3"/>
        </w:rPr>
        <w:t> </w:t>
      </w:r>
      <w:r>
        <w:rPr/>
        <w:t>continued</w:t>
      </w:r>
      <w:r>
        <w:rPr>
          <w:spacing w:val="-3"/>
        </w:rPr>
        <w:t> </w:t>
      </w:r>
      <w:r>
        <w:rPr/>
        <w:t>to</w:t>
      </w:r>
      <w:r>
        <w:rPr>
          <w:spacing w:val="-3"/>
        </w:rPr>
        <w:t> </w:t>
      </w:r>
      <w:r>
        <w:rPr/>
        <w:t>increase</w:t>
      </w:r>
      <w:r>
        <w:rPr>
          <w:spacing w:val="-4"/>
        </w:rPr>
        <w:t> </w:t>
      </w:r>
      <w:r>
        <w:rPr/>
        <w:t>dramatically.</w:t>
      </w:r>
      <w:r>
        <w:rPr>
          <w:spacing w:val="-3"/>
        </w:rPr>
        <w:t> </w:t>
      </w:r>
      <w:r>
        <w:rPr/>
        <w:t>A</w:t>
      </w:r>
      <w:r>
        <w:rPr>
          <w:spacing w:val="-3"/>
        </w:rPr>
        <w:t> </w:t>
      </w:r>
      <w:r>
        <w:rPr/>
        <w:t>worldwide estimate of 387 million people with DM was reported in 2014, with T2DM making up about 90%</w:t>
      </w:r>
      <w:r>
        <w:rPr>
          <w:spacing w:val="-1"/>
        </w:rPr>
        <w:t> </w:t>
      </w:r>
      <w:r>
        <w:rPr/>
        <w:t>of</w:t>
      </w:r>
      <w:r>
        <w:rPr>
          <w:spacing w:val="-1"/>
        </w:rPr>
        <w:t> </w:t>
      </w:r>
      <w:r>
        <w:rPr/>
        <w:t>the</w:t>
      </w:r>
      <w:r>
        <w:rPr>
          <w:spacing w:val="-1"/>
        </w:rPr>
        <w:t> </w:t>
      </w:r>
      <w:r>
        <w:rPr/>
        <w:t>cases (Chen </w:t>
      </w:r>
      <w:r>
        <w:rPr>
          <w:i/>
        </w:rPr>
        <w:t>et al</w:t>
      </w:r>
      <w:r>
        <w:rPr/>
        <w:t>., 2014; IDF, 2014).</w:t>
      </w:r>
      <w:r>
        <w:rPr>
          <w:spacing w:val="-1"/>
        </w:rPr>
        <w:t> </w:t>
      </w:r>
      <w:r>
        <w:rPr/>
        <w:t>Presently</w:t>
      </w:r>
      <w:r>
        <w:rPr>
          <w:spacing w:val="-5"/>
        </w:rPr>
        <w:t> </w:t>
      </w:r>
      <w:r>
        <w:rPr/>
        <w:t>about 50%</w:t>
      </w:r>
      <w:r>
        <w:rPr>
          <w:spacing w:val="-1"/>
        </w:rPr>
        <w:t> </w:t>
      </w:r>
      <w:r>
        <w:rPr/>
        <w:t>of</w:t>
      </w:r>
      <w:r>
        <w:rPr>
          <w:spacing w:val="-1"/>
        </w:rPr>
        <w:t> </w:t>
      </w:r>
      <w:r>
        <w:rPr/>
        <w:t>people</w:t>
      </w:r>
      <w:r>
        <w:rPr>
          <w:spacing w:val="-1"/>
        </w:rPr>
        <w:t> </w:t>
      </w:r>
      <w:r>
        <w:rPr/>
        <w:t>with diabetes are undiagnosed. Its incidence is increasing rapidly, and by 2035 this number is estimated</w:t>
      </w:r>
      <w:r>
        <w:rPr>
          <w:spacing w:val="-3"/>
        </w:rPr>
        <w:t> </w:t>
      </w:r>
      <w:r>
        <w:rPr/>
        <w:t>to</w:t>
      </w:r>
      <w:r>
        <w:rPr>
          <w:spacing w:val="-3"/>
        </w:rPr>
        <w:t> </w:t>
      </w:r>
      <w:r>
        <w:rPr/>
        <w:t>be</w:t>
      </w:r>
      <w:r>
        <w:rPr>
          <w:spacing w:val="-2"/>
        </w:rPr>
        <w:t> </w:t>
      </w:r>
      <w:r>
        <w:rPr/>
        <w:t>almost</w:t>
      </w:r>
      <w:r>
        <w:rPr>
          <w:spacing w:val="-3"/>
        </w:rPr>
        <w:t> </w:t>
      </w:r>
      <w:r>
        <w:rPr/>
        <w:t>around</w:t>
      </w:r>
      <w:r>
        <w:rPr>
          <w:spacing w:val="-3"/>
        </w:rPr>
        <w:t> </w:t>
      </w:r>
      <w:r>
        <w:rPr/>
        <w:t>592</w:t>
      </w:r>
      <w:r>
        <w:rPr>
          <w:spacing w:val="-3"/>
        </w:rPr>
        <w:t> </w:t>
      </w:r>
      <w:r>
        <w:rPr/>
        <w:t>million</w:t>
      </w:r>
      <w:r>
        <w:rPr>
          <w:spacing w:val="-3"/>
        </w:rPr>
        <w:t> </w:t>
      </w:r>
      <w:r>
        <w:rPr/>
        <w:t>(Wild </w:t>
      </w:r>
      <w:r>
        <w:rPr>
          <w:i/>
        </w:rPr>
        <w:t>et</w:t>
      </w:r>
      <w:r>
        <w:rPr>
          <w:i/>
          <w:spacing w:val="-3"/>
        </w:rPr>
        <w:t> </w:t>
      </w:r>
      <w:r>
        <w:rPr>
          <w:i/>
        </w:rPr>
        <w:t>al</w:t>
      </w:r>
      <w:r>
        <w:rPr/>
        <w:t>.,</w:t>
      </w:r>
      <w:r>
        <w:rPr>
          <w:spacing w:val="-3"/>
        </w:rPr>
        <w:t> </w:t>
      </w:r>
      <w:r>
        <w:rPr/>
        <w:t>2004;</w:t>
      </w:r>
      <w:r>
        <w:rPr>
          <w:spacing w:val="-1"/>
        </w:rPr>
        <w:t> </w:t>
      </w:r>
      <w:r>
        <w:rPr/>
        <w:t>IDF,</w:t>
      </w:r>
      <w:r>
        <w:rPr>
          <w:spacing w:val="-3"/>
        </w:rPr>
        <w:t> </w:t>
      </w:r>
      <w:r>
        <w:rPr/>
        <w:t>2014). DM</w:t>
      </w:r>
      <w:r>
        <w:rPr>
          <w:spacing w:val="-3"/>
        </w:rPr>
        <w:t> </w:t>
      </w:r>
      <w:r>
        <w:rPr/>
        <w:t>significantly contributes to morbidity and mortality worldwide, especially in developing countries like Nigeria. Between 2004 and 2010, an estimated 3.4 million people were reported to have died from hyperglycaemia and its complications (WHO, 2009; 2013), with more than 80% of these deaths occurring in low and medium income countries of the world. For Africa, in 2011, an estimated 14.7 million adults were suffering from diabetes which resulted in 344,000 deaths and nearly 2.8 billion dollars was spent on the disease by countries in the region (WHO, 2013).</w:t>
      </w:r>
    </w:p>
    <w:p>
      <w:pPr>
        <w:pStyle w:val="BodyText"/>
      </w:pPr>
    </w:p>
    <w:p>
      <w:pPr>
        <w:pStyle w:val="BodyText"/>
        <w:spacing w:before="1"/>
      </w:pPr>
    </w:p>
    <w:p>
      <w:pPr>
        <w:pStyle w:val="BodyText"/>
        <w:spacing w:line="480" w:lineRule="auto" w:before="1"/>
        <w:ind w:left="296" w:right="1136"/>
        <w:jc w:val="both"/>
      </w:pPr>
      <w:r>
        <w:rPr/>
        <w:t>Available information shows that there is paucity of data on the prevalence of DM in Nigeria. However, studies suggest that the prevalence of diabetes in Nigeria varies across different zones of the country but ranges from 2.2 - 9.8% (Akinkugbe, 1997; Nyenwe </w:t>
      </w:r>
      <w:r>
        <w:rPr>
          <w:i/>
        </w:rPr>
        <w:t>et</w:t>
      </w:r>
      <w:r>
        <w:rPr>
          <w:i/>
          <w:spacing w:val="40"/>
        </w:rPr>
        <w:t> </w:t>
      </w:r>
      <w:r>
        <w:rPr>
          <w:i/>
        </w:rPr>
        <w:t>al</w:t>
      </w:r>
      <w:r>
        <w:rPr/>
        <w:t>., 2010; Chinenye and Ogbera, 2013). Earlier studies also reported that Nigeria has the highest</w:t>
      </w:r>
      <w:r>
        <w:rPr>
          <w:spacing w:val="-1"/>
        </w:rPr>
        <w:t> </w:t>
      </w:r>
      <w:r>
        <w:rPr/>
        <w:t>number of</w:t>
      </w:r>
      <w:r>
        <w:rPr>
          <w:spacing w:val="-2"/>
        </w:rPr>
        <w:t> </w:t>
      </w:r>
      <w:r>
        <w:rPr/>
        <w:t>people living</w:t>
      </w:r>
      <w:r>
        <w:rPr>
          <w:spacing w:val="-3"/>
        </w:rPr>
        <w:t> </w:t>
      </w:r>
      <w:r>
        <w:rPr/>
        <w:t>with</w:t>
      </w:r>
      <w:r>
        <w:rPr>
          <w:spacing w:val="-1"/>
        </w:rPr>
        <w:t> </w:t>
      </w:r>
      <w:r>
        <w:rPr/>
        <w:t>diabetes</w:t>
      </w:r>
      <w:r>
        <w:rPr>
          <w:spacing w:val="-2"/>
        </w:rPr>
        <w:t> </w:t>
      </w:r>
      <w:r>
        <w:rPr/>
        <w:t>and impaired</w:t>
      </w:r>
      <w:r>
        <w:rPr>
          <w:spacing w:val="-1"/>
        </w:rPr>
        <w:t> </w:t>
      </w:r>
      <w:r>
        <w:rPr/>
        <w:t>fasting</w:t>
      </w:r>
      <w:r>
        <w:rPr>
          <w:spacing w:val="-1"/>
        </w:rPr>
        <w:t> </w:t>
      </w:r>
      <w:r>
        <w:rPr/>
        <w:t>glucose (IFG)</w:t>
      </w:r>
      <w:r>
        <w:rPr>
          <w:spacing w:val="-2"/>
        </w:rPr>
        <w:t> </w:t>
      </w:r>
      <w:r>
        <w:rPr/>
        <w:t>in</w:t>
      </w:r>
      <w:r>
        <w:rPr>
          <w:spacing w:val="-1"/>
        </w:rPr>
        <w:t> </w:t>
      </w:r>
      <w:r>
        <w:rPr/>
        <w:t>Africa (Akinkugbe, 1997).</w:t>
      </w:r>
      <w:r>
        <w:rPr>
          <w:spacing w:val="40"/>
        </w:rPr>
        <w:t> </w:t>
      </w:r>
      <w:r>
        <w:rPr/>
        <w:t>Adequate management of diabetes mellitus is important to reduce the prevalence and also prevent resulting complications.</w:t>
      </w:r>
    </w:p>
    <w:p>
      <w:pPr>
        <w:spacing w:after="0" w:line="480" w:lineRule="auto"/>
        <w:jc w:val="both"/>
        <w:sectPr>
          <w:pgSz w:w="12240" w:h="15840"/>
          <w:pgMar w:header="0" w:footer="1015" w:top="1360" w:bottom="1200" w:left="1720" w:right="300"/>
        </w:sectPr>
      </w:pPr>
    </w:p>
    <w:p>
      <w:pPr>
        <w:pStyle w:val="Heading2"/>
        <w:numPr>
          <w:ilvl w:val="1"/>
          <w:numId w:val="13"/>
        </w:numPr>
        <w:tabs>
          <w:tab w:pos="3851" w:val="left" w:leader="none"/>
        </w:tabs>
        <w:spacing w:line="240" w:lineRule="auto" w:before="76" w:after="0"/>
        <w:ind w:left="3851" w:right="0" w:hanging="720"/>
        <w:jc w:val="both"/>
      </w:pPr>
      <w:bookmarkStart w:name="_TOC_250050" w:id="31"/>
      <w:r>
        <w:rPr/>
        <w:t>Diabetic</w:t>
      </w:r>
      <w:r>
        <w:rPr>
          <w:spacing w:val="-3"/>
        </w:rPr>
        <w:t> </w:t>
      </w:r>
      <w:bookmarkEnd w:id="31"/>
      <w:r>
        <w:rPr>
          <w:spacing w:val="-2"/>
        </w:rPr>
        <w:t>Complications</w:t>
      </w:r>
    </w:p>
    <w:p>
      <w:pPr>
        <w:pStyle w:val="BodyText"/>
        <w:spacing w:line="480" w:lineRule="auto" w:before="272"/>
        <w:ind w:left="296" w:right="1134"/>
        <w:jc w:val="both"/>
      </w:pPr>
      <w:r>
        <w:rPr/>
        <w:t>Diabetic</w:t>
      </w:r>
      <w:r>
        <w:rPr>
          <w:spacing w:val="-3"/>
        </w:rPr>
        <w:t> </w:t>
      </w:r>
      <w:r>
        <w:rPr/>
        <w:t>patients</w:t>
      </w:r>
      <w:r>
        <w:rPr>
          <w:spacing w:val="-2"/>
        </w:rPr>
        <w:t> </w:t>
      </w:r>
      <w:r>
        <w:rPr/>
        <w:t>are</w:t>
      </w:r>
      <w:r>
        <w:rPr>
          <w:spacing w:val="-3"/>
        </w:rPr>
        <w:t> </w:t>
      </w:r>
      <w:r>
        <w:rPr/>
        <w:t>at a</w:t>
      </w:r>
      <w:r>
        <w:rPr>
          <w:spacing w:val="-1"/>
        </w:rPr>
        <w:t> </w:t>
      </w:r>
      <w:r>
        <w:rPr/>
        <w:t>high risk</w:t>
      </w:r>
      <w:r>
        <w:rPr>
          <w:spacing w:val="-2"/>
        </w:rPr>
        <w:t> </w:t>
      </w:r>
      <w:r>
        <w:rPr/>
        <w:t>of</w:t>
      </w:r>
      <w:r>
        <w:rPr>
          <w:spacing w:val="-3"/>
        </w:rPr>
        <w:t> </w:t>
      </w:r>
      <w:r>
        <w:rPr/>
        <w:t>developing</w:t>
      </w:r>
      <w:r>
        <w:rPr>
          <w:spacing w:val="-5"/>
        </w:rPr>
        <w:t> </w:t>
      </w:r>
      <w:r>
        <w:rPr/>
        <w:t>a</w:t>
      </w:r>
      <w:r>
        <w:rPr>
          <w:spacing w:val="-1"/>
        </w:rPr>
        <w:t> </w:t>
      </w:r>
      <w:r>
        <w:rPr/>
        <w:t>number</w:t>
      </w:r>
      <w:r>
        <w:rPr>
          <w:spacing w:val="-4"/>
        </w:rPr>
        <w:t> </w:t>
      </w:r>
      <w:r>
        <w:rPr/>
        <w:t>of</w:t>
      </w:r>
      <w:r>
        <w:rPr>
          <w:spacing w:val="-2"/>
        </w:rPr>
        <w:t> </w:t>
      </w:r>
      <w:r>
        <w:rPr/>
        <w:t>disabling</w:t>
      </w:r>
      <w:r>
        <w:rPr>
          <w:spacing w:val="-5"/>
        </w:rPr>
        <w:t> </w:t>
      </w:r>
      <w:r>
        <w:rPr/>
        <w:t>and life-threatening health problems which may</w:t>
      </w:r>
      <w:r>
        <w:rPr>
          <w:spacing w:val="-2"/>
        </w:rPr>
        <w:t> </w:t>
      </w:r>
      <w:r>
        <w:rPr/>
        <w:t>affect many</w:t>
      </w:r>
      <w:r>
        <w:rPr>
          <w:spacing w:val="-2"/>
        </w:rPr>
        <w:t> </w:t>
      </w:r>
      <w:r>
        <w:rPr/>
        <w:t>organs and systems in the body</w:t>
      </w:r>
      <w:r>
        <w:rPr>
          <w:spacing w:val="-2"/>
        </w:rPr>
        <w:t> </w:t>
      </w:r>
      <w:r>
        <w:rPr/>
        <w:t>resulting</w:t>
      </w:r>
      <w:r>
        <w:rPr>
          <w:spacing w:val="-1"/>
        </w:rPr>
        <w:t> </w:t>
      </w:r>
      <w:r>
        <w:rPr/>
        <w:t>to severe complications (IDF, 2013). The chronic complications resulting from DM are responsible for the majority of diabetes-related morbidity and mortality worldwide (Mclnnes, 2012). It can</w:t>
      </w:r>
      <w:r>
        <w:rPr>
          <w:spacing w:val="-2"/>
        </w:rPr>
        <w:t> </w:t>
      </w:r>
      <w:r>
        <w:rPr/>
        <w:t>be</w:t>
      </w:r>
      <w:r>
        <w:rPr>
          <w:spacing w:val="-1"/>
        </w:rPr>
        <w:t> </w:t>
      </w:r>
      <w:r>
        <w:rPr/>
        <w:t>divided</w:t>
      </w:r>
      <w:r>
        <w:rPr>
          <w:spacing w:val="-2"/>
        </w:rPr>
        <w:t> </w:t>
      </w:r>
      <w:r>
        <w:rPr/>
        <w:t>into</w:t>
      </w:r>
      <w:r>
        <w:rPr>
          <w:spacing w:val="-2"/>
        </w:rPr>
        <w:t> </w:t>
      </w:r>
      <w:r>
        <w:rPr/>
        <w:t>vascular</w:t>
      </w:r>
      <w:r>
        <w:rPr>
          <w:spacing w:val="-4"/>
        </w:rPr>
        <w:t> </w:t>
      </w:r>
      <w:r>
        <w:rPr/>
        <w:t>and</w:t>
      </w:r>
      <w:r>
        <w:rPr>
          <w:spacing w:val="-2"/>
        </w:rPr>
        <w:t> </w:t>
      </w:r>
      <w:r>
        <w:rPr/>
        <w:t>nonvascular</w:t>
      </w:r>
      <w:r>
        <w:rPr>
          <w:spacing w:val="-2"/>
        </w:rPr>
        <w:t> </w:t>
      </w:r>
      <w:r>
        <w:rPr/>
        <w:t>complications</w:t>
      </w:r>
      <w:r>
        <w:rPr>
          <w:spacing w:val="-2"/>
        </w:rPr>
        <w:t> </w:t>
      </w:r>
      <w:r>
        <w:rPr/>
        <w:t>depending</w:t>
      </w:r>
      <w:r>
        <w:rPr>
          <w:spacing w:val="-5"/>
        </w:rPr>
        <w:t> </w:t>
      </w:r>
      <w:r>
        <w:rPr/>
        <w:t>on</w:t>
      </w:r>
      <w:r>
        <w:rPr>
          <w:spacing w:val="-1"/>
        </w:rPr>
        <w:t> </w:t>
      </w:r>
      <w:r>
        <w:rPr/>
        <w:t>which</w:t>
      </w:r>
      <w:r>
        <w:rPr>
          <w:spacing w:val="-2"/>
        </w:rPr>
        <w:t> </w:t>
      </w:r>
      <w:r>
        <w:rPr/>
        <w:t>part</w:t>
      </w:r>
      <w:r>
        <w:rPr>
          <w:spacing w:val="-2"/>
        </w:rPr>
        <w:t> </w:t>
      </w:r>
      <w:r>
        <w:rPr/>
        <w:t>of</w:t>
      </w:r>
      <w:r>
        <w:rPr>
          <w:spacing w:val="-2"/>
        </w:rPr>
        <w:t> </w:t>
      </w:r>
      <w:r>
        <w:rPr/>
        <w:t>the body is affected (Chan </w:t>
      </w:r>
      <w:r>
        <w:rPr>
          <w:i/>
        </w:rPr>
        <w:t>et al</w:t>
      </w:r>
      <w:r>
        <w:rPr/>
        <w:t>., 2011). Vascular complications are sub-divided into microvascular (retinopathy, nephropathy and peripheral neuropathy) and macrovascular complications which include coronary artery disease, peripheral vascular disease and cerebrovascular disease (Kouroumichakis </w:t>
      </w:r>
      <w:r>
        <w:rPr>
          <w:i/>
        </w:rPr>
        <w:t>et al</w:t>
      </w:r>
      <w:r>
        <w:rPr/>
        <w:t>., 2012). Non-vascular complications</w:t>
      </w:r>
      <w:r>
        <w:rPr>
          <w:spacing w:val="40"/>
        </w:rPr>
        <w:t> </w:t>
      </w:r>
      <w:r>
        <w:rPr/>
        <w:t>include problems such as gastroporesis, sexual dysfunction and skin changes (Chan </w:t>
      </w:r>
      <w:r>
        <w:rPr>
          <w:i/>
        </w:rPr>
        <w:t>et al</w:t>
      </w:r>
      <w:r>
        <w:rPr/>
        <w:t>., </w:t>
      </w:r>
      <w:r>
        <w:rPr>
          <w:spacing w:val="-2"/>
        </w:rPr>
        <w:t>2011).</w:t>
      </w:r>
    </w:p>
    <w:p>
      <w:pPr>
        <w:pStyle w:val="BodyText"/>
      </w:pPr>
    </w:p>
    <w:p>
      <w:pPr>
        <w:pStyle w:val="BodyText"/>
        <w:spacing w:before="6"/>
      </w:pPr>
    </w:p>
    <w:p>
      <w:pPr>
        <w:pStyle w:val="Heading2"/>
        <w:numPr>
          <w:ilvl w:val="2"/>
          <w:numId w:val="13"/>
        </w:numPr>
        <w:tabs>
          <w:tab w:pos="1016" w:val="left" w:leader="none"/>
        </w:tabs>
        <w:spacing w:line="240" w:lineRule="auto" w:before="0" w:after="0"/>
        <w:ind w:left="1016" w:right="0" w:hanging="720"/>
        <w:jc w:val="both"/>
      </w:pPr>
      <w:bookmarkStart w:name="_TOC_250049" w:id="32"/>
      <w:r>
        <w:rPr/>
        <w:t>Microvascular</w:t>
      </w:r>
      <w:r>
        <w:rPr>
          <w:spacing w:val="-4"/>
        </w:rPr>
        <w:t> </w:t>
      </w:r>
      <w:bookmarkEnd w:id="32"/>
      <w:r>
        <w:rPr>
          <w:spacing w:val="-2"/>
        </w:rPr>
        <w:t>complications</w:t>
      </w:r>
    </w:p>
    <w:p>
      <w:pPr>
        <w:pStyle w:val="BodyText"/>
        <w:spacing w:line="480" w:lineRule="auto" w:before="272"/>
        <w:ind w:left="296" w:right="1142"/>
        <w:jc w:val="both"/>
      </w:pPr>
      <w:r>
        <w:rPr/>
        <w:t>Microvascular complications occur as a result of blockade or complete damage to the</w:t>
      </w:r>
      <w:r>
        <w:rPr>
          <w:spacing w:val="40"/>
        </w:rPr>
        <w:t> </w:t>
      </w:r>
      <w:r>
        <w:rPr/>
        <w:t>blood vessels supplying the kidneys, eyes and the peripheral nerves leading to</w:t>
      </w:r>
      <w:r>
        <w:rPr>
          <w:spacing w:val="40"/>
        </w:rPr>
        <w:t> </w:t>
      </w:r>
      <w:r>
        <w:rPr/>
        <w:t>nephropathy, retinopathy and peripheral neuropathy.</w:t>
      </w:r>
    </w:p>
    <w:p>
      <w:pPr>
        <w:pStyle w:val="BodyText"/>
      </w:pPr>
    </w:p>
    <w:p>
      <w:pPr>
        <w:pStyle w:val="BodyText"/>
      </w:pPr>
    </w:p>
    <w:p>
      <w:pPr>
        <w:pStyle w:val="ListParagraph"/>
        <w:numPr>
          <w:ilvl w:val="3"/>
          <w:numId w:val="13"/>
        </w:numPr>
        <w:tabs>
          <w:tab w:pos="1016" w:val="left" w:leader="none"/>
        </w:tabs>
        <w:spacing w:line="240" w:lineRule="auto" w:before="0" w:after="0"/>
        <w:ind w:left="1016" w:right="0" w:hanging="720"/>
        <w:jc w:val="both"/>
        <w:rPr>
          <w:i/>
          <w:sz w:val="24"/>
        </w:rPr>
      </w:pPr>
      <w:r>
        <w:rPr>
          <w:i/>
          <w:sz w:val="24"/>
        </w:rPr>
        <w:t>Diabetic</w:t>
      </w:r>
      <w:r>
        <w:rPr>
          <w:i/>
          <w:spacing w:val="-2"/>
          <w:sz w:val="24"/>
        </w:rPr>
        <w:t> nephropathy</w:t>
      </w:r>
    </w:p>
    <w:p>
      <w:pPr>
        <w:pStyle w:val="BodyText"/>
        <w:rPr>
          <w:i/>
        </w:rPr>
      </w:pPr>
    </w:p>
    <w:p>
      <w:pPr>
        <w:pStyle w:val="BodyText"/>
        <w:spacing w:line="480" w:lineRule="auto"/>
        <w:ind w:left="296" w:right="1139"/>
        <w:jc w:val="both"/>
      </w:pPr>
      <w:r>
        <w:rPr/>
        <w:t>The incidence of diabetic nephropathy</w:t>
      </w:r>
      <w:r>
        <w:rPr>
          <w:spacing w:val="-4"/>
        </w:rPr>
        <w:t> </w:t>
      </w:r>
      <w:r>
        <w:rPr/>
        <w:t>(DN) is becoming</w:t>
      </w:r>
      <w:r>
        <w:rPr>
          <w:spacing w:val="-1"/>
        </w:rPr>
        <w:t> </w:t>
      </w:r>
      <w:r>
        <w:rPr/>
        <w:t>of concern, and is reported as the leading cause of chronic renal failure and end-stage renal damage worldwide (Mclnnes, 2012). Data on the prevalence of nephropathy reveals that 43% of chronic renal failure (CRF)</w:t>
      </w:r>
      <w:r>
        <w:rPr>
          <w:spacing w:val="34"/>
        </w:rPr>
        <w:t> </w:t>
      </w:r>
      <w:r>
        <w:rPr/>
        <w:t>patients</w:t>
      </w:r>
      <w:r>
        <w:rPr>
          <w:spacing w:val="36"/>
        </w:rPr>
        <w:t> </w:t>
      </w:r>
      <w:r>
        <w:rPr/>
        <w:t>on</w:t>
      </w:r>
      <w:r>
        <w:rPr>
          <w:spacing w:val="35"/>
        </w:rPr>
        <w:t> </w:t>
      </w:r>
      <w:r>
        <w:rPr/>
        <w:t>dialysis</w:t>
      </w:r>
      <w:r>
        <w:rPr>
          <w:spacing w:val="36"/>
        </w:rPr>
        <w:t> </w:t>
      </w:r>
      <w:r>
        <w:rPr/>
        <w:t>have</w:t>
      </w:r>
      <w:r>
        <w:rPr>
          <w:spacing w:val="34"/>
        </w:rPr>
        <w:t> </w:t>
      </w:r>
      <w:r>
        <w:rPr/>
        <w:t>diabetic</w:t>
      </w:r>
      <w:r>
        <w:rPr>
          <w:spacing w:val="34"/>
        </w:rPr>
        <w:t> </w:t>
      </w:r>
      <w:r>
        <w:rPr/>
        <w:t>nephropathy.</w:t>
      </w:r>
      <w:r>
        <w:rPr>
          <w:spacing w:val="34"/>
        </w:rPr>
        <w:t> </w:t>
      </w:r>
      <w:r>
        <w:rPr/>
        <w:t>About</w:t>
      </w:r>
      <w:r>
        <w:rPr>
          <w:spacing w:val="35"/>
        </w:rPr>
        <w:t> </w:t>
      </w:r>
      <w:r>
        <w:rPr/>
        <w:t>60%</w:t>
      </w:r>
      <w:r>
        <w:rPr>
          <w:spacing w:val="35"/>
        </w:rPr>
        <w:t> </w:t>
      </w:r>
      <w:r>
        <w:rPr/>
        <w:t>of</w:t>
      </w:r>
      <w:r>
        <w:rPr>
          <w:spacing w:val="35"/>
        </w:rPr>
        <w:t> </w:t>
      </w:r>
      <w:r>
        <w:rPr/>
        <w:t>mortality</w:t>
      </w:r>
      <w:r>
        <w:rPr>
          <w:spacing w:val="30"/>
        </w:rPr>
        <w:t> </w:t>
      </w:r>
      <w:r>
        <w:rPr/>
        <w:t>cases</w:t>
      </w:r>
      <w:r>
        <w:rPr>
          <w:spacing w:val="36"/>
        </w:rPr>
        <w:t> </w:t>
      </w:r>
      <w:r>
        <w:rPr>
          <w:spacing w:val="-5"/>
        </w:rPr>
        <w:t>of</w:t>
      </w:r>
    </w:p>
    <w:p>
      <w:pPr>
        <w:spacing w:after="0" w:line="480" w:lineRule="auto"/>
        <w:jc w:val="both"/>
        <w:sectPr>
          <w:pgSz w:w="12240" w:h="15840"/>
          <w:pgMar w:header="0" w:footer="1015" w:top="1360" w:bottom="1200" w:left="1720" w:right="300"/>
        </w:sectPr>
      </w:pPr>
    </w:p>
    <w:p>
      <w:pPr>
        <w:pStyle w:val="BodyText"/>
        <w:spacing w:line="480" w:lineRule="auto" w:before="72"/>
        <w:ind w:left="296" w:right="1136"/>
        <w:jc w:val="both"/>
      </w:pPr>
      <w:r>
        <w:rPr/>
        <w:t>diabetic patients are due to diabetic nephropathy, and death cases of DM patients due to renal failure are 17 times more as compared to non-diabetic patients (Freedman </w:t>
      </w:r>
      <w:r>
        <w:rPr>
          <w:i/>
        </w:rPr>
        <w:t>et al</w:t>
      </w:r>
      <w:r>
        <w:rPr/>
        <w:t>., 2010; Chan </w:t>
      </w:r>
      <w:r>
        <w:rPr>
          <w:i/>
        </w:rPr>
        <w:t>et al</w:t>
      </w:r>
      <w:r>
        <w:rPr/>
        <w:t>., 2011). Interactions of metabolic and hemodynamic factors which activate common pathways for renal damage are linked to diabetic nephropathy (Cooper, 2001). Some of these factors which include metabolic derangement, glomerular hypertension, oxidative stress and advanced glycation end products are responsible for progression of diabetic nephropathy (Somani </w:t>
      </w:r>
      <w:r>
        <w:rPr>
          <w:i/>
        </w:rPr>
        <w:t>et al</w:t>
      </w:r>
      <w:r>
        <w:rPr/>
        <w:t>., 2012). Common markers for nephropathy include elevated serum levels of urea, creatinine and uric acid; and reduced serum levels of albumin and protein (Idonije </w:t>
      </w:r>
      <w:r>
        <w:rPr>
          <w:i/>
        </w:rPr>
        <w:t>et al</w:t>
      </w:r>
      <w:r>
        <w:rPr/>
        <w:t>., 2011). Pathologically, nephropathy is characterized by microalbuminurea, hyperfiltration, intertubular fibrosis along with increase in extracellular matrix due to thickening of glomerular basement membrane and mesangial expansion (Kafle </w:t>
      </w:r>
      <w:r>
        <w:rPr>
          <w:i/>
        </w:rPr>
        <w:t>et al</w:t>
      </w:r>
      <w:r>
        <w:rPr/>
        <w:t>., 2012).</w:t>
      </w:r>
    </w:p>
    <w:p>
      <w:pPr>
        <w:pStyle w:val="BodyText"/>
      </w:pPr>
    </w:p>
    <w:p>
      <w:pPr>
        <w:pStyle w:val="BodyText"/>
        <w:spacing w:before="1"/>
      </w:pPr>
    </w:p>
    <w:p>
      <w:pPr>
        <w:pStyle w:val="ListParagraph"/>
        <w:numPr>
          <w:ilvl w:val="3"/>
          <w:numId w:val="13"/>
        </w:numPr>
        <w:tabs>
          <w:tab w:pos="1016" w:val="left" w:leader="none"/>
        </w:tabs>
        <w:spacing w:line="240" w:lineRule="auto" w:before="1" w:after="0"/>
        <w:ind w:left="1016" w:right="0" w:hanging="720"/>
        <w:jc w:val="left"/>
        <w:rPr>
          <w:i/>
          <w:sz w:val="24"/>
        </w:rPr>
      </w:pPr>
      <w:r>
        <w:rPr>
          <w:i/>
          <w:sz w:val="24"/>
        </w:rPr>
        <w:t>Diabetic</w:t>
      </w:r>
      <w:r>
        <w:rPr>
          <w:i/>
          <w:spacing w:val="-2"/>
          <w:sz w:val="24"/>
        </w:rPr>
        <w:t> retinopathy</w:t>
      </w:r>
    </w:p>
    <w:p>
      <w:pPr>
        <w:pStyle w:val="BodyText"/>
        <w:spacing w:line="480" w:lineRule="auto" w:before="276"/>
        <w:ind w:left="296" w:right="1134"/>
        <w:jc w:val="both"/>
      </w:pPr>
      <w:r>
        <w:rPr/>
        <w:t>Diabetic retinopathy (DR) is a major complication of DM and is one of the leading causes of blindness worldwide (Sher </w:t>
      </w:r>
      <w:r>
        <w:rPr>
          <w:i/>
        </w:rPr>
        <w:t>et al</w:t>
      </w:r>
      <w:r>
        <w:rPr/>
        <w:t>., 2014). Early diagnosis and prevention of retinopathy</w:t>
      </w:r>
      <w:r>
        <w:rPr>
          <w:spacing w:val="40"/>
        </w:rPr>
        <w:t> </w:t>
      </w:r>
      <w:r>
        <w:rPr/>
        <w:t>in diabetic individuals is necessary for the prevention of blindness. Prolonged hyperglycaemia causes irreversible pathological changes in the retina, leading to proliferative DR with retinal neovascularization and diabetic macular edema (DME) in some individuals (Mohammed </w:t>
      </w:r>
      <w:r>
        <w:rPr>
          <w:i/>
        </w:rPr>
        <w:t>et al</w:t>
      </w:r>
      <w:r>
        <w:rPr/>
        <w:t>., 2007).</w:t>
      </w:r>
    </w:p>
    <w:p>
      <w:pPr>
        <w:pStyle w:val="BodyText"/>
      </w:pPr>
    </w:p>
    <w:p>
      <w:pPr>
        <w:pStyle w:val="BodyText"/>
      </w:pPr>
    </w:p>
    <w:p>
      <w:pPr>
        <w:pStyle w:val="BodyText"/>
        <w:spacing w:line="480" w:lineRule="auto" w:before="1"/>
        <w:ind w:left="296" w:right="1136"/>
        <w:jc w:val="both"/>
      </w:pPr>
      <w:r>
        <w:rPr/>
        <w:t>Epidemiological studies shows that nearly all individuals with T1DM, and more than 60% of T2DM</w:t>
      </w:r>
      <w:r>
        <w:rPr>
          <w:spacing w:val="1"/>
        </w:rPr>
        <w:t> </w:t>
      </w:r>
      <w:r>
        <w:rPr/>
        <w:t>patients</w:t>
      </w:r>
      <w:r>
        <w:rPr>
          <w:spacing w:val="1"/>
        </w:rPr>
        <w:t> </w:t>
      </w:r>
      <w:r>
        <w:rPr/>
        <w:t>manifest</w:t>
      </w:r>
      <w:r>
        <w:rPr>
          <w:spacing w:val="1"/>
        </w:rPr>
        <w:t> </w:t>
      </w:r>
      <w:r>
        <w:rPr/>
        <w:t>some degree of retinopathy</w:t>
      </w:r>
      <w:r>
        <w:rPr>
          <w:spacing w:val="-2"/>
        </w:rPr>
        <w:t> </w:t>
      </w:r>
      <w:r>
        <w:rPr/>
        <w:t>after 20</w:t>
      </w:r>
      <w:r>
        <w:rPr>
          <w:spacing w:val="5"/>
        </w:rPr>
        <w:t> </w:t>
      </w:r>
      <w:r>
        <w:rPr/>
        <w:t>years</w:t>
      </w:r>
      <w:r>
        <w:rPr>
          <w:spacing w:val="3"/>
        </w:rPr>
        <w:t> </w:t>
      </w:r>
      <w:r>
        <w:rPr/>
        <w:t>(Grosso</w:t>
      </w:r>
      <w:r>
        <w:rPr>
          <w:spacing w:val="7"/>
        </w:rPr>
        <w:t> </w:t>
      </w:r>
      <w:r>
        <w:rPr>
          <w:i/>
        </w:rPr>
        <w:t>et</w:t>
      </w:r>
      <w:r>
        <w:rPr>
          <w:i/>
          <w:spacing w:val="2"/>
        </w:rPr>
        <w:t> </w:t>
      </w:r>
      <w:r>
        <w:rPr>
          <w:i/>
        </w:rPr>
        <w:t>al</w:t>
      </w:r>
      <w:r>
        <w:rPr/>
        <w:t>.,</w:t>
      </w:r>
      <w:r>
        <w:rPr>
          <w:spacing w:val="1"/>
        </w:rPr>
        <w:t> </w:t>
      </w:r>
      <w:r>
        <w:rPr>
          <w:spacing w:val="-2"/>
        </w:rPr>
        <w:t>2011).</w:t>
      </w:r>
    </w:p>
    <w:p>
      <w:pPr>
        <w:spacing w:after="0" w:line="480" w:lineRule="auto"/>
        <w:jc w:val="both"/>
        <w:sectPr>
          <w:pgSz w:w="12240" w:h="15840"/>
          <w:pgMar w:header="0" w:footer="1015" w:top="1360" w:bottom="1200" w:left="1720" w:right="300"/>
        </w:sectPr>
      </w:pPr>
    </w:p>
    <w:p>
      <w:pPr>
        <w:pStyle w:val="BodyText"/>
        <w:spacing w:line="480" w:lineRule="auto" w:before="72"/>
        <w:ind w:left="296" w:right="1136"/>
        <w:jc w:val="both"/>
      </w:pPr>
      <w:r>
        <w:rPr/>
        <w:t>Further studies reported that about one out of three in a diabetic population have signs of DR and approximately</w:t>
      </w:r>
      <w:r>
        <w:rPr>
          <w:spacing w:val="-3"/>
        </w:rPr>
        <w:t> </w:t>
      </w:r>
      <w:r>
        <w:rPr/>
        <w:t>one out of ten have vision threatened signs of retinopathy</w:t>
      </w:r>
      <w:r>
        <w:rPr>
          <w:spacing w:val="-3"/>
        </w:rPr>
        <w:t> </w:t>
      </w:r>
      <w:r>
        <w:rPr/>
        <w:t>(Wong </w:t>
      </w:r>
      <w:r>
        <w:rPr>
          <w:i/>
        </w:rPr>
        <w:t>et al</w:t>
      </w:r>
      <w:r>
        <w:rPr/>
        <w:t>., 2006; Wong </w:t>
      </w:r>
      <w:r>
        <w:rPr>
          <w:i/>
        </w:rPr>
        <w:t>et al</w:t>
      </w:r>
      <w:r>
        <w:rPr/>
        <w:t>., 2008; Zhang </w:t>
      </w:r>
      <w:r>
        <w:rPr>
          <w:i/>
        </w:rPr>
        <w:t>et al</w:t>
      </w:r>
      <w:r>
        <w:rPr/>
        <w:t>., 2010).</w:t>
      </w:r>
    </w:p>
    <w:p>
      <w:pPr>
        <w:pStyle w:val="BodyText"/>
      </w:pPr>
    </w:p>
    <w:p>
      <w:pPr>
        <w:pStyle w:val="BodyText"/>
      </w:pPr>
    </w:p>
    <w:p>
      <w:pPr>
        <w:pStyle w:val="BodyText"/>
        <w:spacing w:line="480" w:lineRule="auto"/>
        <w:ind w:left="296" w:right="1138"/>
        <w:jc w:val="both"/>
      </w:pPr>
      <w:r>
        <w:rPr/>
        <w:t>The</w:t>
      </w:r>
      <w:r>
        <w:rPr>
          <w:spacing w:val="-4"/>
        </w:rPr>
        <w:t> </w:t>
      </w:r>
      <w:r>
        <w:rPr/>
        <w:t>fundamental</w:t>
      </w:r>
      <w:r>
        <w:rPr>
          <w:spacing w:val="-1"/>
        </w:rPr>
        <w:t> </w:t>
      </w:r>
      <w:r>
        <w:rPr/>
        <w:t>cause(s)</w:t>
      </w:r>
      <w:r>
        <w:rPr>
          <w:spacing w:val="-3"/>
        </w:rPr>
        <w:t> </w:t>
      </w:r>
      <w:r>
        <w:rPr/>
        <w:t>of</w:t>
      </w:r>
      <w:r>
        <w:rPr>
          <w:spacing w:val="-3"/>
        </w:rPr>
        <w:t> </w:t>
      </w:r>
      <w:r>
        <w:rPr/>
        <w:t>DR</w:t>
      </w:r>
      <w:r>
        <w:rPr>
          <w:spacing w:val="-3"/>
        </w:rPr>
        <w:t> </w:t>
      </w:r>
      <w:r>
        <w:rPr/>
        <w:t>has</w:t>
      </w:r>
      <w:r>
        <w:rPr>
          <w:spacing w:val="-3"/>
        </w:rPr>
        <w:t> </w:t>
      </w:r>
      <w:r>
        <w:rPr/>
        <w:t>not</w:t>
      </w:r>
      <w:r>
        <w:rPr>
          <w:spacing w:val="-1"/>
        </w:rPr>
        <w:t> </w:t>
      </w:r>
      <w:r>
        <w:rPr/>
        <w:t>been</w:t>
      </w:r>
      <w:r>
        <w:rPr>
          <w:spacing w:val="-1"/>
        </w:rPr>
        <w:t> </w:t>
      </w:r>
      <w:r>
        <w:rPr/>
        <w:t>fully</w:t>
      </w:r>
      <w:r>
        <w:rPr>
          <w:spacing w:val="-5"/>
        </w:rPr>
        <w:t> </w:t>
      </w:r>
      <w:r>
        <w:rPr/>
        <w:t>understood</w:t>
      </w:r>
      <w:r>
        <w:rPr>
          <w:spacing w:val="-3"/>
        </w:rPr>
        <w:t> </w:t>
      </w:r>
      <w:r>
        <w:rPr/>
        <w:t>despite years</w:t>
      </w:r>
      <w:r>
        <w:rPr>
          <w:spacing w:val="-3"/>
        </w:rPr>
        <w:t> </w:t>
      </w:r>
      <w:r>
        <w:rPr/>
        <w:t>of</w:t>
      </w:r>
      <w:r>
        <w:rPr>
          <w:spacing w:val="-3"/>
        </w:rPr>
        <w:t> </w:t>
      </w:r>
      <w:r>
        <w:rPr/>
        <w:t>clinical</w:t>
      </w:r>
      <w:r>
        <w:rPr>
          <w:spacing w:val="-3"/>
        </w:rPr>
        <w:t> </w:t>
      </w:r>
      <w:r>
        <w:rPr/>
        <w:t>and laboratory investigations (Curtis </w:t>
      </w:r>
      <w:r>
        <w:rPr>
          <w:i/>
        </w:rPr>
        <w:t>et al</w:t>
      </w:r>
      <w:r>
        <w:rPr/>
        <w:t>., 2009). However, three major risk factors for DR which have been shown to be consistently associated with DR in epidemiological studies and clinical trials are prolonged diabetes, hyperglycaemia and hypertension (Wong </w:t>
      </w:r>
      <w:r>
        <w:rPr>
          <w:i/>
        </w:rPr>
        <w:t>et al</w:t>
      </w:r>
      <w:r>
        <w:rPr/>
        <w:t>., 2006; Wong </w:t>
      </w:r>
      <w:r>
        <w:rPr>
          <w:i/>
        </w:rPr>
        <w:t>et al</w:t>
      </w:r>
      <w:r>
        <w:rPr/>
        <w:t>., 2008; Cheung </w:t>
      </w:r>
      <w:r>
        <w:rPr>
          <w:i/>
        </w:rPr>
        <w:t>et al</w:t>
      </w:r>
      <w:r>
        <w:rPr/>
        <w:t>., 2010; Grosso </w:t>
      </w:r>
      <w:r>
        <w:rPr>
          <w:i/>
        </w:rPr>
        <w:t>et al</w:t>
      </w:r>
      <w:r>
        <w:rPr/>
        <w:t>., 2011).</w:t>
      </w:r>
    </w:p>
    <w:p>
      <w:pPr>
        <w:pStyle w:val="BodyText"/>
      </w:pPr>
    </w:p>
    <w:p>
      <w:pPr>
        <w:pStyle w:val="BodyText"/>
        <w:spacing w:before="1"/>
      </w:pPr>
    </w:p>
    <w:p>
      <w:pPr>
        <w:pStyle w:val="ListParagraph"/>
        <w:numPr>
          <w:ilvl w:val="3"/>
          <w:numId w:val="13"/>
        </w:numPr>
        <w:tabs>
          <w:tab w:pos="1016" w:val="left" w:leader="none"/>
        </w:tabs>
        <w:spacing w:line="240" w:lineRule="auto" w:before="0" w:after="0"/>
        <w:ind w:left="1016" w:right="0" w:hanging="720"/>
        <w:jc w:val="left"/>
        <w:rPr>
          <w:i/>
          <w:sz w:val="24"/>
        </w:rPr>
      </w:pPr>
      <w:r>
        <w:rPr>
          <w:i/>
          <w:sz w:val="24"/>
        </w:rPr>
        <w:t>Diabetic</w:t>
      </w:r>
      <w:r>
        <w:rPr>
          <w:i/>
          <w:spacing w:val="-2"/>
          <w:sz w:val="24"/>
        </w:rPr>
        <w:t> neuropathy</w:t>
      </w:r>
    </w:p>
    <w:p>
      <w:pPr>
        <w:pStyle w:val="BodyText"/>
        <w:rPr>
          <w:i/>
        </w:rPr>
      </w:pPr>
    </w:p>
    <w:p>
      <w:pPr>
        <w:pStyle w:val="BodyText"/>
        <w:spacing w:line="480" w:lineRule="auto"/>
        <w:ind w:left="296" w:right="1133"/>
        <w:jc w:val="both"/>
      </w:pPr>
      <w:r>
        <w:rPr/>
        <w:t>Diabetic neuropathy is one of the early observable complications of diabetes. It is characterized by clinical features such as allodynia and hyperalgesia due to elevated nociceptive response (Callaghan </w:t>
      </w:r>
      <w:r>
        <w:rPr>
          <w:i/>
        </w:rPr>
        <w:t>et al</w:t>
      </w:r>
      <w:r>
        <w:rPr/>
        <w:t>., 2012). Neuropathic pain is a form of chronic pain that results from damage or abnormal function of the central or peripheral nervous system (Abdi </w:t>
      </w:r>
      <w:r>
        <w:rPr>
          <w:i/>
        </w:rPr>
        <w:t>et al</w:t>
      </w:r>
      <w:r>
        <w:rPr/>
        <w:t>., 2004). The hyperalgesia typically originates in the extremities and by progressive loss of neuronal function in a distal to proximal gradient (Chan </w:t>
      </w:r>
      <w:r>
        <w:rPr>
          <w:i/>
        </w:rPr>
        <w:t>et al</w:t>
      </w:r>
      <w:r>
        <w:rPr/>
        <w:t>., 2011). The exact mechanism in the etiology of diabetic neuropathy is not fully understood, but it involves several factors such as hyperglycemia, neuronal loss, alterations in neurotransmitters, growth factors autoimmune nerve destruction, alterations in cellular signaling pathways and gene expression of proteins (Greene </w:t>
      </w:r>
      <w:r>
        <w:rPr>
          <w:i/>
        </w:rPr>
        <w:t>et al</w:t>
      </w:r>
      <w:r>
        <w:rPr/>
        <w:t>., 1997; Mckeage, 2007).</w:t>
      </w:r>
    </w:p>
    <w:p>
      <w:pPr>
        <w:spacing w:after="0" w:line="480" w:lineRule="auto"/>
        <w:jc w:val="both"/>
        <w:sectPr>
          <w:pgSz w:w="12240" w:h="15840"/>
          <w:pgMar w:header="0" w:footer="1015" w:top="1360" w:bottom="1200" w:left="1720" w:right="300"/>
        </w:sectPr>
      </w:pPr>
    </w:p>
    <w:p>
      <w:pPr>
        <w:pStyle w:val="Heading2"/>
        <w:numPr>
          <w:ilvl w:val="2"/>
          <w:numId w:val="13"/>
        </w:numPr>
        <w:tabs>
          <w:tab w:pos="1016" w:val="left" w:leader="none"/>
        </w:tabs>
        <w:spacing w:line="240" w:lineRule="auto" w:before="76" w:after="0"/>
        <w:ind w:left="1016" w:right="0" w:hanging="720"/>
        <w:jc w:val="both"/>
      </w:pPr>
      <w:bookmarkStart w:name="_TOC_250048" w:id="33"/>
      <w:r>
        <w:rPr/>
        <w:t>Macrovascular</w:t>
      </w:r>
      <w:r>
        <w:rPr>
          <w:spacing w:val="-3"/>
        </w:rPr>
        <w:t> </w:t>
      </w:r>
      <w:bookmarkEnd w:id="33"/>
      <w:r>
        <w:rPr>
          <w:spacing w:val="-2"/>
        </w:rPr>
        <w:t>complications</w:t>
      </w:r>
    </w:p>
    <w:p>
      <w:pPr>
        <w:pStyle w:val="BodyText"/>
        <w:spacing w:line="480" w:lineRule="auto" w:before="272"/>
        <w:ind w:left="296" w:right="1133"/>
        <w:jc w:val="both"/>
      </w:pPr>
      <w:r>
        <w:rPr/>
        <w:t>Macrovascular complications of diabetes are uncommon in Africa despite a high prevalence</w:t>
      </w:r>
      <w:r>
        <w:rPr>
          <w:spacing w:val="-1"/>
        </w:rPr>
        <w:t> </w:t>
      </w:r>
      <w:r>
        <w:rPr/>
        <w:t>of</w:t>
      </w:r>
      <w:r>
        <w:rPr>
          <w:spacing w:val="-1"/>
        </w:rPr>
        <w:t> </w:t>
      </w:r>
      <w:r>
        <w:rPr/>
        <w:t>hypertension when compared to other</w:t>
      </w:r>
      <w:r>
        <w:rPr>
          <w:spacing w:val="-1"/>
        </w:rPr>
        <w:t> </w:t>
      </w:r>
      <w:r>
        <w:rPr/>
        <w:t>regions in the world (Lacoviello </w:t>
      </w:r>
      <w:r>
        <w:rPr>
          <w:i/>
        </w:rPr>
        <w:t>et al</w:t>
      </w:r>
      <w:r>
        <w:rPr/>
        <w:t>., 2002). Coronary heart diseases may affect 5-8 percent of T2DM patients and cardiomyopathy up to 50 percent in a diabetic population (Mbanya and Sobngwi, 2003). Patients with diabetes present an increased risk of cardiovascular diseases (CVD) manifesting as coronary heart disease, cerebrovascular disease and peripheral arterial disease</w:t>
      </w:r>
      <w:r>
        <w:rPr>
          <w:spacing w:val="-1"/>
        </w:rPr>
        <w:t> </w:t>
      </w:r>
      <w:r>
        <w:rPr/>
        <w:t>(Howard </w:t>
      </w:r>
      <w:r>
        <w:rPr>
          <w:i/>
        </w:rPr>
        <w:t>et al</w:t>
      </w:r>
      <w:r>
        <w:rPr/>
        <w:t>., 2002).</w:t>
      </w:r>
      <w:r>
        <w:rPr>
          <w:spacing w:val="-1"/>
        </w:rPr>
        <w:t> </w:t>
      </w:r>
      <w:r>
        <w:rPr/>
        <w:t>The</w:t>
      </w:r>
      <w:r>
        <w:rPr>
          <w:spacing w:val="-2"/>
        </w:rPr>
        <w:t> </w:t>
      </w:r>
      <w:r>
        <w:rPr/>
        <w:t>risk of</w:t>
      </w:r>
      <w:r>
        <w:rPr>
          <w:spacing w:val="-1"/>
        </w:rPr>
        <w:t> </w:t>
      </w:r>
      <w:r>
        <w:rPr/>
        <w:t>developing</w:t>
      </w:r>
      <w:r>
        <w:rPr>
          <w:spacing w:val="-2"/>
        </w:rPr>
        <w:t> </w:t>
      </w:r>
      <w:r>
        <w:rPr/>
        <w:t>CVD</w:t>
      </w:r>
      <w:r>
        <w:rPr>
          <w:spacing w:val="-1"/>
        </w:rPr>
        <w:t> </w:t>
      </w:r>
      <w:r>
        <w:rPr/>
        <w:t>in diabetic</w:t>
      </w:r>
      <w:r>
        <w:rPr>
          <w:spacing w:val="-1"/>
        </w:rPr>
        <w:t> </w:t>
      </w:r>
      <w:r>
        <w:rPr/>
        <w:t>patients is 2-8 times higher than in non diabetics of same age, sex and ethnicity (Cheung </w:t>
      </w:r>
      <w:r>
        <w:rPr>
          <w:i/>
        </w:rPr>
        <w:t>et al</w:t>
      </w:r>
      <w:r>
        <w:rPr/>
        <w:t>., 2010). High prevalence of diabetes and its complications require urgent and effective management to elongate and improve quality of life.</w:t>
      </w:r>
    </w:p>
    <w:p>
      <w:pPr>
        <w:pStyle w:val="BodyText"/>
      </w:pPr>
    </w:p>
    <w:p>
      <w:pPr>
        <w:pStyle w:val="BodyText"/>
        <w:spacing w:before="6"/>
      </w:pPr>
    </w:p>
    <w:p>
      <w:pPr>
        <w:pStyle w:val="Heading2"/>
        <w:numPr>
          <w:ilvl w:val="1"/>
          <w:numId w:val="13"/>
        </w:numPr>
        <w:tabs>
          <w:tab w:pos="3325" w:val="left" w:leader="none"/>
        </w:tabs>
        <w:spacing w:line="240" w:lineRule="auto" w:before="0" w:after="0"/>
        <w:ind w:left="3325" w:right="0" w:hanging="720"/>
        <w:jc w:val="both"/>
      </w:pPr>
      <w:bookmarkStart w:name="_TOC_250047" w:id="34"/>
      <w:r>
        <w:rPr/>
        <w:t>Management</w:t>
      </w:r>
      <w:r>
        <w:rPr>
          <w:spacing w:val="-4"/>
        </w:rPr>
        <w:t> </w:t>
      </w:r>
      <w:r>
        <w:rPr/>
        <w:t>of</w:t>
      </w:r>
      <w:r>
        <w:rPr>
          <w:spacing w:val="-2"/>
        </w:rPr>
        <w:t> </w:t>
      </w:r>
      <w:r>
        <w:rPr/>
        <w:t>Diabetes</w:t>
      </w:r>
      <w:bookmarkEnd w:id="34"/>
      <w:r>
        <w:rPr>
          <w:spacing w:val="-2"/>
        </w:rPr>
        <w:t> Mellitus</w:t>
      </w:r>
    </w:p>
    <w:p>
      <w:pPr>
        <w:pStyle w:val="BodyText"/>
        <w:spacing w:line="480" w:lineRule="auto" w:before="272"/>
        <w:ind w:left="296" w:right="1142"/>
        <w:jc w:val="both"/>
      </w:pPr>
      <w:r>
        <w:rPr/>
        <w:t>The overall goal in the management of diabetes mellitus is to lower blood glucose to normal levels as much as possible and to reduce the risk of complications. This involves lifestyle management, insulin therapy and/or the use of oral anti-diabetic drugs.</w:t>
      </w:r>
    </w:p>
    <w:p>
      <w:pPr>
        <w:pStyle w:val="BodyText"/>
      </w:pPr>
    </w:p>
    <w:p>
      <w:pPr>
        <w:pStyle w:val="BodyText"/>
        <w:spacing w:before="4"/>
      </w:pPr>
    </w:p>
    <w:p>
      <w:pPr>
        <w:pStyle w:val="Heading2"/>
        <w:numPr>
          <w:ilvl w:val="2"/>
          <w:numId w:val="13"/>
        </w:numPr>
        <w:tabs>
          <w:tab w:pos="1016" w:val="left" w:leader="none"/>
        </w:tabs>
        <w:spacing w:line="240" w:lineRule="auto" w:before="1" w:after="0"/>
        <w:ind w:left="1016" w:right="0" w:hanging="720"/>
        <w:jc w:val="both"/>
      </w:pPr>
      <w:bookmarkStart w:name="_TOC_250046" w:id="35"/>
      <w:r>
        <w:rPr/>
        <w:t>Lifestyle</w:t>
      </w:r>
      <w:r>
        <w:rPr>
          <w:spacing w:val="-1"/>
        </w:rPr>
        <w:t> </w:t>
      </w:r>
      <w:bookmarkEnd w:id="35"/>
      <w:r>
        <w:rPr>
          <w:spacing w:val="-2"/>
        </w:rPr>
        <w:t>management</w:t>
      </w:r>
    </w:p>
    <w:p>
      <w:pPr>
        <w:pStyle w:val="BodyText"/>
        <w:spacing w:line="480" w:lineRule="auto" w:before="271"/>
        <w:ind w:left="296" w:right="1133"/>
        <w:jc w:val="both"/>
      </w:pPr>
      <w:r>
        <w:rPr/>
        <w:t>Lifestyle modification is effective in the management of diabetes (Niefeld </w:t>
      </w:r>
      <w:r>
        <w:rPr>
          <w:i/>
        </w:rPr>
        <w:t>et al</w:t>
      </w:r>
      <w:r>
        <w:rPr/>
        <w:t>., 2003). Reduction in cardiovascular risk factors such as smoking, physical inactivity and poor diet is important for the prevention of macrovascular diseases. Microvascular complications may also be affected by adverse lifestyle factors like smoking. Therefore, it is important to educate</w:t>
      </w:r>
      <w:r>
        <w:rPr>
          <w:spacing w:val="6"/>
        </w:rPr>
        <w:t> </w:t>
      </w:r>
      <w:r>
        <w:rPr/>
        <w:t>patients</w:t>
      </w:r>
      <w:r>
        <w:rPr>
          <w:spacing w:val="5"/>
        </w:rPr>
        <w:t> </w:t>
      </w:r>
      <w:r>
        <w:rPr/>
        <w:t>on</w:t>
      </w:r>
      <w:r>
        <w:rPr>
          <w:spacing w:val="4"/>
        </w:rPr>
        <w:t> </w:t>
      </w:r>
      <w:r>
        <w:rPr/>
        <w:t>the</w:t>
      </w:r>
      <w:r>
        <w:rPr>
          <w:spacing w:val="4"/>
        </w:rPr>
        <w:t> </w:t>
      </w:r>
      <w:r>
        <w:rPr/>
        <w:t>need</w:t>
      </w:r>
      <w:r>
        <w:rPr>
          <w:spacing w:val="4"/>
        </w:rPr>
        <w:t> </w:t>
      </w:r>
      <w:r>
        <w:rPr/>
        <w:t>to</w:t>
      </w:r>
      <w:r>
        <w:rPr>
          <w:spacing w:val="5"/>
        </w:rPr>
        <w:t> </w:t>
      </w:r>
      <w:r>
        <w:rPr/>
        <w:t>modify adverse</w:t>
      </w:r>
      <w:r>
        <w:rPr>
          <w:spacing w:val="5"/>
        </w:rPr>
        <w:t> </w:t>
      </w:r>
      <w:r>
        <w:rPr/>
        <w:t>behaviours,</w:t>
      </w:r>
      <w:r>
        <w:rPr>
          <w:spacing w:val="4"/>
        </w:rPr>
        <w:t> </w:t>
      </w:r>
      <w:r>
        <w:rPr/>
        <w:t>and</w:t>
      </w:r>
      <w:r>
        <w:rPr>
          <w:spacing w:val="4"/>
        </w:rPr>
        <w:t> </w:t>
      </w:r>
      <w:r>
        <w:rPr/>
        <w:t>this</w:t>
      </w:r>
      <w:r>
        <w:rPr>
          <w:spacing w:val="4"/>
        </w:rPr>
        <w:t> </w:t>
      </w:r>
      <w:r>
        <w:rPr/>
        <w:t>should</w:t>
      </w:r>
      <w:r>
        <w:rPr>
          <w:spacing w:val="6"/>
        </w:rPr>
        <w:t> </w:t>
      </w:r>
      <w:r>
        <w:rPr/>
        <w:t>take</w:t>
      </w:r>
      <w:r>
        <w:rPr>
          <w:spacing w:val="3"/>
        </w:rPr>
        <w:t> </w:t>
      </w:r>
      <w:r>
        <w:rPr/>
        <w:t>account</w:t>
      </w:r>
      <w:r>
        <w:rPr>
          <w:spacing w:val="6"/>
        </w:rPr>
        <w:t> </w:t>
      </w:r>
      <w:r>
        <w:rPr>
          <w:spacing w:val="-5"/>
        </w:rPr>
        <w:t>of</w:t>
      </w:r>
    </w:p>
    <w:p>
      <w:pPr>
        <w:spacing w:after="0" w:line="480" w:lineRule="auto"/>
        <w:jc w:val="both"/>
        <w:sectPr>
          <w:pgSz w:w="12240" w:h="15840"/>
          <w:pgMar w:header="0" w:footer="1015" w:top="1360" w:bottom="1200" w:left="1720" w:right="300"/>
        </w:sectPr>
      </w:pPr>
    </w:p>
    <w:p>
      <w:pPr>
        <w:pStyle w:val="BodyText"/>
        <w:spacing w:line="480" w:lineRule="auto" w:before="72"/>
        <w:ind w:left="296" w:right="1140"/>
        <w:jc w:val="both"/>
      </w:pPr>
      <w:r>
        <w:rPr/>
        <w:t>other factors such as the patient’s willingness to change, their perception of their diabetes, and factors which may be indirectly related to their diabetes, such as depression and adverse effects on quality of life (Knowler </w:t>
      </w:r>
      <w:r>
        <w:rPr>
          <w:i/>
        </w:rPr>
        <w:t>et al</w:t>
      </w:r>
      <w:r>
        <w:rPr/>
        <w:t>., 2002).</w:t>
      </w:r>
    </w:p>
    <w:p>
      <w:pPr>
        <w:pStyle w:val="BodyText"/>
      </w:pPr>
    </w:p>
    <w:p>
      <w:pPr>
        <w:pStyle w:val="BodyText"/>
        <w:spacing w:before="5"/>
      </w:pPr>
    </w:p>
    <w:p>
      <w:pPr>
        <w:pStyle w:val="Heading2"/>
        <w:numPr>
          <w:ilvl w:val="2"/>
          <w:numId w:val="13"/>
        </w:numPr>
        <w:tabs>
          <w:tab w:pos="1016" w:val="left" w:leader="none"/>
        </w:tabs>
        <w:spacing w:line="240" w:lineRule="auto" w:before="0" w:after="0"/>
        <w:ind w:left="1016" w:right="0" w:hanging="720"/>
        <w:jc w:val="left"/>
      </w:pPr>
      <w:bookmarkStart w:name="_TOC_250045" w:id="36"/>
      <w:bookmarkEnd w:id="36"/>
      <w:r>
        <w:rPr>
          <w:spacing w:val="-2"/>
        </w:rPr>
        <w:t>Pharmacotherapy</w:t>
      </w:r>
    </w:p>
    <w:p>
      <w:pPr>
        <w:pStyle w:val="BodyText"/>
        <w:spacing w:line="480" w:lineRule="auto" w:before="271"/>
        <w:ind w:left="296" w:right="1144"/>
        <w:jc w:val="both"/>
      </w:pPr>
      <w:r>
        <w:rPr>
          <w:color w:val="292425"/>
        </w:rPr>
        <w:t>Pharmacological approach in diabetes management involves the use of insulin and oral anti-diabetic drugs.</w:t>
      </w:r>
    </w:p>
    <w:p>
      <w:pPr>
        <w:pStyle w:val="BodyText"/>
      </w:pPr>
    </w:p>
    <w:p>
      <w:pPr>
        <w:pStyle w:val="BodyText"/>
        <w:spacing w:before="1"/>
      </w:pPr>
    </w:p>
    <w:p>
      <w:pPr>
        <w:pStyle w:val="ListParagraph"/>
        <w:numPr>
          <w:ilvl w:val="3"/>
          <w:numId w:val="13"/>
        </w:numPr>
        <w:tabs>
          <w:tab w:pos="1016" w:val="left" w:leader="none"/>
        </w:tabs>
        <w:spacing w:line="240" w:lineRule="auto" w:before="0" w:after="0"/>
        <w:ind w:left="1016" w:right="0" w:hanging="720"/>
        <w:jc w:val="left"/>
        <w:rPr>
          <w:i/>
          <w:color w:val="292425"/>
          <w:sz w:val="24"/>
        </w:rPr>
      </w:pPr>
      <w:r>
        <w:rPr>
          <w:i/>
          <w:color w:val="292425"/>
          <w:sz w:val="24"/>
        </w:rPr>
        <w:t>Insulin</w:t>
      </w:r>
      <w:r>
        <w:rPr>
          <w:i/>
          <w:color w:val="292425"/>
          <w:spacing w:val="-1"/>
          <w:sz w:val="24"/>
        </w:rPr>
        <w:t> </w:t>
      </w:r>
      <w:r>
        <w:rPr>
          <w:i/>
          <w:color w:val="292425"/>
          <w:spacing w:val="-2"/>
          <w:sz w:val="24"/>
        </w:rPr>
        <w:t>therapy</w:t>
      </w:r>
    </w:p>
    <w:p>
      <w:pPr>
        <w:pStyle w:val="BodyText"/>
        <w:rPr>
          <w:i/>
        </w:rPr>
      </w:pPr>
    </w:p>
    <w:p>
      <w:pPr>
        <w:pStyle w:val="BodyText"/>
        <w:spacing w:line="480" w:lineRule="auto"/>
        <w:ind w:left="296" w:right="1135"/>
        <w:jc w:val="both"/>
      </w:pPr>
      <w:r>
        <w:rPr>
          <w:color w:val="292425"/>
        </w:rPr>
        <w:t>Insulin is a “blood-sugar lowering” hormone synthesized in the β cells of the pancreatic islets of Langerhans (</w:t>
      </w:r>
      <w:r>
        <w:rPr/>
        <w:t>Fineberg </w:t>
      </w:r>
      <w:r>
        <w:rPr>
          <w:i/>
        </w:rPr>
        <w:t>et al</w:t>
      </w:r>
      <w:r>
        <w:rPr/>
        <w:t>., 1983)</w:t>
      </w:r>
      <w:r>
        <w:rPr>
          <w:color w:val="292425"/>
        </w:rPr>
        <w:t>. It is a protein (MW 5800) consisting of two peptide chains linked by two disulfide bridges; the A chain has 21 and the B chain 30 amino acids. Three principal exogenous synthetic insulin preparations are available and their onset, peak and duration of action vary considerably (</w:t>
      </w:r>
      <w:r>
        <w:rPr/>
        <w:t>Castera </w:t>
      </w:r>
      <w:r>
        <w:rPr>
          <w:i/>
        </w:rPr>
        <w:t>et al</w:t>
      </w:r>
      <w:r>
        <w:rPr/>
        <w:t>., 2005)</w:t>
      </w:r>
      <w:r>
        <w:rPr>
          <w:color w:val="292425"/>
        </w:rPr>
        <w:t>. For instance, the short acting has a rapid onset of action while the intermediate and long acting have a slow onset of action. Insulin therapy is an indispensible therapy especially in patients with T1DM and conventional therapy involves one to three daily injections (</w:t>
      </w:r>
      <w:r>
        <w:rPr/>
        <w:t>Korytkowski, 2002</w:t>
      </w:r>
      <w:r>
        <w:rPr>
          <w:color w:val="292425"/>
        </w:rPr>
        <w:t>).</w:t>
      </w:r>
    </w:p>
    <w:p>
      <w:pPr>
        <w:pStyle w:val="BodyText"/>
      </w:pPr>
    </w:p>
    <w:p>
      <w:pPr>
        <w:pStyle w:val="BodyText"/>
        <w:spacing w:before="1"/>
      </w:pPr>
    </w:p>
    <w:p>
      <w:pPr>
        <w:pStyle w:val="ListParagraph"/>
        <w:numPr>
          <w:ilvl w:val="3"/>
          <w:numId w:val="13"/>
        </w:numPr>
        <w:tabs>
          <w:tab w:pos="1016" w:val="left" w:leader="none"/>
        </w:tabs>
        <w:spacing w:line="240" w:lineRule="auto" w:before="1" w:after="0"/>
        <w:ind w:left="1016" w:right="0" w:hanging="720"/>
        <w:jc w:val="left"/>
        <w:rPr>
          <w:i/>
          <w:sz w:val="24"/>
        </w:rPr>
      </w:pPr>
      <w:r>
        <w:rPr>
          <w:i/>
          <w:sz w:val="24"/>
        </w:rPr>
        <w:t>Oral </w:t>
      </w:r>
      <w:r>
        <w:rPr>
          <w:i/>
          <w:spacing w:val="-2"/>
          <w:sz w:val="24"/>
        </w:rPr>
        <w:t>agents</w:t>
      </w:r>
    </w:p>
    <w:p>
      <w:pPr>
        <w:pStyle w:val="BodyText"/>
        <w:spacing w:line="480" w:lineRule="auto" w:before="276"/>
        <w:ind w:left="296" w:right="1141"/>
        <w:jc w:val="both"/>
      </w:pPr>
      <w:r>
        <w:rPr/>
        <w:t>The success of oral anti-diabetic drug therapy is usually based on a restoration of normoglycaemia and the absence of glycosuria. When oral anti-diabetic monotherapy</w:t>
      </w:r>
      <w:r>
        <w:rPr>
          <w:spacing w:val="-5"/>
        </w:rPr>
        <w:t> </w:t>
      </w:r>
      <w:r>
        <w:rPr/>
        <w:t>does not</w:t>
      </w:r>
      <w:r>
        <w:rPr>
          <w:spacing w:val="40"/>
        </w:rPr>
        <w:t> </w:t>
      </w:r>
      <w:r>
        <w:rPr/>
        <w:t>achieve</w:t>
      </w:r>
      <w:r>
        <w:rPr>
          <w:spacing w:val="42"/>
        </w:rPr>
        <w:t> </w:t>
      </w:r>
      <w:r>
        <w:rPr/>
        <w:t>the</w:t>
      </w:r>
      <w:r>
        <w:rPr>
          <w:spacing w:val="42"/>
        </w:rPr>
        <w:t> </w:t>
      </w:r>
      <w:r>
        <w:rPr/>
        <w:t>glycaemic</w:t>
      </w:r>
      <w:r>
        <w:rPr>
          <w:spacing w:val="41"/>
        </w:rPr>
        <w:t> </w:t>
      </w:r>
      <w:r>
        <w:rPr/>
        <w:t>goal,</w:t>
      </w:r>
      <w:r>
        <w:rPr>
          <w:spacing w:val="42"/>
        </w:rPr>
        <w:t> </w:t>
      </w:r>
      <w:r>
        <w:rPr/>
        <w:t>combination</w:t>
      </w:r>
      <w:r>
        <w:rPr>
          <w:spacing w:val="42"/>
        </w:rPr>
        <w:t> </w:t>
      </w:r>
      <w:r>
        <w:rPr/>
        <w:t>treatment</w:t>
      </w:r>
      <w:r>
        <w:rPr>
          <w:spacing w:val="41"/>
        </w:rPr>
        <w:t> </w:t>
      </w:r>
      <w:r>
        <w:rPr/>
        <w:t>is</w:t>
      </w:r>
      <w:r>
        <w:rPr>
          <w:spacing w:val="42"/>
        </w:rPr>
        <w:t> </w:t>
      </w:r>
      <w:r>
        <w:rPr/>
        <w:t>implemented.</w:t>
      </w:r>
      <w:r>
        <w:rPr>
          <w:spacing w:val="42"/>
        </w:rPr>
        <w:t> </w:t>
      </w:r>
      <w:r>
        <w:rPr/>
        <w:t>A</w:t>
      </w:r>
      <w:r>
        <w:rPr>
          <w:spacing w:val="41"/>
        </w:rPr>
        <w:t> </w:t>
      </w:r>
      <w:r>
        <w:rPr>
          <w:spacing w:val="-2"/>
        </w:rPr>
        <w:t>sulfonylurea</w:t>
      </w:r>
    </w:p>
    <w:p>
      <w:pPr>
        <w:spacing w:after="0" w:line="480" w:lineRule="auto"/>
        <w:jc w:val="both"/>
        <w:sectPr>
          <w:pgSz w:w="12240" w:h="15840"/>
          <w:pgMar w:header="0" w:footer="1015" w:top="1360" w:bottom="1200" w:left="1720" w:right="300"/>
        </w:sectPr>
      </w:pPr>
    </w:p>
    <w:p>
      <w:pPr>
        <w:pStyle w:val="BodyText"/>
        <w:spacing w:line="480" w:lineRule="auto" w:before="72"/>
        <w:ind w:left="296" w:right="1145"/>
        <w:jc w:val="both"/>
      </w:pPr>
      <w:r>
        <w:rPr/>
        <w:t>(glimepiride or glibenclamide) and metformin constitute the most widely used antihyperglyacemic combination in clinical practice (Eurich </w:t>
      </w:r>
      <w:r>
        <w:rPr>
          <w:i/>
        </w:rPr>
        <w:t>et al</w:t>
      </w:r>
      <w:r>
        <w:rPr/>
        <w:t>., 2005).</w:t>
      </w:r>
    </w:p>
    <w:p>
      <w:pPr>
        <w:pStyle w:val="BodyText"/>
      </w:pPr>
    </w:p>
    <w:p>
      <w:pPr>
        <w:pStyle w:val="BodyText"/>
      </w:pPr>
    </w:p>
    <w:p>
      <w:pPr>
        <w:pStyle w:val="ListParagraph"/>
        <w:numPr>
          <w:ilvl w:val="3"/>
          <w:numId w:val="13"/>
        </w:numPr>
        <w:tabs>
          <w:tab w:pos="1016" w:val="left" w:leader="none"/>
        </w:tabs>
        <w:spacing w:line="240" w:lineRule="auto" w:before="0" w:after="0"/>
        <w:ind w:left="1016" w:right="0" w:hanging="720"/>
        <w:jc w:val="left"/>
        <w:rPr>
          <w:i/>
          <w:sz w:val="24"/>
        </w:rPr>
      </w:pPr>
      <w:r>
        <w:rPr>
          <w:i/>
          <w:spacing w:val="-2"/>
          <w:sz w:val="24"/>
        </w:rPr>
        <w:t>Sulfonylureas</w:t>
      </w:r>
    </w:p>
    <w:p>
      <w:pPr>
        <w:pStyle w:val="BodyText"/>
        <w:rPr>
          <w:i/>
        </w:rPr>
      </w:pPr>
    </w:p>
    <w:p>
      <w:pPr>
        <w:pStyle w:val="BodyText"/>
        <w:spacing w:line="480" w:lineRule="auto"/>
        <w:ind w:left="296" w:right="1135"/>
        <w:jc w:val="both"/>
      </w:pPr>
      <w:r>
        <w:rPr/>
        <w:t>These compounds have been available for nearly half a century. Sulfonylureas continue to represent a mainstay of therapy in patients with T2DM (Eurich </w:t>
      </w:r>
      <w:r>
        <w:rPr>
          <w:i/>
        </w:rPr>
        <w:t>et al</w:t>
      </w:r>
      <w:r>
        <w:rPr/>
        <w:t>., 2005) and their anti- diabetic potency is directly related to baseline plasma glucose values (Rosenstock </w:t>
      </w:r>
      <w:r>
        <w:rPr>
          <w:i/>
        </w:rPr>
        <w:t>et al</w:t>
      </w:r>
      <w:r>
        <w:rPr/>
        <w:t>., 1996). Common examples include glimepiride, glibenclamide, glyburide and tolbutamide.</w:t>
      </w:r>
    </w:p>
    <w:p>
      <w:pPr>
        <w:pStyle w:val="BodyText"/>
      </w:pPr>
    </w:p>
    <w:p>
      <w:pPr>
        <w:pStyle w:val="BodyText"/>
        <w:spacing w:before="1"/>
      </w:pPr>
    </w:p>
    <w:p>
      <w:pPr>
        <w:pStyle w:val="BodyText"/>
        <w:ind w:left="296"/>
        <w:jc w:val="both"/>
      </w:pPr>
      <w:r>
        <w:rPr/>
        <w:t>Mechanism</w:t>
      </w:r>
      <w:r>
        <w:rPr>
          <w:spacing w:val="-2"/>
        </w:rPr>
        <w:t> </w:t>
      </w:r>
      <w:r>
        <w:rPr/>
        <w:t>of</w:t>
      </w:r>
      <w:r>
        <w:rPr>
          <w:spacing w:val="-1"/>
        </w:rPr>
        <w:t> </w:t>
      </w:r>
      <w:r>
        <w:rPr>
          <w:spacing w:val="-2"/>
        </w:rPr>
        <w:t>action:</w:t>
      </w:r>
    </w:p>
    <w:p>
      <w:pPr>
        <w:pStyle w:val="BodyText"/>
      </w:pPr>
    </w:p>
    <w:p>
      <w:pPr>
        <w:pStyle w:val="BodyText"/>
        <w:spacing w:line="480" w:lineRule="auto"/>
        <w:ind w:left="296" w:right="1136"/>
        <w:jc w:val="both"/>
      </w:pPr>
      <w:r>
        <w:rPr/>
        <w:t>The primary mechanism of action of the sulfonylureas is direct stimulation of insulin release from the pancreatic β cells via the sulfonylurea receptors. In the presence of viable pancreatic β cells, sulfonylureas enhance the release of endogenous insulin, thereby reducing blood glucose levels (Brady and Terzic, 1998).</w:t>
      </w:r>
    </w:p>
    <w:p>
      <w:pPr>
        <w:pStyle w:val="BodyText"/>
      </w:pPr>
    </w:p>
    <w:p>
      <w:pPr>
        <w:pStyle w:val="BodyText"/>
        <w:spacing w:before="1"/>
      </w:pPr>
    </w:p>
    <w:p>
      <w:pPr>
        <w:pStyle w:val="BodyText"/>
        <w:ind w:left="296"/>
        <w:jc w:val="both"/>
      </w:pPr>
      <w:r>
        <w:rPr/>
        <w:t>The</w:t>
      </w:r>
      <w:r>
        <w:rPr>
          <w:spacing w:val="-5"/>
        </w:rPr>
        <w:t> </w:t>
      </w:r>
      <w:r>
        <w:rPr/>
        <w:t>sulfonylurea</w:t>
      </w:r>
      <w:r>
        <w:rPr>
          <w:spacing w:val="-1"/>
        </w:rPr>
        <w:t> </w:t>
      </w:r>
      <w:r>
        <w:rPr>
          <w:spacing w:val="-2"/>
        </w:rPr>
        <w:t>receptor:</w:t>
      </w:r>
    </w:p>
    <w:p>
      <w:pPr>
        <w:pStyle w:val="BodyText"/>
      </w:pPr>
    </w:p>
    <w:p>
      <w:pPr>
        <w:pStyle w:val="BodyText"/>
        <w:spacing w:line="480" w:lineRule="auto"/>
        <w:ind w:left="296" w:right="1138"/>
        <w:jc w:val="both"/>
      </w:pPr>
      <w:r>
        <w:rPr/>
        <w:t>The sulfonylurea receptor was identified as an adenosine triphosphate (ATP) sensitive potassium (K</w:t>
      </w:r>
      <w:r>
        <w:rPr>
          <w:vertAlign w:val="subscript"/>
        </w:rPr>
        <w:t>ATP</w:t>
      </w:r>
      <w:r>
        <w:rPr>
          <w:vertAlign w:val="baseline"/>
        </w:rPr>
        <w:t>) channel that is present on the β cell membrane surface (Bryan and Aguilar-Bryan, 1997). Closure of these K</w:t>
      </w:r>
      <w:r>
        <w:rPr>
          <w:vertAlign w:val="subscript"/>
        </w:rPr>
        <w:t>ATP</w:t>
      </w:r>
      <w:r>
        <w:rPr>
          <w:vertAlign w:val="baseline"/>
        </w:rPr>
        <w:t> channels causes β cell membrane depolarization</w:t>
      </w:r>
      <w:r>
        <w:rPr>
          <w:spacing w:val="-2"/>
          <w:vertAlign w:val="baseline"/>
        </w:rPr>
        <w:t> </w:t>
      </w:r>
      <w:r>
        <w:rPr>
          <w:vertAlign w:val="baseline"/>
        </w:rPr>
        <w:t>and</w:t>
      </w:r>
      <w:r>
        <w:rPr>
          <w:spacing w:val="-2"/>
          <w:vertAlign w:val="baseline"/>
        </w:rPr>
        <w:t> </w:t>
      </w:r>
      <w:r>
        <w:rPr>
          <w:vertAlign w:val="baseline"/>
        </w:rPr>
        <w:t>causes</w:t>
      </w:r>
      <w:r>
        <w:rPr>
          <w:spacing w:val="-2"/>
          <w:vertAlign w:val="baseline"/>
        </w:rPr>
        <w:t> </w:t>
      </w:r>
      <w:r>
        <w:rPr>
          <w:vertAlign w:val="baseline"/>
        </w:rPr>
        <w:t>influx of</w:t>
      </w:r>
      <w:r>
        <w:rPr>
          <w:spacing w:val="-3"/>
          <w:vertAlign w:val="baseline"/>
        </w:rPr>
        <w:t> </w:t>
      </w:r>
      <w:r>
        <w:rPr>
          <w:vertAlign w:val="baseline"/>
        </w:rPr>
        <w:t>calcium</w:t>
      </w:r>
      <w:r>
        <w:rPr>
          <w:spacing w:val="-2"/>
          <w:vertAlign w:val="baseline"/>
        </w:rPr>
        <w:t> </w:t>
      </w:r>
      <w:r>
        <w:rPr>
          <w:vertAlign w:val="baseline"/>
        </w:rPr>
        <w:t>channels</w:t>
      </w:r>
      <w:r>
        <w:rPr>
          <w:spacing w:val="-2"/>
          <w:vertAlign w:val="baseline"/>
        </w:rPr>
        <w:t> </w:t>
      </w:r>
      <w:r>
        <w:rPr>
          <w:vertAlign w:val="baseline"/>
        </w:rPr>
        <w:t>into</w:t>
      </w:r>
      <w:r>
        <w:rPr>
          <w:spacing w:val="-2"/>
          <w:vertAlign w:val="baseline"/>
        </w:rPr>
        <w:t> </w:t>
      </w:r>
      <w:r>
        <w:rPr>
          <w:vertAlign w:val="baseline"/>
        </w:rPr>
        <w:t>the</w:t>
      </w:r>
      <w:r>
        <w:rPr>
          <w:spacing w:val="-3"/>
          <w:vertAlign w:val="baseline"/>
        </w:rPr>
        <w:t> </w:t>
      </w:r>
      <w:r>
        <w:rPr>
          <w:vertAlign w:val="baseline"/>
        </w:rPr>
        <w:t>cell</w:t>
      </w:r>
      <w:r>
        <w:rPr>
          <w:spacing w:val="-2"/>
          <w:vertAlign w:val="baseline"/>
        </w:rPr>
        <w:t> </w:t>
      </w:r>
      <w:r>
        <w:rPr>
          <w:vertAlign w:val="baseline"/>
        </w:rPr>
        <w:t>membrane</w:t>
      </w:r>
      <w:r>
        <w:rPr>
          <w:spacing w:val="-3"/>
          <w:vertAlign w:val="baseline"/>
        </w:rPr>
        <w:t> </w:t>
      </w:r>
      <w:r>
        <w:rPr>
          <w:vertAlign w:val="baseline"/>
        </w:rPr>
        <w:t>(Banbemko </w:t>
      </w:r>
      <w:r>
        <w:rPr>
          <w:i/>
          <w:vertAlign w:val="baseline"/>
        </w:rPr>
        <w:t>et al</w:t>
      </w:r>
      <w:r>
        <w:rPr>
          <w:vertAlign w:val="baseline"/>
        </w:rPr>
        <w:t>., 1998). The influx of calcium into the β cell triggers insulin granule fusion to the β cell membrane</w:t>
      </w:r>
      <w:r>
        <w:rPr>
          <w:spacing w:val="13"/>
          <w:vertAlign w:val="baseline"/>
        </w:rPr>
        <w:t> </w:t>
      </w:r>
      <w:r>
        <w:rPr>
          <w:vertAlign w:val="baseline"/>
        </w:rPr>
        <w:t>and</w:t>
      </w:r>
      <w:r>
        <w:rPr>
          <w:spacing w:val="15"/>
          <w:vertAlign w:val="baseline"/>
        </w:rPr>
        <w:t> </w:t>
      </w:r>
      <w:r>
        <w:rPr>
          <w:vertAlign w:val="baseline"/>
        </w:rPr>
        <w:t>insulin</w:t>
      </w:r>
      <w:r>
        <w:rPr>
          <w:spacing w:val="15"/>
          <w:vertAlign w:val="baseline"/>
        </w:rPr>
        <w:t> </w:t>
      </w:r>
      <w:r>
        <w:rPr>
          <w:vertAlign w:val="baseline"/>
        </w:rPr>
        <w:t>release.</w:t>
      </w:r>
      <w:r>
        <w:rPr>
          <w:spacing w:val="15"/>
          <w:vertAlign w:val="baseline"/>
        </w:rPr>
        <w:t> </w:t>
      </w:r>
      <w:r>
        <w:rPr>
          <w:vertAlign w:val="baseline"/>
        </w:rPr>
        <w:t>The</w:t>
      </w:r>
      <w:r>
        <w:rPr>
          <w:spacing w:val="14"/>
          <w:vertAlign w:val="baseline"/>
        </w:rPr>
        <w:t> </w:t>
      </w:r>
      <w:r>
        <w:rPr>
          <w:vertAlign w:val="baseline"/>
        </w:rPr>
        <w:t>intracellular</w:t>
      </w:r>
      <w:r>
        <w:rPr>
          <w:spacing w:val="13"/>
          <w:vertAlign w:val="baseline"/>
        </w:rPr>
        <w:t> </w:t>
      </w:r>
      <w:r>
        <w:rPr>
          <w:vertAlign w:val="baseline"/>
        </w:rPr>
        <w:t>levels</w:t>
      </w:r>
      <w:r>
        <w:rPr>
          <w:spacing w:val="16"/>
          <w:vertAlign w:val="baseline"/>
        </w:rPr>
        <w:t> </w:t>
      </w:r>
      <w:r>
        <w:rPr>
          <w:vertAlign w:val="baseline"/>
        </w:rPr>
        <w:t>of</w:t>
      </w:r>
      <w:r>
        <w:rPr>
          <w:spacing w:val="14"/>
          <w:vertAlign w:val="baseline"/>
        </w:rPr>
        <w:t> </w:t>
      </w:r>
      <w:r>
        <w:rPr>
          <w:vertAlign w:val="baseline"/>
        </w:rPr>
        <w:t>ATP</w:t>
      </w:r>
      <w:r>
        <w:rPr>
          <w:spacing w:val="14"/>
          <w:vertAlign w:val="baseline"/>
        </w:rPr>
        <w:t> </w:t>
      </w:r>
      <w:r>
        <w:rPr>
          <w:vertAlign w:val="baseline"/>
        </w:rPr>
        <w:t>and</w:t>
      </w:r>
      <w:r>
        <w:rPr>
          <w:spacing w:val="15"/>
          <w:vertAlign w:val="baseline"/>
        </w:rPr>
        <w:t> </w:t>
      </w:r>
      <w:r>
        <w:rPr>
          <w:vertAlign w:val="baseline"/>
        </w:rPr>
        <w:t>adenosine</w:t>
      </w:r>
      <w:r>
        <w:rPr>
          <w:spacing w:val="14"/>
          <w:vertAlign w:val="baseline"/>
        </w:rPr>
        <w:t> </w:t>
      </w:r>
      <w:r>
        <w:rPr>
          <w:spacing w:val="-2"/>
          <w:vertAlign w:val="baseline"/>
        </w:rPr>
        <w:t>diphosphate</w:t>
      </w:r>
    </w:p>
    <w:p>
      <w:pPr>
        <w:spacing w:after="0" w:line="480" w:lineRule="auto"/>
        <w:jc w:val="both"/>
        <w:sectPr>
          <w:pgSz w:w="12240" w:h="15840"/>
          <w:pgMar w:header="0" w:footer="1015" w:top="1360" w:bottom="1200" w:left="1720" w:right="300"/>
        </w:sectPr>
      </w:pPr>
    </w:p>
    <w:p>
      <w:pPr>
        <w:pStyle w:val="BodyText"/>
        <w:spacing w:line="480" w:lineRule="auto" w:before="72"/>
        <w:ind w:left="296" w:right="1140"/>
        <w:jc w:val="both"/>
      </w:pPr>
      <w:r>
        <w:rPr/>
        <w:t>(ADP) modulate the activity of the K</w:t>
      </w:r>
      <w:r>
        <w:rPr>
          <w:vertAlign w:val="subscript"/>
        </w:rPr>
        <w:t>ATP</w:t>
      </w:r>
      <w:r>
        <w:rPr>
          <w:vertAlign w:val="baseline"/>
        </w:rPr>
        <w:t> channel, depending on the availability of glucose (Isomoto and Kurachi, 1997; Aschroft and Gribble, 1998).</w:t>
      </w:r>
    </w:p>
    <w:p>
      <w:pPr>
        <w:pStyle w:val="BodyText"/>
      </w:pPr>
    </w:p>
    <w:p>
      <w:pPr>
        <w:pStyle w:val="BodyText"/>
      </w:pPr>
    </w:p>
    <w:p>
      <w:pPr>
        <w:pStyle w:val="BodyText"/>
        <w:ind w:left="296"/>
        <w:jc w:val="both"/>
      </w:pPr>
      <w:r>
        <w:rPr/>
        <w:t>Adverse</w:t>
      </w:r>
      <w:r>
        <w:rPr>
          <w:spacing w:val="-2"/>
        </w:rPr>
        <w:t> effects:</w:t>
      </w:r>
    </w:p>
    <w:p>
      <w:pPr>
        <w:pStyle w:val="BodyText"/>
      </w:pPr>
    </w:p>
    <w:p>
      <w:pPr>
        <w:pStyle w:val="BodyText"/>
        <w:spacing w:line="480" w:lineRule="auto"/>
        <w:ind w:left="296" w:right="1138"/>
        <w:jc w:val="both"/>
      </w:pPr>
      <w:r>
        <w:rPr/>
        <w:t>The most common adverse effect associated with sulfonylurea is hypoglycaemia, which may be provoked by inadequate calorie intake (e.g., skipping a meal), or increased caloric needs (e.g., increased physical activity). Collectively, sulfonylureas also tend to cause weight gain, which is undesirable in individuals who are already obese. Some of this weight can be due to fluid retention and edema.</w:t>
      </w:r>
    </w:p>
    <w:p>
      <w:pPr>
        <w:pStyle w:val="BodyText"/>
      </w:pPr>
    </w:p>
    <w:p>
      <w:pPr>
        <w:pStyle w:val="BodyText"/>
        <w:spacing w:before="1"/>
      </w:pPr>
    </w:p>
    <w:p>
      <w:pPr>
        <w:pStyle w:val="ListParagraph"/>
        <w:numPr>
          <w:ilvl w:val="3"/>
          <w:numId w:val="14"/>
        </w:numPr>
        <w:tabs>
          <w:tab w:pos="1016" w:val="left" w:leader="none"/>
        </w:tabs>
        <w:spacing w:line="240" w:lineRule="auto" w:before="0" w:after="0"/>
        <w:ind w:left="1016" w:right="0" w:hanging="720"/>
        <w:jc w:val="left"/>
        <w:rPr>
          <w:i/>
          <w:sz w:val="24"/>
        </w:rPr>
      </w:pPr>
      <w:r>
        <w:rPr>
          <w:i/>
          <w:spacing w:val="-2"/>
          <w:sz w:val="24"/>
        </w:rPr>
        <w:t>Biguanides</w:t>
      </w:r>
    </w:p>
    <w:p>
      <w:pPr>
        <w:pStyle w:val="BodyText"/>
        <w:rPr>
          <w:i/>
        </w:rPr>
      </w:pPr>
    </w:p>
    <w:p>
      <w:pPr>
        <w:pStyle w:val="BodyText"/>
        <w:spacing w:line="480" w:lineRule="auto"/>
        <w:ind w:left="296" w:right="1137"/>
        <w:jc w:val="both"/>
      </w:pPr>
      <w:r>
        <w:rPr/>
        <w:t>Biguanides e.g. metformin, reduce blood glucose levels through suppression of gluconeogenesis, stimulation of peripheral glucose uptake by tissues in the presence of insulin, and decreased absorption of glucose from the gastrointestinal tract (Fisman </w:t>
      </w:r>
      <w:r>
        <w:rPr>
          <w:i/>
        </w:rPr>
        <w:t>et al</w:t>
      </w:r>
      <w:r>
        <w:rPr/>
        <w:t>., 1999).</w:t>
      </w:r>
      <w:r>
        <w:rPr>
          <w:spacing w:val="40"/>
        </w:rPr>
        <w:t> </w:t>
      </w:r>
      <w:r>
        <w:rPr/>
        <w:t>It has no direct effects on beta-cells, does not produce hypoglycaemia, reduces glycohemoglobin (HgA1c) and improves both blood lipid profile and fibrinolytic activity. Unlike other oral anti-diabetic drugs, metformin does not cause weight gain and appears to be the drug of choice in obese patients. Common side effects include gastrointestinal disturbances such as diarrhea. Long term therapy with metformin impairs intestinal absorption of group B vitamins and folate (Misbin </w:t>
      </w:r>
      <w:r>
        <w:rPr>
          <w:i/>
        </w:rPr>
        <w:t>et al</w:t>
      </w:r>
      <w:r>
        <w:rPr/>
        <w:t>., 1998).</w:t>
      </w:r>
    </w:p>
    <w:p>
      <w:pPr>
        <w:spacing w:after="0" w:line="480" w:lineRule="auto"/>
        <w:jc w:val="both"/>
        <w:sectPr>
          <w:pgSz w:w="12240" w:h="15840"/>
          <w:pgMar w:header="0" w:footer="1015" w:top="1360" w:bottom="1200" w:left="1720" w:right="300"/>
        </w:sectPr>
      </w:pPr>
    </w:p>
    <w:p>
      <w:pPr>
        <w:pStyle w:val="ListParagraph"/>
        <w:numPr>
          <w:ilvl w:val="3"/>
          <w:numId w:val="14"/>
        </w:numPr>
        <w:tabs>
          <w:tab w:pos="1016" w:val="left" w:leader="none"/>
        </w:tabs>
        <w:spacing w:line="240" w:lineRule="auto" w:before="72" w:after="0"/>
        <w:ind w:left="1016" w:right="0" w:hanging="720"/>
        <w:jc w:val="left"/>
        <w:rPr>
          <w:i/>
          <w:sz w:val="24"/>
        </w:rPr>
      </w:pPr>
      <w:r>
        <w:rPr>
          <w:i/>
          <w:spacing w:val="-2"/>
          <w:sz w:val="24"/>
        </w:rPr>
        <w:t>Meglitinides</w:t>
      </w:r>
    </w:p>
    <w:p>
      <w:pPr>
        <w:pStyle w:val="BodyText"/>
        <w:rPr>
          <w:i/>
        </w:rPr>
      </w:pPr>
    </w:p>
    <w:p>
      <w:pPr>
        <w:pStyle w:val="BodyText"/>
        <w:spacing w:line="480" w:lineRule="auto"/>
        <w:ind w:left="296" w:right="1137"/>
        <w:jc w:val="both"/>
      </w:pPr>
      <w:r>
        <w:rPr/>
        <w:t>Meglitinides are insulin secretagogues which include repaglinide and nateglinide. Like sulfonylureas, these compounds act by closing the ATP-dependent potassium channels. However, their mechanism of action seems to be more complex since three possible meglitinide receptor binding sites have been found on the beta-cells (Fuhlendorff </w:t>
      </w:r>
      <w:r>
        <w:rPr>
          <w:i/>
        </w:rPr>
        <w:t>et al.</w:t>
      </w:r>
      <w:r>
        <w:rPr/>
        <w:t>, 1998). The physiological effect of meglitinides on insulin secretion is a glycaemia- dependent response. Nateglinide show more of this response than repaglinide, hence, has lower tendencies for hypoglycaemia (Hu </w:t>
      </w:r>
      <w:r>
        <w:rPr>
          <w:i/>
        </w:rPr>
        <w:t>et al</w:t>
      </w:r>
      <w:r>
        <w:rPr/>
        <w:t>., 2001). Unwanted effects with this class are uncommon; however, repaglinide must not</w:t>
      </w:r>
      <w:r>
        <w:rPr>
          <w:spacing w:val="-1"/>
        </w:rPr>
        <w:t> </w:t>
      </w:r>
      <w:r>
        <w:rPr/>
        <w:t>be administered</w:t>
      </w:r>
      <w:r>
        <w:rPr>
          <w:spacing w:val="-1"/>
        </w:rPr>
        <w:t> </w:t>
      </w:r>
      <w:r>
        <w:rPr/>
        <w:t>with</w:t>
      </w:r>
      <w:r>
        <w:rPr>
          <w:spacing w:val="-1"/>
        </w:rPr>
        <w:t> </w:t>
      </w:r>
      <w:r>
        <w:rPr/>
        <w:t>sulfonylurea</w:t>
      </w:r>
      <w:r>
        <w:rPr>
          <w:spacing w:val="-2"/>
        </w:rPr>
        <w:t> </w:t>
      </w:r>
      <w:r>
        <w:rPr/>
        <w:t>because</w:t>
      </w:r>
      <w:r>
        <w:rPr>
          <w:spacing w:val="-2"/>
        </w:rPr>
        <w:t> </w:t>
      </w:r>
      <w:r>
        <w:rPr/>
        <w:t>they act via the same pathway.</w:t>
      </w:r>
    </w:p>
    <w:p>
      <w:pPr>
        <w:pStyle w:val="BodyText"/>
      </w:pPr>
    </w:p>
    <w:p>
      <w:pPr>
        <w:pStyle w:val="BodyText"/>
        <w:spacing w:before="1"/>
      </w:pPr>
    </w:p>
    <w:p>
      <w:pPr>
        <w:pStyle w:val="ListParagraph"/>
        <w:numPr>
          <w:ilvl w:val="3"/>
          <w:numId w:val="14"/>
        </w:numPr>
        <w:tabs>
          <w:tab w:pos="1016" w:val="left" w:leader="none"/>
        </w:tabs>
        <w:spacing w:line="240" w:lineRule="auto" w:before="0" w:after="0"/>
        <w:ind w:left="1016" w:right="0" w:hanging="720"/>
        <w:jc w:val="left"/>
        <w:rPr>
          <w:i/>
          <w:sz w:val="24"/>
        </w:rPr>
      </w:pPr>
      <w:r>
        <w:rPr>
          <w:i/>
          <w:spacing w:val="-2"/>
          <w:sz w:val="24"/>
        </w:rPr>
        <w:t>Glitazones</w:t>
      </w:r>
    </w:p>
    <w:p>
      <w:pPr>
        <w:pStyle w:val="BodyText"/>
        <w:rPr>
          <w:i/>
        </w:rPr>
      </w:pPr>
    </w:p>
    <w:p>
      <w:pPr>
        <w:pStyle w:val="BodyText"/>
        <w:spacing w:line="480" w:lineRule="auto"/>
        <w:ind w:left="296" w:right="1132"/>
        <w:jc w:val="both"/>
      </w:pPr>
      <w:r>
        <w:rPr/>
        <w:t>This</w:t>
      </w:r>
      <w:r>
        <w:rPr>
          <w:spacing w:val="-2"/>
        </w:rPr>
        <w:t> </w:t>
      </w:r>
      <w:r>
        <w:rPr/>
        <w:t>group</w:t>
      </w:r>
      <w:r>
        <w:rPr>
          <w:spacing w:val="-3"/>
        </w:rPr>
        <w:t> </w:t>
      </w:r>
      <w:r>
        <w:rPr/>
        <w:t>of</w:t>
      </w:r>
      <w:r>
        <w:rPr>
          <w:spacing w:val="-3"/>
        </w:rPr>
        <w:t> </w:t>
      </w:r>
      <w:r>
        <w:rPr/>
        <w:t>drugs</w:t>
      </w:r>
      <w:r>
        <w:rPr>
          <w:spacing w:val="-2"/>
        </w:rPr>
        <w:t> </w:t>
      </w:r>
      <w:r>
        <w:rPr/>
        <w:t>is also</w:t>
      </w:r>
      <w:r>
        <w:rPr>
          <w:spacing w:val="-2"/>
        </w:rPr>
        <w:t> </w:t>
      </w:r>
      <w:r>
        <w:rPr/>
        <w:t>called</w:t>
      </w:r>
      <w:r>
        <w:rPr>
          <w:spacing w:val="-2"/>
        </w:rPr>
        <w:t> </w:t>
      </w:r>
      <w:r>
        <w:rPr/>
        <w:t>thiazolidinediones</w:t>
      </w:r>
      <w:r>
        <w:rPr>
          <w:spacing w:val="-2"/>
        </w:rPr>
        <w:t> </w:t>
      </w:r>
      <w:r>
        <w:rPr/>
        <w:t>and</w:t>
      </w:r>
      <w:r>
        <w:rPr>
          <w:spacing w:val="-2"/>
        </w:rPr>
        <w:t> </w:t>
      </w:r>
      <w:r>
        <w:rPr/>
        <w:t>includes</w:t>
      </w:r>
      <w:r>
        <w:rPr>
          <w:spacing w:val="-2"/>
        </w:rPr>
        <w:t> </w:t>
      </w:r>
      <w:r>
        <w:rPr/>
        <w:t>anti-diabetic</w:t>
      </w:r>
      <w:r>
        <w:rPr>
          <w:spacing w:val="-3"/>
        </w:rPr>
        <w:t> </w:t>
      </w:r>
      <w:r>
        <w:rPr/>
        <w:t>medications such as troglitazone, pioglitazone, and rosiglitazone. Their chemical structure and mechanism of action are very different from those of the other groups. Chemically, they have chroman moieties and some of the analogues may present an aminoalkyl group as a linker</w:t>
      </w:r>
      <w:r>
        <w:rPr>
          <w:spacing w:val="-2"/>
        </w:rPr>
        <w:t> </w:t>
      </w:r>
      <w:r>
        <w:rPr/>
        <w:t>between</w:t>
      </w:r>
      <w:r>
        <w:rPr>
          <w:spacing w:val="-2"/>
        </w:rPr>
        <w:t> </w:t>
      </w:r>
      <w:r>
        <w:rPr/>
        <w:t>the</w:t>
      </w:r>
      <w:r>
        <w:rPr>
          <w:spacing w:val="-1"/>
        </w:rPr>
        <w:t> </w:t>
      </w:r>
      <w:r>
        <w:rPr/>
        <w:t>chroman</w:t>
      </w:r>
      <w:r>
        <w:rPr>
          <w:spacing w:val="-2"/>
        </w:rPr>
        <w:t> </w:t>
      </w:r>
      <w:r>
        <w:rPr/>
        <w:t>ring</w:t>
      </w:r>
      <w:r>
        <w:rPr>
          <w:spacing w:val="-5"/>
        </w:rPr>
        <w:t> </w:t>
      </w:r>
      <w:r>
        <w:rPr/>
        <w:t>and</w:t>
      </w:r>
      <w:r>
        <w:rPr>
          <w:spacing w:val="-1"/>
        </w:rPr>
        <w:t> </w:t>
      </w:r>
      <w:r>
        <w:rPr/>
        <w:t>the</w:t>
      </w:r>
      <w:r>
        <w:rPr>
          <w:spacing w:val="-2"/>
        </w:rPr>
        <w:t> </w:t>
      </w:r>
      <w:r>
        <w:rPr/>
        <w:t>phenoxy</w:t>
      </w:r>
      <w:r>
        <w:rPr>
          <w:spacing w:val="-3"/>
        </w:rPr>
        <w:t> </w:t>
      </w:r>
      <w:r>
        <w:rPr/>
        <w:t>moiety.</w:t>
      </w:r>
      <w:r>
        <w:rPr>
          <w:spacing w:val="-2"/>
        </w:rPr>
        <w:t> </w:t>
      </w:r>
      <w:r>
        <w:rPr/>
        <w:t>Troglitazone,</w:t>
      </w:r>
      <w:r>
        <w:rPr>
          <w:spacing w:val="-2"/>
        </w:rPr>
        <w:t> </w:t>
      </w:r>
      <w:r>
        <w:rPr/>
        <w:t>which</w:t>
      </w:r>
      <w:r>
        <w:rPr>
          <w:spacing w:val="-2"/>
        </w:rPr>
        <w:t> </w:t>
      </w:r>
      <w:r>
        <w:rPr/>
        <w:t>was</w:t>
      </w:r>
      <w:r>
        <w:rPr>
          <w:spacing w:val="-2"/>
        </w:rPr>
        <w:t> </w:t>
      </w:r>
      <w:r>
        <w:rPr/>
        <w:t>the</w:t>
      </w:r>
      <w:r>
        <w:rPr>
          <w:spacing w:val="-1"/>
        </w:rPr>
        <w:t> </w:t>
      </w:r>
      <w:r>
        <w:rPr/>
        <w:t>first agent in this class to receive labeling approval, was withdrawn from clinical use in the US due to hepatotoxicity (Lebovitz, 2002). These drugs are insulin sensitizers and increase insulin sensitivity in adipocytes and skeletal muscles. An additional major effect is the inhibition of hepatic gluconeogenesis leading to increased glucose transporter expression (Saltiel and Olefsky, 1996).</w:t>
      </w:r>
    </w:p>
    <w:p>
      <w:pPr>
        <w:spacing w:after="0" w:line="480" w:lineRule="auto"/>
        <w:jc w:val="both"/>
        <w:sectPr>
          <w:pgSz w:w="12240" w:h="15840"/>
          <w:pgMar w:header="0" w:footer="1015" w:top="1360" w:bottom="1200" w:left="1720" w:right="300"/>
        </w:sectPr>
      </w:pPr>
    </w:p>
    <w:p>
      <w:pPr>
        <w:pStyle w:val="ListParagraph"/>
        <w:numPr>
          <w:ilvl w:val="3"/>
          <w:numId w:val="14"/>
        </w:numPr>
        <w:tabs>
          <w:tab w:pos="1016" w:val="left" w:leader="none"/>
        </w:tabs>
        <w:spacing w:line="240" w:lineRule="auto" w:before="72" w:after="0"/>
        <w:ind w:left="1016" w:right="0" w:hanging="720"/>
        <w:jc w:val="left"/>
        <w:rPr>
          <w:i/>
          <w:sz w:val="24"/>
        </w:rPr>
      </w:pPr>
      <w:r>
        <w:rPr>
          <w:i/>
          <w:spacing w:val="-2"/>
          <w:sz w:val="24"/>
        </w:rPr>
        <w:t>Incretins</w:t>
      </w:r>
    </w:p>
    <w:p>
      <w:pPr>
        <w:pStyle w:val="BodyText"/>
        <w:rPr>
          <w:i/>
        </w:rPr>
      </w:pPr>
    </w:p>
    <w:p>
      <w:pPr>
        <w:pStyle w:val="BodyText"/>
        <w:spacing w:line="480" w:lineRule="auto"/>
        <w:ind w:left="296" w:right="1138"/>
        <w:jc w:val="both"/>
      </w:pPr>
      <w:r>
        <w:rPr/>
        <w:t>These are incretin mimetics which include exenatide and lirglutide. They act by rapidly stimulating the release of insulin and prevent the pancreas from releasing excess glucagon (Efendic and Portwood, 2004). Common side effects include nausea and vomiting,</w:t>
      </w:r>
      <w:r>
        <w:rPr>
          <w:spacing w:val="80"/>
        </w:rPr>
        <w:t> </w:t>
      </w:r>
      <w:r>
        <w:rPr/>
        <w:t>diarrhea and heart burn. Less common side effects are severe abdominal pain swelling of the face, lips, tongue or throat.</w:t>
      </w:r>
    </w:p>
    <w:p>
      <w:pPr>
        <w:pStyle w:val="BodyText"/>
      </w:pPr>
    </w:p>
    <w:p>
      <w:pPr>
        <w:pStyle w:val="BodyText"/>
        <w:spacing w:before="1"/>
      </w:pPr>
    </w:p>
    <w:p>
      <w:pPr>
        <w:pStyle w:val="ListParagraph"/>
        <w:numPr>
          <w:ilvl w:val="3"/>
          <w:numId w:val="14"/>
        </w:numPr>
        <w:tabs>
          <w:tab w:pos="1016" w:val="left" w:leader="none"/>
        </w:tabs>
        <w:spacing w:line="240" w:lineRule="auto" w:before="0" w:after="0"/>
        <w:ind w:left="1016" w:right="0" w:hanging="720"/>
        <w:jc w:val="left"/>
        <w:rPr>
          <w:i/>
          <w:sz w:val="24"/>
        </w:rPr>
      </w:pPr>
      <w:r>
        <w:rPr>
          <w:i/>
          <w:sz w:val="24"/>
        </w:rPr>
        <w:t>Dipeptidyl</w:t>
      </w:r>
      <w:r>
        <w:rPr>
          <w:i/>
          <w:spacing w:val="-2"/>
          <w:sz w:val="24"/>
        </w:rPr>
        <w:t> </w:t>
      </w:r>
      <w:r>
        <w:rPr>
          <w:i/>
          <w:sz w:val="24"/>
        </w:rPr>
        <w:t>peptidase-4</w:t>
      </w:r>
      <w:r>
        <w:rPr>
          <w:i/>
          <w:spacing w:val="-1"/>
          <w:sz w:val="24"/>
        </w:rPr>
        <w:t> </w:t>
      </w:r>
      <w:r>
        <w:rPr>
          <w:i/>
          <w:spacing w:val="-2"/>
          <w:sz w:val="24"/>
        </w:rPr>
        <w:t>inhibitors</w:t>
      </w:r>
    </w:p>
    <w:p>
      <w:pPr>
        <w:pStyle w:val="BodyText"/>
        <w:rPr>
          <w:i/>
        </w:rPr>
      </w:pPr>
    </w:p>
    <w:p>
      <w:pPr>
        <w:pStyle w:val="BodyText"/>
        <w:spacing w:line="480" w:lineRule="auto"/>
        <w:ind w:left="296" w:right="1137"/>
        <w:jc w:val="both"/>
      </w:pPr>
      <w:r>
        <w:rPr/>
        <w:t>Sitagliptin is one of the drugs of this class and is the first drug in this class to be approved by the FDA. It lowers DPP-4 activity in a sustained manner following once a day administration, preserves the circulating levels of intact GIP and GLP1 following meals in both acute and chronic studies and reduces blood glucose levels without significant hypoglycaemia (Kim </w:t>
      </w:r>
      <w:r>
        <w:rPr>
          <w:i/>
        </w:rPr>
        <w:t>et al</w:t>
      </w:r>
      <w:r>
        <w:rPr/>
        <w:t>., 2005).</w:t>
      </w:r>
    </w:p>
    <w:p>
      <w:pPr>
        <w:pStyle w:val="BodyText"/>
      </w:pPr>
    </w:p>
    <w:p>
      <w:pPr>
        <w:pStyle w:val="BodyText"/>
        <w:spacing w:before="1"/>
      </w:pPr>
    </w:p>
    <w:p>
      <w:pPr>
        <w:pStyle w:val="ListParagraph"/>
        <w:numPr>
          <w:ilvl w:val="3"/>
          <w:numId w:val="14"/>
        </w:numPr>
        <w:tabs>
          <w:tab w:pos="1016" w:val="left" w:leader="none"/>
        </w:tabs>
        <w:spacing w:line="240" w:lineRule="auto" w:before="0" w:after="0"/>
        <w:ind w:left="1016" w:right="0" w:hanging="720"/>
        <w:jc w:val="left"/>
        <w:rPr>
          <w:i/>
          <w:sz w:val="24"/>
        </w:rPr>
      </w:pPr>
      <w:r>
        <w:rPr>
          <w:i/>
          <w:sz w:val="24"/>
        </w:rPr>
        <w:t>Amylin</w:t>
      </w:r>
      <w:r>
        <w:rPr>
          <w:i/>
          <w:spacing w:val="-3"/>
          <w:sz w:val="24"/>
        </w:rPr>
        <w:t> </w:t>
      </w:r>
      <w:r>
        <w:rPr>
          <w:i/>
          <w:sz w:val="24"/>
        </w:rPr>
        <w:t>mimetic</w:t>
      </w:r>
      <w:r>
        <w:rPr>
          <w:i/>
          <w:spacing w:val="-2"/>
          <w:sz w:val="24"/>
        </w:rPr>
        <w:t> drugs</w:t>
      </w:r>
    </w:p>
    <w:p>
      <w:pPr>
        <w:pStyle w:val="BodyText"/>
        <w:rPr>
          <w:i/>
        </w:rPr>
      </w:pPr>
    </w:p>
    <w:p>
      <w:pPr>
        <w:pStyle w:val="BodyText"/>
        <w:spacing w:line="480" w:lineRule="auto"/>
        <w:ind w:left="296" w:right="1135"/>
        <w:jc w:val="both"/>
      </w:pPr>
      <w:r>
        <w:rPr/>
        <w:t>This group of drugs is also called amylin analogues. Amylin is a hormone which is co- secreted with insulin from pancreatic beta cells in response to meals. Deficient amylin secretion is a well-recognized phenomenon in T1DM and in a later-stage in T2DM, in whom pancreatic insulin production is markedly reduced. The physiological action of amylin is similar to the incretin mimetics. Amylin suppresses glucagon (a pancreatic hormone that regulates the production of glucose by the liver) secretion from pancreatic alpha cells, thereby attenuating hepatic glucose production (Inzucchi and McGuire, 2008). Pramlintide</w:t>
      </w:r>
      <w:r>
        <w:rPr>
          <w:spacing w:val="15"/>
        </w:rPr>
        <w:t> </w:t>
      </w:r>
      <w:r>
        <w:rPr/>
        <w:t>is</w:t>
      </w:r>
      <w:r>
        <w:rPr>
          <w:spacing w:val="18"/>
        </w:rPr>
        <w:t> </w:t>
      </w:r>
      <w:r>
        <w:rPr/>
        <w:t>an</w:t>
      </w:r>
      <w:r>
        <w:rPr>
          <w:spacing w:val="18"/>
        </w:rPr>
        <w:t> </w:t>
      </w:r>
      <w:r>
        <w:rPr/>
        <w:t>example</w:t>
      </w:r>
      <w:r>
        <w:rPr>
          <w:spacing w:val="17"/>
        </w:rPr>
        <w:t> </w:t>
      </w:r>
      <w:r>
        <w:rPr/>
        <w:t>of</w:t>
      </w:r>
      <w:r>
        <w:rPr>
          <w:spacing w:val="18"/>
        </w:rPr>
        <w:t> </w:t>
      </w:r>
      <w:r>
        <w:rPr/>
        <w:t>drugs</w:t>
      </w:r>
      <w:r>
        <w:rPr>
          <w:spacing w:val="20"/>
        </w:rPr>
        <w:t> </w:t>
      </w:r>
      <w:r>
        <w:rPr/>
        <w:t>from</w:t>
      </w:r>
      <w:r>
        <w:rPr>
          <w:spacing w:val="19"/>
        </w:rPr>
        <w:t> </w:t>
      </w:r>
      <w:r>
        <w:rPr/>
        <w:t>this</w:t>
      </w:r>
      <w:r>
        <w:rPr>
          <w:spacing w:val="18"/>
        </w:rPr>
        <w:t> </w:t>
      </w:r>
      <w:r>
        <w:rPr/>
        <w:t>class</w:t>
      </w:r>
      <w:r>
        <w:rPr>
          <w:spacing w:val="19"/>
        </w:rPr>
        <w:t> </w:t>
      </w:r>
      <w:r>
        <w:rPr/>
        <w:t>approved</w:t>
      </w:r>
      <w:r>
        <w:rPr>
          <w:spacing w:val="17"/>
        </w:rPr>
        <w:t> </w:t>
      </w:r>
      <w:r>
        <w:rPr/>
        <w:t>by</w:t>
      </w:r>
      <w:r>
        <w:rPr>
          <w:spacing w:val="14"/>
        </w:rPr>
        <w:t> </w:t>
      </w:r>
      <w:r>
        <w:rPr/>
        <w:t>the</w:t>
      </w:r>
      <w:r>
        <w:rPr>
          <w:spacing w:val="17"/>
        </w:rPr>
        <w:t> </w:t>
      </w:r>
      <w:r>
        <w:rPr/>
        <w:t>FDA</w:t>
      </w:r>
      <w:r>
        <w:rPr>
          <w:spacing w:val="20"/>
        </w:rPr>
        <w:t> </w:t>
      </w:r>
      <w:r>
        <w:rPr/>
        <w:t>in</w:t>
      </w:r>
      <w:r>
        <w:rPr>
          <w:spacing w:val="18"/>
        </w:rPr>
        <w:t> </w:t>
      </w:r>
      <w:r>
        <w:rPr/>
        <w:t>March</w:t>
      </w:r>
      <w:r>
        <w:rPr>
          <w:spacing w:val="18"/>
        </w:rPr>
        <w:t> </w:t>
      </w:r>
      <w:r>
        <w:rPr>
          <w:spacing w:val="-2"/>
        </w:rPr>
        <w:t>2005,</w:t>
      </w:r>
    </w:p>
    <w:p>
      <w:pPr>
        <w:spacing w:after="0" w:line="480" w:lineRule="auto"/>
        <w:jc w:val="both"/>
        <w:sectPr>
          <w:pgSz w:w="12240" w:h="15840"/>
          <w:pgMar w:header="0" w:footer="1015" w:top="1360" w:bottom="1200" w:left="1720" w:right="300"/>
        </w:sectPr>
      </w:pPr>
    </w:p>
    <w:p>
      <w:pPr>
        <w:pStyle w:val="BodyText"/>
        <w:spacing w:line="480" w:lineRule="auto" w:before="72"/>
        <w:ind w:left="296" w:right="1141"/>
        <w:jc w:val="both"/>
      </w:pPr>
      <w:r>
        <w:rPr/>
        <w:t>and is administered subcutaneously. It satisfactorily plays a supportive role especially in the management of T2DM (Levetan </w:t>
      </w:r>
      <w:r>
        <w:rPr>
          <w:i/>
        </w:rPr>
        <w:t>et al</w:t>
      </w:r>
      <w:r>
        <w:rPr/>
        <w:t>., 2003).</w:t>
      </w:r>
    </w:p>
    <w:p>
      <w:pPr>
        <w:pStyle w:val="BodyText"/>
      </w:pPr>
    </w:p>
    <w:p>
      <w:pPr>
        <w:pStyle w:val="BodyText"/>
        <w:spacing w:before="5"/>
      </w:pPr>
    </w:p>
    <w:p>
      <w:pPr>
        <w:pStyle w:val="Heading2"/>
        <w:numPr>
          <w:ilvl w:val="1"/>
          <w:numId w:val="13"/>
        </w:numPr>
        <w:tabs>
          <w:tab w:pos="3673" w:val="left" w:leader="none"/>
        </w:tabs>
        <w:spacing w:line="240" w:lineRule="auto" w:before="0" w:after="0"/>
        <w:ind w:left="3673" w:right="0" w:hanging="720"/>
        <w:jc w:val="both"/>
      </w:pPr>
      <w:bookmarkStart w:name="_TOC_250044" w:id="37"/>
      <w:r>
        <w:rPr/>
        <w:t>Calcium</w:t>
      </w:r>
      <w:r>
        <w:rPr>
          <w:spacing w:val="-5"/>
        </w:rPr>
        <w:t> </w:t>
      </w:r>
      <w:r>
        <w:rPr/>
        <w:t>Channel </w:t>
      </w:r>
      <w:bookmarkEnd w:id="37"/>
      <w:r>
        <w:rPr>
          <w:spacing w:val="-2"/>
        </w:rPr>
        <w:t>Blockers</w:t>
      </w:r>
    </w:p>
    <w:p>
      <w:pPr>
        <w:pStyle w:val="BodyText"/>
        <w:spacing w:line="480" w:lineRule="auto" w:before="271"/>
        <w:ind w:left="296" w:right="1135"/>
        <w:jc w:val="both"/>
      </w:pPr>
      <w:r>
        <w:rPr/>
        <w:t>The calcium channel blockers are a group of medications that disrupt movement of Ca</w:t>
      </w:r>
      <w:r>
        <w:rPr>
          <w:vertAlign w:val="superscript"/>
        </w:rPr>
        <w:t>2+</w:t>
      </w:r>
      <w:r>
        <w:rPr>
          <w:vertAlign w:val="baseline"/>
        </w:rPr>
        <w:t> through the Ca</w:t>
      </w:r>
      <w:r>
        <w:rPr>
          <w:vertAlign w:val="superscript"/>
        </w:rPr>
        <w:t>2+</w:t>
      </w:r>
      <w:r>
        <w:rPr>
          <w:vertAlign w:val="baseline"/>
        </w:rPr>
        <w:t> channels. They block voltage dependant Ca</w:t>
      </w:r>
      <w:r>
        <w:rPr>
          <w:vertAlign w:val="superscript"/>
        </w:rPr>
        <w:t>2+</w:t>
      </w:r>
      <w:r>
        <w:rPr>
          <w:vertAlign w:val="baseline"/>
        </w:rPr>
        <w:t> channels and inhibit the influx of calcium ions through the cell membrane not only by directly decreasing the concentration of cytoplasmic calcium but also by decreasing calcium release from intracellular stores (Timothy </w:t>
      </w:r>
      <w:r>
        <w:rPr>
          <w:i/>
          <w:vertAlign w:val="baseline"/>
        </w:rPr>
        <w:t>et al</w:t>
      </w:r>
      <w:r>
        <w:rPr>
          <w:vertAlign w:val="baseline"/>
        </w:rPr>
        <w:t>., 2002). There are three subclasses of CCBs namely; the dihydropyridines (nifedipine-like), the phenylalkylamine derivatives (verapamil), and the benzothiazepines (diltiazem) (Buckley </w:t>
      </w:r>
      <w:r>
        <w:rPr>
          <w:i/>
          <w:vertAlign w:val="baseline"/>
        </w:rPr>
        <w:t>et al</w:t>
      </w:r>
      <w:r>
        <w:rPr>
          <w:vertAlign w:val="baseline"/>
        </w:rPr>
        <w:t>., 2007).</w:t>
      </w:r>
    </w:p>
    <w:p>
      <w:pPr>
        <w:pStyle w:val="BodyText"/>
      </w:pPr>
    </w:p>
    <w:p>
      <w:pPr>
        <w:pStyle w:val="BodyText"/>
        <w:spacing w:before="6"/>
      </w:pPr>
    </w:p>
    <w:p>
      <w:pPr>
        <w:pStyle w:val="Heading2"/>
        <w:numPr>
          <w:ilvl w:val="2"/>
          <w:numId w:val="13"/>
        </w:numPr>
        <w:tabs>
          <w:tab w:pos="1016" w:val="left" w:leader="none"/>
        </w:tabs>
        <w:spacing w:line="240" w:lineRule="auto" w:before="0" w:after="0"/>
        <w:ind w:left="1016" w:right="0" w:hanging="720"/>
        <w:jc w:val="both"/>
      </w:pPr>
      <w:bookmarkStart w:name="_TOC_250043" w:id="38"/>
      <w:bookmarkEnd w:id="38"/>
      <w:r>
        <w:rPr>
          <w:spacing w:val="-2"/>
        </w:rPr>
        <w:t>Dihydropyridines</w:t>
      </w:r>
    </w:p>
    <w:p>
      <w:pPr>
        <w:pStyle w:val="BodyText"/>
        <w:spacing w:line="480" w:lineRule="auto" w:before="272"/>
        <w:ind w:left="296" w:right="1136"/>
        <w:jc w:val="both"/>
      </w:pPr>
      <w:r>
        <w:rPr/>
        <w:t>Dihydropyridines CCBs are</w:t>
      </w:r>
      <w:r>
        <w:rPr>
          <w:spacing w:val="-1"/>
        </w:rPr>
        <w:t> </w:t>
      </w:r>
      <w:r>
        <w:rPr/>
        <w:t>derived from the molecule dihydropyridine. They</w:t>
      </w:r>
      <w:r>
        <w:rPr>
          <w:spacing w:val="-1"/>
        </w:rPr>
        <w:t> </w:t>
      </w:r>
      <w:r>
        <w:rPr/>
        <w:t>are</w:t>
      </w:r>
      <w:r>
        <w:rPr>
          <w:spacing w:val="-1"/>
        </w:rPr>
        <w:t> </w:t>
      </w:r>
      <w:r>
        <w:rPr/>
        <w:t>the most frequently used of all the CCBs and are often used to reduce systemic vascular resistance and arterial blood pressure (Staessen </w:t>
      </w:r>
      <w:r>
        <w:rPr>
          <w:i/>
        </w:rPr>
        <w:t>et al</w:t>
      </w:r>
      <w:r>
        <w:rPr/>
        <w:t>., 2000). They are also indicated for treatment of variety of conditions like pulmonary and systemic hypertension, hypertrophic cardiomyopathy, cerebral arterial spasm, end stage renal disease in addition to various non cardiovascular conditions (Aram, 1996). Drugs from this class include nifedipine, amlodipine, nimodipine and nitrendipine.</w:t>
      </w:r>
    </w:p>
    <w:p>
      <w:pPr>
        <w:spacing w:after="0" w:line="480" w:lineRule="auto"/>
        <w:jc w:val="both"/>
        <w:sectPr>
          <w:pgSz w:w="12240" w:h="15840"/>
          <w:pgMar w:header="0" w:footer="1015" w:top="1360" w:bottom="1200" w:left="1720" w:right="300"/>
        </w:sectPr>
      </w:pPr>
    </w:p>
    <w:p>
      <w:pPr>
        <w:pStyle w:val="ListParagraph"/>
        <w:numPr>
          <w:ilvl w:val="3"/>
          <w:numId w:val="13"/>
        </w:numPr>
        <w:tabs>
          <w:tab w:pos="1016" w:val="left" w:leader="none"/>
        </w:tabs>
        <w:spacing w:line="240" w:lineRule="auto" w:before="72" w:after="0"/>
        <w:ind w:left="1016" w:right="0" w:hanging="720"/>
        <w:jc w:val="both"/>
        <w:rPr>
          <w:i/>
          <w:sz w:val="24"/>
        </w:rPr>
      </w:pPr>
      <w:r>
        <w:rPr>
          <w:i/>
          <w:spacing w:val="-2"/>
          <w:sz w:val="24"/>
        </w:rPr>
        <w:t>Nifedipine</w:t>
      </w:r>
    </w:p>
    <w:p>
      <w:pPr>
        <w:pStyle w:val="BodyText"/>
        <w:rPr>
          <w:i/>
        </w:rPr>
      </w:pPr>
    </w:p>
    <w:p>
      <w:pPr>
        <w:pStyle w:val="BodyText"/>
        <w:spacing w:line="480" w:lineRule="auto"/>
        <w:ind w:left="296" w:right="1137"/>
        <w:jc w:val="both"/>
      </w:pPr>
      <w:r>
        <w:rPr/>
        <w:t>Nifedipine is one of the most frequently prescribed dihydropyridines. Nifedipine primarily produces its effect by acting on vascular smooth muscles, to increase blood flow through</w:t>
      </w:r>
      <w:r>
        <w:rPr>
          <w:spacing w:val="40"/>
        </w:rPr>
        <w:t> </w:t>
      </w:r>
      <w:r>
        <w:rPr/>
        <w:t>its vasodilatory</w:t>
      </w:r>
      <w:r>
        <w:rPr>
          <w:spacing w:val="-3"/>
        </w:rPr>
        <w:t> </w:t>
      </w:r>
      <w:r>
        <w:rPr/>
        <w:t>action. Secondly, by</w:t>
      </w:r>
      <w:r>
        <w:rPr>
          <w:spacing w:val="-3"/>
        </w:rPr>
        <w:t> </w:t>
      </w:r>
      <w:r>
        <w:rPr/>
        <w:t>acting on cardiac</w:t>
      </w:r>
      <w:r>
        <w:rPr>
          <w:spacing w:val="-2"/>
        </w:rPr>
        <w:t> </w:t>
      </w:r>
      <w:r>
        <w:rPr/>
        <w:t>muscles, (myocardium),</w:t>
      </w:r>
      <w:r>
        <w:rPr>
          <w:spacing w:val="-1"/>
        </w:rPr>
        <w:t> </w:t>
      </w:r>
      <w:r>
        <w:rPr/>
        <w:t>they</w:t>
      </w:r>
      <w:r>
        <w:rPr>
          <w:spacing w:val="-5"/>
        </w:rPr>
        <w:t> </w:t>
      </w:r>
      <w:r>
        <w:rPr/>
        <w:t>reduce the force and rate of contraction of the heart and are useful in a number of cardiovascular diseases. Several studies have reported the importance of Nifedipine in diabetic microvascular</w:t>
      </w:r>
      <w:r>
        <w:rPr>
          <w:spacing w:val="-3"/>
        </w:rPr>
        <w:t> </w:t>
      </w:r>
      <w:r>
        <w:rPr/>
        <w:t>complications</w:t>
      </w:r>
      <w:r>
        <w:rPr>
          <w:spacing w:val="-3"/>
        </w:rPr>
        <w:t> </w:t>
      </w:r>
      <w:r>
        <w:rPr/>
        <w:t>especially</w:t>
      </w:r>
      <w:r>
        <w:rPr>
          <w:spacing w:val="-8"/>
        </w:rPr>
        <w:t> </w:t>
      </w:r>
      <w:r>
        <w:rPr/>
        <w:t>in</w:t>
      </w:r>
      <w:r>
        <w:rPr>
          <w:spacing w:val="-3"/>
        </w:rPr>
        <w:t> </w:t>
      </w:r>
      <w:r>
        <w:rPr/>
        <w:t>nephropathy,</w:t>
      </w:r>
      <w:r>
        <w:rPr>
          <w:spacing w:val="-1"/>
        </w:rPr>
        <w:t> </w:t>
      </w:r>
      <w:r>
        <w:rPr/>
        <w:t>where</w:t>
      </w:r>
      <w:r>
        <w:rPr>
          <w:spacing w:val="-4"/>
        </w:rPr>
        <w:t> </w:t>
      </w:r>
      <w:r>
        <w:rPr/>
        <w:t>it</w:t>
      </w:r>
      <w:r>
        <w:rPr>
          <w:spacing w:val="-3"/>
        </w:rPr>
        <w:t> </w:t>
      </w:r>
      <w:r>
        <w:rPr/>
        <w:t>delays</w:t>
      </w:r>
      <w:r>
        <w:rPr>
          <w:spacing w:val="-3"/>
        </w:rPr>
        <w:t> </w:t>
      </w:r>
      <w:r>
        <w:rPr/>
        <w:t>the</w:t>
      </w:r>
      <w:r>
        <w:rPr>
          <w:spacing w:val="-2"/>
        </w:rPr>
        <w:t> </w:t>
      </w:r>
      <w:r>
        <w:rPr/>
        <w:t>onset</w:t>
      </w:r>
      <w:r>
        <w:rPr>
          <w:spacing w:val="-3"/>
        </w:rPr>
        <w:t> </w:t>
      </w:r>
      <w:r>
        <w:rPr/>
        <w:t>as</w:t>
      </w:r>
      <w:r>
        <w:rPr>
          <w:spacing w:val="-3"/>
        </w:rPr>
        <w:t> </w:t>
      </w:r>
      <w:r>
        <w:rPr/>
        <w:t>well</w:t>
      </w:r>
      <w:r>
        <w:rPr>
          <w:spacing w:val="-1"/>
        </w:rPr>
        <w:t> </w:t>
      </w:r>
      <w:r>
        <w:rPr/>
        <w:t>as its progression (Ravid </w:t>
      </w:r>
      <w:r>
        <w:rPr>
          <w:i/>
        </w:rPr>
        <w:t>et al</w:t>
      </w:r>
      <w:r>
        <w:rPr/>
        <w:t>., 1996; Estacio </w:t>
      </w:r>
      <w:r>
        <w:rPr>
          <w:i/>
        </w:rPr>
        <w:t>et al</w:t>
      </w:r>
      <w:r>
        <w:rPr/>
        <w:t>., 2000; Shigeaki, 2001; Toyohiko </w:t>
      </w:r>
      <w:r>
        <w:rPr>
          <w:i/>
        </w:rPr>
        <w:t>et al</w:t>
      </w:r>
      <w:r>
        <w:rPr/>
        <w:t>., 2014). In addition, it is reported to be useful in diabetes because of its ability to lower serum lipid levels (Emara and Abdel-Sater, 2011). Common side effects of Nifedipine include headache, dizziness, redness of the face and slow heart rate.</w:t>
      </w:r>
    </w:p>
    <w:p>
      <w:pPr>
        <w:pStyle w:val="BodyText"/>
      </w:pPr>
    </w:p>
    <w:p>
      <w:pPr>
        <w:pStyle w:val="BodyText"/>
        <w:spacing w:before="205"/>
      </w:pPr>
    </w:p>
    <w:p>
      <w:pPr>
        <w:pStyle w:val="Heading2"/>
        <w:numPr>
          <w:ilvl w:val="2"/>
          <w:numId w:val="13"/>
        </w:numPr>
        <w:tabs>
          <w:tab w:pos="1016" w:val="left" w:leader="none"/>
        </w:tabs>
        <w:spacing w:line="240" w:lineRule="auto" w:before="1" w:after="0"/>
        <w:ind w:left="1016" w:right="0" w:hanging="720"/>
        <w:jc w:val="both"/>
      </w:pPr>
      <w:bookmarkStart w:name="_TOC_250042" w:id="39"/>
      <w:bookmarkEnd w:id="39"/>
      <w:r>
        <w:rPr>
          <w:spacing w:val="-2"/>
        </w:rPr>
        <w:t>Phenylalkylamines</w:t>
      </w:r>
    </w:p>
    <w:p>
      <w:pPr>
        <w:pStyle w:val="BodyText"/>
        <w:spacing w:line="480" w:lineRule="auto" w:before="271"/>
        <w:ind w:left="296" w:right="1142"/>
        <w:jc w:val="both"/>
      </w:pPr>
      <w:r>
        <w:rPr/>
        <w:t>The phenylalkylamine CCBs are relatively selective for the myocardium and act to reduce myocardial oxygen demand and reverse coronary spasm. They are often used in angina. They</w:t>
      </w:r>
      <w:r>
        <w:rPr>
          <w:spacing w:val="-1"/>
        </w:rPr>
        <w:t> </w:t>
      </w:r>
      <w:r>
        <w:rPr/>
        <w:t>have minimal vasodilatory</w:t>
      </w:r>
      <w:r>
        <w:rPr>
          <w:spacing w:val="-1"/>
        </w:rPr>
        <w:t> </w:t>
      </w:r>
      <w:r>
        <w:rPr/>
        <w:t>effects compared to the dihydropyridines as such produce less tachycardia making them appealing for the treatment of angina where tachycardia is the factor mostly implicated in increased oxygen demand of the heart (Bertram and William 2009). Examples include verapamil, gallopamil and fendiline.</w:t>
      </w:r>
    </w:p>
    <w:p>
      <w:pPr>
        <w:pStyle w:val="BodyText"/>
      </w:pPr>
    </w:p>
    <w:p>
      <w:pPr>
        <w:pStyle w:val="BodyText"/>
        <w:spacing w:before="5"/>
      </w:pPr>
    </w:p>
    <w:p>
      <w:pPr>
        <w:pStyle w:val="Heading2"/>
        <w:numPr>
          <w:ilvl w:val="2"/>
          <w:numId w:val="13"/>
        </w:numPr>
        <w:tabs>
          <w:tab w:pos="1016" w:val="left" w:leader="none"/>
        </w:tabs>
        <w:spacing w:line="240" w:lineRule="auto" w:before="1" w:after="0"/>
        <w:ind w:left="1016" w:right="0" w:hanging="720"/>
        <w:jc w:val="both"/>
      </w:pPr>
      <w:bookmarkStart w:name="_TOC_250041" w:id="40"/>
      <w:bookmarkEnd w:id="40"/>
      <w:r>
        <w:rPr>
          <w:spacing w:val="-2"/>
        </w:rPr>
        <w:t>Benzothiazepines</w:t>
      </w:r>
    </w:p>
    <w:p>
      <w:pPr>
        <w:pStyle w:val="BodyText"/>
        <w:spacing w:line="480" w:lineRule="auto" w:before="271"/>
        <w:ind w:left="296" w:right="1144"/>
        <w:jc w:val="both"/>
      </w:pPr>
      <w:r>
        <w:rPr/>
        <w:t>This class of CCBs is an intermediate class between the dihydropyridines and the phenylalkylamines</w:t>
      </w:r>
      <w:r>
        <w:rPr>
          <w:spacing w:val="61"/>
        </w:rPr>
        <w:t> </w:t>
      </w:r>
      <w:r>
        <w:rPr/>
        <w:t>in</w:t>
      </w:r>
      <w:r>
        <w:rPr>
          <w:spacing w:val="65"/>
        </w:rPr>
        <w:t> </w:t>
      </w:r>
      <w:r>
        <w:rPr/>
        <w:t>their</w:t>
      </w:r>
      <w:r>
        <w:rPr>
          <w:spacing w:val="67"/>
        </w:rPr>
        <w:t> </w:t>
      </w:r>
      <w:r>
        <w:rPr/>
        <w:t>selectivity</w:t>
      </w:r>
      <w:r>
        <w:rPr>
          <w:spacing w:val="62"/>
        </w:rPr>
        <w:t> </w:t>
      </w:r>
      <w:r>
        <w:rPr/>
        <w:t>for</w:t>
      </w:r>
      <w:r>
        <w:rPr>
          <w:spacing w:val="65"/>
        </w:rPr>
        <w:t> </w:t>
      </w:r>
      <w:r>
        <w:rPr/>
        <w:t>vascular</w:t>
      </w:r>
      <w:r>
        <w:rPr>
          <w:spacing w:val="63"/>
        </w:rPr>
        <w:t> </w:t>
      </w:r>
      <w:r>
        <w:rPr/>
        <w:t>calcium</w:t>
      </w:r>
      <w:r>
        <w:rPr>
          <w:spacing w:val="65"/>
        </w:rPr>
        <w:t> </w:t>
      </w:r>
      <w:r>
        <w:rPr/>
        <w:t>channels.</w:t>
      </w:r>
      <w:r>
        <w:rPr>
          <w:spacing w:val="67"/>
        </w:rPr>
        <w:t> </w:t>
      </w:r>
      <w:r>
        <w:rPr/>
        <w:t>By</w:t>
      </w:r>
      <w:r>
        <w:rPr>
          <w:spacing w:val="62"/>
        </w:rPr>
        <w:t> </w:t>
      </w:r>
      <w:r>
        <w:rPr/>
        <w:t>having</w:t>
      </w:r>
      <w:r>
        <w:rPr>
          <w:spacing w:val="62"/>
        </w:rPr>
        <w:t> </w:t>
      </w:r>
      <w:r>
        <w:rPr>
          <w:spacing w:val="-4"/>
        </w:rPr>
        <w:t>both</w:t>
      </w:r>
    </w:p>
    <w:p>
      <w:pPr>
        <w:spacing w:after="0" w:line="480" w:lineRule="auto"/>
        <w:jc w:val="both"/>
        <w:sectPr>
          <w:pgSz w:w="12240" w:h="15840"/>
          <w:pgMar w:header="0" w:footer="1015" w:top="1360" w:bottom="1200" w:left="1720" w:right="300"/>
        </w:sectPr>
      </w:pPr>
    </w:p>
    <w:p>
      <w:pPr>
        <w:pStyle w:val="BodyText"/>
        <w:spacing w:line="480" w:lineRule="auto" w:before="72"/>
        <w:ind w:left="296" w:right="1142"/>
        <w:jc w:val="both"/>
      </w:pPr>
      <w:r>
        <w:rPr/>
        <w:t>cardiac depressant and vasodilatory action, benzothiazepines are able to reduce arterial blood pressure without producing the reflex tachycardia as the dihydropyridines (Oslon, 2011). An example is diltiazem.</w:t>
      </w:r>
    </w:p>
    <w:p>
      <w:pPr>
        <w:pStyle w:val="BodyText"/>
      </w:pPr>
    </w:p>
    <w:p>
      <w:pPr>
        <w:pStyle w:val="BodyText"/>
        <w:spacing w:before="5"/>
      </w:pPr>
    </w:p>
    <w:p>
      <w:pPr>
        <w:pStyle w:val="Heading2"/>
        <w:numPr>
          <w:ilvl w:val="1"/>
          <w:numId w:val="13"/>
        </w:numPr>
        <w:tabs>
          <w:tab w:pos="4177" w:val="left" w:leader="none"/>
        </w:tabs>
        <w:spacing w:line="240" w:lineRule="auto" w:before="0" w:after="0"/>
        <w:ind w:left="4177" w:right="0" w:hanging="720"/>
        <w:jc w:val="both"/>
      </w:pPr>
      <w:bookmarkStart w:name="_TOC_250040" w:id="41"/>
      <w:r>
        <w:rPr/>
        <w:t>Drug</w:t>
      </w:r>
      <w:bookmarkEnd w:id="41"/>
      <w:r>
        <w:rPr>
          <w:spacing w:val="-2"/>
        </w:rPr>
        <w:t> Interaction</w:t>
      </w:r>
    </w:p>
    <w:p>
      <w:pPr>
        <w:pStyle w:val="BodyText"/>
        <w:spacing w:line="480" w:lineRule="auto" w:before="271"/>
        <w:ind w:left="296" w:right="1134"/>
        <w:jc w:val="both"/>
      </w:pPr>
      <w:r>
        <w:rPr/>
        <w:t>A drug-drug interaction is a situation whereby a drug affects the activity of another drug when there is concurrent or prior administration of two or more drugs (Bibi, 2008). This action can be synergistic where the drug's effect is increased or antagonistic where the drug's effect is decreased or a new effect can be produced that neither of the drugs</w:t>
      </w:r>
      <w:r>
        <w:rPr>
          <w:spacing w:val="40"/>
        </w:rPr>
        <w:t> </w:t>
      </w:r>
      <w:r>
        <w:rPr/>
        <w:t>produces on its own. Drug interaction is not limited only to drug-drug interactions. Interactions may also exist between drugs and foods i.e. drug-food interactions, as well as drugs and medicinal plants or herbs also known as drug-herb interactions (Bailey </w:t>
      </w:r>
      <w:r>
        <w:rPr>
          <w:i/>
        </w:rPr>
        <w:t>et al</w:t>
      </w:r>
      <w:r>
        <w:rPr/>
        <w:t>., </w:t>
      </w:r>
      <w:r>
        <w:rPr>
          <w:spacing w:val="-2"/>
        </w:rPr>
        <w:t>1998).</w:t>
      </w:r>
    </w:p>
    <w:p>
      <w:pPr>
        <w:pStyle w:val="BodyText"/>
      </w:pPr>
    </w:p>
    <w:p>
      <w:pPr>
        <w:pStyle w:val="BodyText"/>
        <w:spacing w:before="1"/>
      </w:pPr>
    </w:p>
    <w:p>
      <w:pPr>
        <w:pStyle w:val="BodyText"/>
        <w:spacing w:line="480" w:lineRule="auto" w:before="1"/>
        <w:ind w:left="296" w:right="1135"/>
        <w:jc w:val="both"/>
      </w:pPr>
      <w:r>
        <w:rPr/>
        <w:t>Drug interactions may affect the pharmacokinetics of a drug resulting in alterations in the absorption, distribution, metabolism, or excretion (ADME) of the drug which may lead to reduced drug activity or may also lead to drug toxicity (Bibi, 2008).</w:t>
      </w:r>
      <w:r>
        <w:rPr>
          <w:spacing w:val="40"/>
        </w:rPr>
        <w:t> </w:t>
      </w:r>
      <w:r>
        <w:rPr/>
        <w:t>Alternatively, drug interactions may result in pharmacodynamic consequences (Wester </w:t>
      </w:r>
      <w:r>
        <w:rPr>
          <w:i/>
        </w:rPr>
        <w:t>et al</w:t>
      </w:r>
      <w:r>
        <w:rPr/>
        <w:t>., 2008). For example, the co-administration of a receptor antagonist and an agonist for the same receptor will ultimately lead to the loss of intended therapeutic action of the agonist drug. As such, </w:t>
      </w:r>
      <w:r>
        <w:rPr>
          <w:color w:val="221F1F"/>
        </w:rPr>
        <w:t>knowing about interactions, their causes and implications, may help in avoiding </w:t>
      </w:r>
      <w:r>
        <w:rPr>
          <w:color w:val="221F1F"/>
          <w:spacing w:val="-2"/>
        </w:rPr>
        <w:t>them.</w:t>
      </w:r>
    </w:p>
    <w:p>
      <w:pPr>
        <w:spacing w:after="0" w:line="480" w:lineRule="auto"/>
        <w:jc w:val="both"/>
        <w:sectPr>
          <w:pgSz w:w="12240" w:h="15840"/>
          <w:pgMar w:header="0" w:footer="1015" w:top="1360" w:bottom="1200" w:left="1720" w:right="300"/>
        </w:sectPr>
      </w:pPr>
    </w:p>
    <w:p>
      <w:pPr>
        <w:pStyle w:val="Heading2"/>
        <w:numPr>
          <w:ilvl w:val="2"/>
          <w:numId w:val="13"/>
        </w:numPr>
        <w:tabs>
          <w:tab w:pos="1016" w:val="left" w:leader="none"/>
        </w:tabs>
        <w:spacing w:line="240" w:lineRule="auto" w:before="76" w:after="0"/>
        <w:ind w:left="1016" w:right="0" w:hanging="720"/>
        <w:jc w:val="both"/>
      </w:pPr>
      <w:bookmarkStart w:name="_TOC_250039" w:id="42"/>
      <w:r>
        <w:rPr/>
        <w:t>Drug</w:t>
      </w:r>
      <w:r>
        <w:rPr>
          <w:spacing w:val="-3"/>
        </w:rPr>
        <w:t> </w:t>
      </w:r>
      <w:r>
        <w:rPr/>
        <w:t>interaction with</w:t>
      </w:r>
      <w:r>
        <w:rPr>
          <w:spacing w:val="-1"/>
        </w:rPr>
        <w:t> </w:t>
      </w:r>
      <w:r>
        <w:rPr/>
        <w:t>oral anti-diabetic</w:t>
      </w:r>
      <w:bookmarkEnd w:id="42"/>
      <w:r>
        <w:rPr>
          <w:spacing w:val="-2"/>
        </w:rPr>
        <w:t> agents</w:t>
      </w:r>
    </w:p>
    <w:p>
      <w:pPr>
        <w:pStyle w:val="BodyText"/>
        <w:spacing w:line="480" w:lineRule="auto" w:before="272"/>
        <w:ind w:left="296" w:right="1141"/>
        <w:jc w:val="both"/>
      </w:pPr>
      <w:r>
        <w:rPr/>
        <w:t>The sulfonylureas and biguanides have been the mainstay of drug treatment for T2DM (Eurich </w:t>
      </w:r>
      <w:r>
        <w:rPr>
          <w:i/>
        </w:rPr>
        <w:t>et al</w:t>
      </w:r>
      <w:r>
        <w:rPr/>
        <w:t>., 2005). However, drugs from one or more groups are frequently used in combination and have additive effects in glycaemic control. The exception to this rule is that repaglinide must not be administered concurrently with sulphonylureas because they act via same pathway (Gillian, 2001).</w:t>
      </w:r>
    </w:p>
    <w:p>
      <w:pPr>
        <w:pStyle w:val="BodyText"/>
      </w:pPr>
    </w:p>
    <w:p>
      <w:pPr>
        <w:pStyle w:val="BodyText"/>
        <w:spacing w:before="1"/>
      </w:pPr>
    </w:p>
    <w:p>
      <w:pPr>
        <w:pStyle w:val="BodyText"/>
        <w:spacing w:line="480" w:lineRule="auto"/>
        <w:ind w:left="296" w:right="1138"/>
        <w:jc w:val="both"/>
      </w:pPr>
      <w:r>
        <w:rPr/>
        <w:t>All of the oral anti-diabetic drugs have the tendency to interact with other drugs and the consequence (hypoglycaemia or hyperglycaemia) could be deleterious (Foster, 1998). These interactions may be pharmacodynamic where another drug elevates or lowers blood sugar, or pharmacokinetic where another drug interferes with the absorption, distribution metabolism or excretion of the anti-diabetic agent. Either way, the apparent efficacy</w:t>
      </w:r>
      <w:r>
        <w:rPr>
          <w:spacing w:val="-3"/>
        </w:rPr>
        <w:t> </w:t>
      </w:r>
      <w:r>
        <w:rPr/>
        <w:t>of the anti-diabetic drug may be compromised. For example, if the interaction is</w:t>
      </w:r>
      <w:r>
        <w:rPr>
          <w:spacing w:val="40"/>
        </w:rPr>
        <w:t> </w:t>
      </w:r>
      <w:r>
        <w:rPr/>
        <w:t>pharmacokinetic, adverse effects of the anti-diabetic drug may be exacerbated.</w:t>
      </w:r>
    </w:p>
    <w:p>
      <w:pPr>
        <w:pStyle w:val="BodyText"/>
      </w:pPr>
    </w:p>
    <w:p>
      <w:pPr>
        <w:pStyle w:val="BodyText"/>
        <w:spacing w:before="1"/>
      </w:pPr>
    </w:p>
    <w:p>
      <w:pPr>
        <w:spacing w:before="0"/>
        <w:ind w:left="296" w:right="0" w:firstLine="0"/>
        <w:jc w:val="both"/>
        <w:rPr>
          <w:i/>
          <w:sz w:val="24"/>
        </w:rPr>
      </w:pPr>
      <w:r>
        <w:rPr>
          <w:i/>
          <w:sz w:val="24"/>
        </w:rPr>
        <w:t>2.9.1.2</w:t>
      </w:r>
      <w:r>
        <w:rPr>
          <w:i/>
          <w:spacing w:val="-3"/>
          <w:sz w:val="24"/>
        </w:rPr>
        <w:t> </w:t>
      </w:r>
      <w:r>
        <w:rPr>
          <w:i/>
          <w:sz w:val="24"/>
        </w:rPr>
        <w:t>Medications which</w:t>
      </w:r>
      <w:r>
        <w:rPr>
          <w:i/>
          <w:spacing w:val="-1"/>
          <w:sz w:val="24"/>
        </w:rPr>
        <w:t> </w:t>
      </w:r>
      <w:r>
        <w:rPr>
          <w:i/>
          <w:sz w:val="24"/>
        </w:rPr>
        <w:t>may</w:t>
      </w:r>
      <w:r>
        <w:rPr>
          <w:i/>
          <w:spacing w:val="-1"/>
          <w:sz w:val="24"/>
        </w:rPr>
        <w:t> </w:t>
      </w:r>
      <w:r>
        <w:rPr>
          <w:i/>
          <w:sz w:val="24"/>
        </w:rPr>
        <w:t>raise</w:t>
      </w:r>
      <w:r>
        <w:rPr>
          <w:i/>
          <w:spacing w:val="-2"/>
          <w:sz w:val="24"/>
        </w:rPr>
        <w:t> </w:t>
      </w:r>
      <w:r>
        <w:rPr>
          <w:i/>
          <w:sz w:val="24"/>
        </w:rPr>
        <w:t>blood </w:t>
      </w:r>
      <w:r>
        <w:rPr>
          <w:i/>
          <w:spacing w:val="-2"/>
          <w:sz w:val="24"/>
        </w:rPr>
        <w:t>glucose</w:t>
      </w:r>
    </w:p>
    <w:p>
      <w:pPr>
        <w:pStyle w:val="BodyText"/>
        <w:rPr>
          <w:i/>
        </w:rPr>
      </w:pPr>
    </w:p>
    <w:p>
      <w:pPr>
        <w:pStyle w:val="BodyText"/>
        <w:spacing w:line="480" w:lineRule="auto"/>
        <w:ind w:left="296" w:right="1135"/>
        <w:jc w:val="both"/>
      </w:pPr>
      <w:r>
        <w:rPr/>
        <w:t>Drugs</w:t>
      </w:r>
      <w:r>
        <w:rPr>
          <w:spacing w:val="-2"/>
        </w:rPr>
        <w:t> </w:t>
      </w:r>
      <w:r>
        <w:rPr/>
        <w:t>with</w:t>
      </w:r>
      <w:r>
        <w:rPr>
          <w:spacing w:val="-2"/>
        </w:rPr>
        <w:t> </w:t>
      </w:r>
      <w:r>
        <w:rPr/>
        <w:t>the</w:t>
      </w:r>
      <w:r>
        <w:rPr>
          <w:spacing w:val="-2"/>
        </w:rPr>
        <w:t> </w:t>
      </w:r>
      <w:r>
        <w:rPr/>
        <w:t>potentials</w:t>
      </w:r>
      <w:r>
        <w:rPr>
          <w:spacing w:val="-1"/>
        </w:rPr>
        <w:t> </w:t>
      </w:r>
      <w:r>
        <w:rPr/>
        <w:t>of</w:t>
      </w:r>
      <w:r>
        <w:rPr>
          <w:spacing w:val="-2"/>
        </w:rPr>
        <w:t> </w:t>
      </w:r>
      <w:r>
        <w:rPr/>
        <w:t>elevating</w:t>
      </w:r>
      <w:r>
        <w:rPr>
          <w:spacing w:val="-2"/>
        </w:rPr>
        <w:t> </w:t>
      </w:r>
      <w:r>
        <w:rPr/>
        <w:t>blood</w:t>
      </w:r>
      <w:r>
        <w:rPr>
          <w:spacing w:val="-1"/>
        </w:rPr>
        <w:t> </w:t>
      </w:r>
      <w:r>
        <w:rPr/>
        <w:t>glucose</w:t>
      </w:r>
      <w:r>
        <w:rPr>
          <w:spacing w:val="-3"/>
        </w:rPr>
        <w:t> </w:t>
      </w:r>
      <w:r>
        <w:rPr/>
        <w:t>may</w:t>
      </w:r>
      <w:r>
        <w:rPr>
          <w:spacing w:val="-7"/>
        </w:rPr>
        <w:t> </w:t>
      </w:r>
      <w:r>
        <w:rPr/>
        <w:t>produce</w:t>
      </w:r>
      <w:r>
        <w:rPr>
          <w:spacing w:val="-1"/>
        </w:rPr>
        <w:t> </w:t>
      </w:r>
      <w:r>
        <w:rPr/>
        <w:t>apparent</w:t>
      </w:r>
      <w:r>
        <w:rPr>
          <w:spacing w:val="-1"/>
        </w:rPr>
        <w:t> </w:t>
      </w:r>
      <w:r>
        <w:rPr/>
        <w:t>inefficacy</w:t>
      </w:r>
      <w:r>
        <w:rPr>
          <w:spacing w:val="-7"/>
        </w:rPr>
        <w:t> </w:t>
      </w:r>
      <w:r>
        <w:rPr/>
        <w:t>of</w:t>
      </w:r>
      <w:r>
        <w:rPr>
          <w:spacing w:val="-1"/>
        </w:rPr>
        <w:t> </w:t>
      </w:r>
      <w:r>
        <w:rPr/>
        <w:t>an oral anti-diabetic drug (Karam, 1998). In some cases, for example, with high dose corticosteroids, the patient may need insulin to control their blood glucose until the</w:t>
      </w:r>
      <w:r>
        <w:rPr>
          <w:spacing w:val="80"/>
        </w:rPr>
        <w:t> </w:t>
      </w:r>
      <w:r>
        <w:rPr/>
        <w:t>steroids are withdrawn (Gillian, 2001). Similarly, nifedipine a calcium channel blocker (CCB) impairs glycaemic control by delaying insulin release from pancreatic β cells (Suresha </w:t>
      </w:r>
      <w:r>
        <w:rPr>
          <w:i/>
        </w:rPr>
        <w:t>et al</w:t>
      </w:r>
      <w:r>
        <w:rPr/>
        <w:t>., 2012). This occurs via a temporal blockade of the calcium channels required for insulin release.</w:t>
      </w:r>
    </w:p>
    <w:p>
      <w:pPr>
        <w:spacing w:after="0" w:line="480" w:lineRule="auto"/>
        <w:jc w:val="both"/>
        <w:sectPr>
          <w:pgSz w:w="12240" w:h="15840"/>
          <w:pgMar w:header="0" w:footer="1015" w:top="1360" w:bottom="1200" w:left="1720" w:right="300"/>
        </w:sectPr>
      </w:pPr>
    </w:p>
    <w:p>
      <w:pPr>
        <w:pStyle w:val="BodyText"/>
        <w:spacing w:line="480" w:lineRule="auto" w:before="112"/>
        <w:ind w:left="296" w:right="1135"/>
        <w:jc w:val="both"/>
      </w:pPr>
      <w:r>
        <w:rPr/>
        <w:t>Ca</w:t>
      </w:r>
      <w:r>
        <w:rPr>
          <w:vertAlign w:val="superscript"/>
        </w:rPr>
        <w:t>2+</w:t>
      </w:r>
      <w:r>
        <w:rPr>
          <w:spacing w:val="-1"/>
          <w:vertAlign w:val="baseline"/>
        </w:rPr>
        <w:t> </w:t>
      </w:r>
      <w:r>
        <w:rPr>
          <w:vertAlign w:val="baseline"/>
        </w:rPr>
        <w:t>plays a vital role in many biological processes throughout the body by entering into the cell via the L and T channels (Estacio </w:t>
      </w:r>
      <w:r>
        <w:rPr>
          <w:i/>
          <w:vertAlign w:val="baseline"/>
        </w:rPr>
        <w:t>et al</w:t>
      </w:r>
      <w:r>
        <w:rPr>
          <w:vertAlign w:val="baseline"/>
        </w:rPr>
        <w:t>., 2000; Timothy </w:t>
      </w:r>
      <w:r>
        <w:rPr>
          <w:i/>
          <w:vertAlign w:val="baseline"/>
        </w:rPr>
        <w:t>et al</w:t>
      </w:r>
      <w:r>
        <w:rPr>
          <w:vertAlign w:val="baseline"/>
        </w:rPr>
        <w:t>., 2002). One</w:t>
      </w:r>
      <w:r>
        <w:rPr>
          <w:spacing w:val="40"/>
          <w:vertAlign w:val="baseline"/>
        </w:rPr>
        <w:t> </w:t>
      </w:r>
      <w:r>
        <w:rPr>
          <w:vertAlign w:val="baseline"/>
        </w:rPr>
        <w:t>important activity</w:t>
      </w:r>
      <w:r>
        <w:rPr>
          <w:spacing w:val="-5"/>
          <w:vertAlign w:val="baseline"/>
        </w:rPr>
        <w:t> </w:t>
      </w:r>
      <w:r>
        <w:rPr>
          <w:vertAlign w:val="baseline"/>
        </w:rPr>
        <w:t>of Ca</w:t>
      </w:r>
      <w:r>
        <w:rPr>
          <w:vertAlign w:val="superscript"/>
        </w:rPr>
        <w:t>2+</w:t>
      </w:r>
      <w:r>
        <w:rPr>
          <w:vertAlign w:val="baseline"/>
        </w:rPr>
        <w:t> is</w:t>
      </w:r>
      <w:r>
        <w:rPr>
          <w:spacing w:val="-1"/>
          <w:vertAlign w:val="baseline"/>
        </w:rPr>
        <w:t> </w:t>
      </w:r>
      <w:r>
        <w:rPr>
          <w:vertAlign w:val="baseline"/>
        </w:rPr>
        <w:t>in insulin release (via the L-type calcium channels) from the β cells of the pancreas (Tasneem, 2010). By acting on the L-type calcium channels, nifedipine impairs both endogenous and sulfonylurea mediated insulin release. A number of drugs have also been reported to elevate blood glucose levels e.g. clozapine which impairs insulin secretion, nicotinic acid and diuretics which oppose insulin action among others (Gillian, 2001).</w:t>
      </w:r>
    </w:p>
    <w:p>
      <w:pPr>
        <w:spacing w:after="0" w:line="480" w:lineRule="auto"/>
        <w:jc w:val="both"/>
        <w:sectPr>
          <w:pgSz w:w="12240" w:h="15840"/>
          <w:pgMar w:header="0" w:footer="1015" w:top="1320" w:bottom="1200" w:left="1720" w:right="300"/>
        </w:sectPr>
      </w:pPr>
    </w:p>
    <w:p>
      <w:pPr>
        <w:pStyle w:val="Heading1"/>
        <w:ind w:left="961"/>
      </w:pPr>
      <w:bookmarkStart w:name="_TOC_250038" w:id="43"/>
      <w:r>
        <w:rPr/>
        <w:t>CHAPTER</w:t>
      </w:r>
      <w:r>
        <w:rPr>
          <w:spacing w:val="-4"/>
        </w:rPr>
        <w:t> </w:t>
      </w:r>
      <w:bookmarkEnd w:id="43"/>
      <w:r>
        <w:rPr>
          <w:spacing w:val="-2"/>
        </w:rPr>
        <w:t>THREE</w:t>
      </w:r>
    </w:p>
    <w:p>
      <w:pPr>
        <w:pStyle w:val="BodyText"/>
        <w:spacing w:before="1"/>
        <w:rPr>
          <w:b/>
        </w:rPr>
      </w:pPr>
    </w:p>
    <w:p>
      <w:pPr>
        <w:pStyle w:val="Heading2"/>
        <w:numPr>
          <w:ilvl w:val="1"/>
          <w:numId w:val="15"/>
        </w:numPr>
        <w:tabs>
          <w:tab w:pos="3868" w:val="left" w:leader="none"/>
        </w:tabs>
        <w:spacing w:line="240" w:lineRule="auto" w:before="0" w:after="0"/>
        <w:ind w:left="3868" w:right="0" w:hanging="720"/>
        <w:jc w:val="left"/>
      </w:pPr>
      <w:bookmarkStart w:name="_TOC_250037" w:id="44"/>
      <w:r>
        <w:rPr/>
        <w:t>Materials</w:t>
      </w:r>
      <w:r>
        <w:rPr>
          <w:spacing w:val="-2"/>
        </w:rPr>
        <w:t> </w:t>
      </w:r>
      <w:r>
        <w:rPr/>
        <w:t>and </w:t>
      </w:r>
      <w:bookmarkEnd w:id="44"/>
      <w:r>
        <w:rPr>
          <w:spacing w:val="-2"/>
        </w:rPr>
        <w:t>methods</w:t>
      </w:r>
    </w:p>
    <w:p>
      <w:pPr>
        <w:pStyle w:val="BodyText"/>
        <w:rPr>
          <w:b/>
        </w:rPr>
      </w:pPr>
    </w:p>
    <w:p>
      <w:pPr>
        <w:pStyle w:val="Heading2"/>
        <w:numPr>
          <w:ilvl w:val="1"/>
          <w:numId w:val="15"/>
        </w:numPr>
        <w:tabs>
          <w:tab w:pos="4554" w:val="left" w:leader="none"/>
        </w:tabs>
        <w:spacing w:line="240" w:lineRule="auto" w:before="0" w:after="0"/>
        <w:ind w:left="4554" w:right="0" w:hanging="720"/>
        <w:jc w:val="left"/>
      </w:pPr>
      <w:bookmarkStart w:name="_TOC_250036" w:id="45"/>
      <w:bookmarkEnd w:id="45"/>
      <w:r>
        <w:rPr>
          <w:spacing w:val="-2"/>
        </w:rPr>
        <w:t>Materials</w:t>
      </w:r>
    </w:p>
    <w:p>
      <w:pPr>
        <w:pStyle w:val="BodyText"/>
        <w:rPr>
          <w:b/>
        </w:rPr>
      </w:pPr>
    </w:p>
    <w:p>
      <w:pPr>
        <w:pStyle w:val="Heading2"/>
        <w:numPr>
          <w:ilvl w:val="2"/>
          <w:numId w:val="15"/>
        </w:numPr>
        <w:tabs>
          <w:tab w:pos="1016" w:val="left" w:leader="none"/>
        </w:tabs>
        <w:spacing w:line="240" w:lineRule="auto" w:before="0" w:after="0"/>
        <w:ind w:left="1016" w:right="0" w:hanging="720"/>
        <w:jc w:val="both"/>
      </w:pPr>
      <w:bookmarkStart w:name="_TOC_250035" w:id="46"/>
      <w:bookmarkEnd w:id="46"/>
      <w:r>
        <w:rPr>
          <w:spacing w:val="-2"/>
        </w:rPr>
        <w:t>Animals</w:t>
      </w:r>
    </w:p>
    <w:p>
      <w:pPr>
        <w:pStyle w:val="BodyText"/>
        <w:spacing w:line="480" w:lineRule="auto" w:before="271"/>
        <w:ind w:left="296" w:right="1136"/>
        <w:jc w:val="both"/>
      </w:pPr>
      <w:r>
        <w:rPr/>
        <w:t>Forty male albino Wistar rats weighing between 130-150 g were used for the study. The rats were obtained from the Department of Biochemistry, Faculty of Natural Sciences in Salem University, Lokoja and housed in the Animal House Facility of the Department of Pharmacology and Therapeutics, Faculty of Pharmaceutical Sciences, Ahmadu Bello University, Zaria. The animals were maintained on a natural light/dark cycle, and housed</w:t>
      </w:r>
      <w:r>
        <w:rPr>
          <w:spacing w:val="40"/>
        </w:rPr>
        <w:t> </w:t>
      </w:r>
      <w:r>
        <w:rPr/>
        <w:t>in cages at room temperature with access to food and water </w:t>
      </w:r>
      <w:r>
        <w:rPr>
          <w:i/>
        </w:rPr>
        <w:t>ad libitum</w:t>
      </w:r>
      <w:r>
        <w:rPr/>
        <w:t>, except when experimental protocol required otherwise. The study was conducted according to ethical guidelines on laboratory animal use and care policy, which is in compliance with Ahmadu Bello University Research Policy.</w:t>
      </w:r>
    </w:p>
    <w:p>
      <w:pPr>
        <w:pStyle w:val="BodyText"/>
      </w:pPr>
    </w:p>
    <w:p>
      <w:pPr>
        <w:pStyle w:val="BodyText"/>
        <w:spacing w:before="6"/>
      </w:pPr>
    </w:p>
    <w:p>
      <w:pPr>
        <w:pStyle w:val="Heading2"/>
        <w:numPr>
          <w:ilvl w:val="2"/>
          <w:numId w:val="15"/>
        </w:numPr>
        <w:tabs>
          <w:tab w:pos="1016" w:val="left" w:leader="none"/>
        </w:tabs>
        <w:spacing w:line="240" w:lineRule="auto" w:before="0" w:after="0"/>
        <w:ind w:left="1016" w:right="0" w:hanging="720"/>
        <w:jc w:val="both"/>
      </w:pPr>
      <w:bookmarkStart w:name="_TOC_250034" w:id="47"/>
      <w:r>
        <w:rPr/>
        <w:t>Chemicals</w:t>
      </w:r>
      <w:r>
        <w:rPr>
          <w:spacing w:val="-4"/>
        </w:rPr>
        <w:t> </w:t>
      </w:r>
      <w:r>
        <w:rPr/>
        <w:t>and</w:t>
      </w:r>
      <w:r>
        <w:rPr>
          <w:spacing w:val="-1"/>
        </w:rPr>
        <w:t> </w:t>
      </w:r>
      <w:bookmarkEnd w:id="47"/>
      <w:r>
        <w:rPr>
          <w:spacing w:val="-4"/>
        </w:rPr>
        <w:t>Drugs</w:t>
      </w:r>
    </w:p>
    <w:p>
      <w:pPr>
        <w:pStyle w:val="BodyText"/>
        <w:spacing w:line="480" w:lineRule="auto" w:before="272"/>
        <w:ind w:left="296" w:right="1136"/>
        <w:jc w:val="both"/>
      </w:pPr>
      <w:r>
        <w:rPr/>
        <w:t>Glimepiride (Sonafi Aventis D-65926 Germany), streptozotocin (Sigma-Aldrich MO.63103 USA), nifedipine (Lek Pharmaceuticals, Slovenia), 10% dextrose in water (Juhel Nig Ltd, Enugu), chloroform, 10% formalin, 4% formaldehyde solution, ethanol, polyethylene glycol (Sigma chemical, Germany).</w:t>
      </w:r>
    </w:p>
    <w:p>
      <w:pPr>
        <w:pStyle w:val="BodyText"/>
      </w:pPr>
    </w:p>
    <w:p>
      <w:pPr>
        <w:pStyle w:val="BodyText"/>
        <w:spacing w:before="5"/>
      </w:pPr>
    </w:p>
    <w:p>
      <w:pPr>
        <w:pStyle w:val="Heading2"/>
        <w:numPr>
          <w:ilvl w:val="2"/>
          <w:numId w:val="15"/>
        </w:numPr>
        <w:tabs>
          <w:tab w:pos="1016" w:val="left" w:leader="none"/>
        </w:tabs>
        <w:spacing w:line="240" w:lineRule="auto" w:before="0" w:after="0"/>
        <w:ind w:left="1016" w:right="0" w:hanging="720"/>
        <w:jc w:val="left"/>
      </w:pPr>
      <w:bookmarkStart w:name="_TOC_250033" w:id="48"/>
      <w:r>
        <w:rPr/>
        <w:t>Equipment</w:t>
      </w:r>
      <w:r>
        <w:rPr>
          <w:spacing w:val="-3"/>
        </w:rPr>
        <w:t> </w:t>
      </w:r>
      <w:r>
        <w:rPr/>
        <w:t>and</w:t>
      </w:r>
      <w:r>
        <w:rPr>
          <w:spacing w:val="-2"/>
        </w:rPr>
        <w:t> </w:t>
      </w:r>
      <w:r>
        <w:rPr/>
        <w:t>Other</w:t>
      </w:r>
      <w:bookmarkEnd w:id="48"/>
      <w:r>
        <w:rPr>
          <w:spacing w:val="-2"/>
        </w:rPr>
        <w:t> Materials</w:t>
      </w:r>
    </w:p>
    <w:p>
      <w:pPr>
        <w:pStyle w:val="BodyText"/>
        <w:spacing w:line="480" w:lineRule="auto" w:before="272"/>
        <w:ind w:left="296" w:right="1135"/>
        <w:jc w:val="both"/>
      </w:pPr>
      <w:r>
        <w:rPr/>
        <w:t>Glucometer (Accu-chek Active, Roche Diagnostics, Germany), glucose test strips (Accu- chekActive,</w:t>
      </w:r>
      <w:r>
        <w:rPr>
          <w:spacing w:val="31"/>
        </w:rPr>
        <w:t> </w:t>
      </w:r>
      <w:r>
        <w:rPr/>
        <w:t>Roche</w:t>
      </w:r>
      <w:r>
        <w:rPr>
          <w:spacing w:val="33"/>
        </w:rPr>
        <w:t> </w:t>
      </w:r>
      <w:r>
        <w:rPr/>
        <w:t>Diagnostics,</w:t>
      </w:r>
      <w:r>
        <w:rPr>
          <w:spacing w:val="31"/>
        </w:rPr>
        <w:t> </w:t>
      </w:r>
      <w:r>
        <w:rPr/>
        <w:t>Germany),</w:t>
      </w:r>
      <w:r>
        <w:rPr>
          <w:spacing w:val="38"/>
        </w:rPr>
        <w:t> </w:t>
      </w:r>
      <w:r>
        <w:rPr/>
        <w:t>cotton</w:t>
      </w:r>
      <w:r>
        <w:rPr>
          <w:spacing w:val="31"/>
        </w:rPr>
        <w:t> </w:t>
      </w:r>
      <w:r>
        <w:rPr/>
        <w:t>wool,</w:t>
      </w:r>
      <w:r>
        <w:rPr>
          <w:spacing w:val="32"/>
        </w:rPr>
        <w:t> </w:t>
      </w:r>
      <w:r>
        <w:rPr/>
        <w:t>weighing</w:t>
      </w:r>
      <w:r>
        <w:rPr>
          <w:spacing w:val="31"/>
        </w:rPr>
        <w:t> </w:t>
      </w:r>
      <w:r>
        <w:rPr/>
        <w:t>balance</w:t>
      </w:r>
      <w:r>
        <w:rPr>
          <w:spacing w:val="33"/>
        </w:rPr>
        <w:t> </w:t>
      </w:r>
      <w:r>
        <w:rPr/>
        <w:t>(AE240</w:t>
      </w:r>
      <w:r>
        <w:rPr>
          <w:spacing w:val="32"/>
        </w:rPr>
        <w:t> </w:t>
      </w:r>
      <w:r>
        <w:rPr>
          <w:spacing w:val="-4"/>
        </w:rPr>
        <w:t>dual</w:t>
      </w:r>
    </w:p>
    <w:p>
      <w:pPr>
        <w:spacing w:after="0" w:line="480" w:lineRule="auto"/>
        <w:jc w:val="both"/>
        <w:sectPr>
          <w:pgSz w:w="12240" w:h="15840"/>
          <w:pgMar w:header="0" w:footer="1015" w:top="1360" w:bottom="1200" w:left="1720" w:right="300"/>
        </w:sectPr>
      </w:pPr>
    </w:p>
    <w:p>
      <w:pPr>
        <w:pStyle w:val="BodyText"/>
        <w:spacing w:line="480" w:lineRule="auto" w:before="72"/>
        <w:ind w:left="296" w:right="1142"/>
        <w:jc w:val="both"/>
      </w:pPr>
      <w:r>
        <w:rPr/>
        <w:t>range, Mettler instrument corporation, USA), dissecting kits, heparinised</w:t>
      </w:r>
      <w:r>
        <w:rPr>
          <w:spacing w:val="40"/>
        </w:rPr>
        <w:t> </w:t>
      </w:r>
      <w:r>
        <w:rPr/>
        <w:t>bottles, timer, thermometer (Mediklin, China ), </w:t>
      </w:r>
      <w:r>
        <w:rPr>
          <w:color w:val="333333"/>
        </w:rPr>
        <w:t>92471 </w:t>
      </w:r>
      <w:r>
        <w:rPr/>
        <w:t>Ugo Basile Analgesy Meter; Italy, Cannula, </w:t>
      </w:r>
      <w:r>
        <w:rPr>
          <w:spacing w:val="-2"/>
        </w:rPr>
        <w:t>syringes.</w:t>
      </w:r>
    </w:p>
    <w:p>
      <w:pPr>
        <w:pStyle w:val="BodyText"/>
      </w:pPr>
    </w:p>
    <w:p>
      <w:pPr>
        <w:pStyle w:val="BodyText"/>
        <w:spacing w:before="5"/>
      </w:pPr>
    </w:p>
    <w:p>
      <w:pPr>
        <w:pStyle w:val="Heading2"/>
        <w:numPr>
          <w:ilvl w:val="1"/>
          <w:numId w:val="15"/>
        </w:numPr>
        <w:tabs>
          <w:tab w:pos="4602" w:val="left" w:leader="none"/>
        </w:tabs>
        <w:spacing w:line="240" w:lineRule="auto" w:before="0" w:after="0"/>
        <w:ind w:left="4602" w:right="0" w:hanging="720"/>
        <w:jc w:val="left"/>
      </w:pPr>
      <w:bookmarkStart w:name="_TOC_250032" w:id="49"/>
      <w:bookmarkEnd w:id="49"/>
      <w:r>
        <w:rPr>
          <w:spacing w:val="-2"/>
        </w:rPr>
        <w:t>Methods</w:t>
      </w:r>
    </w:p>
    <w:p>
      <w:pPr>
        <w:pStyle w:val="BodyText"/>
        <w:rPr>
          <w:b/>
        </w:rPr>
      </w:pPr>
    </w:p>
    <w:p>
      <w:pPr>
        <w:pStyle w:val="Heading2"/>
        <w:numPr>
          <w:ilvl w:val="2"/>
          <w:numId w:val="15"/>
        </w:numPr>
        <w:tabs>
          <w:tab w:pos="1016" w:val="left" w:leader="none"/>
        </w:tabs>
        <w:spacing w:line="240" w:lineRule="auto" w:before="0" w:after="0"/>
        <w:ind w:left="1016" w:right="0" w:hanging="720"/>
        <w:jc w:val="both"/>
      </w:pPr>
      <w:bookmarkStart w:name="_TOC_250031" w:id="50"/>
      <w:r>
        <w:rPr/>
        <w:t>Induction</w:t>
      </w:r>
      <w:r>
        <w:rPr>
          <w:spacing w:val="-1"/>
        </w:rPr>
        <w:t> </w:t>
      </w:r>
      <w:r>
        <w:rPr/>
        <w:t>of </w:t>
      </w:r>
      <w:bookmarkEnd w:id="50"/>
      <w:r>
        <w:rPr>
          <w:spacing w:val="-2"/>
        </w:rPr>
        <w:t>diabetes</w:t>
      </w:r>
    </w:p>
    <w:p>
      <w:pPr>
        <w:pStyle w:val="BodyText"/>
        <w:spacing w:line="480" w:lineRule="auto" w:before="271"/>
        <w:ind w:left="296" w:right="1135"/>
        <w:jc w:val="both"/>
      </w:pPr>
      <w:r>
        <w:rPr/>
        <w:t>Hyperglycaemia was induced as described by Seki </w:t>
      </w:r>
      <w:r>
        <w:rPr>
          <w:i/>
        </w:rPr>
        <w:t>et al</w:t>
      </w:r>
      <w:r>
        <w:rPr/>
        <w:t>., (2004) with a single 60 mg/kg intraperitoneal injection of streptozotocin following 12 hours of fasting. The rats were fed with 10% dextrose in water for 24 hours following the induction of hyperglycaemia to prevent hypoglycaemia that may result from acute massive pancreatic release of insulin (Hussain </w:t>
      </w:r>
      <w:r>
        <w:rPr>
          <w:i/>
        </w:rPr>
        <w:t>et al</w:t>
      </w:r>
      <w:r>
        <w:rPr/>
        <w:t>., 2001). Seven days after streptozotocin administration, the rats were examined for hyperglycaemia using a glucometer and test strips. Rats with FBG greater than or equal to 200 mg/dl were considered hyperglycaemic and selected for the main</w:t>
      </w:r>
      <w:r>
        <w:rPr>
          <w:spacing w:val="40"/>
        </w:rPr>
        <w:t> </w:t>
      </w:r>
      <w:r>
        <w:rPr/>
        <w:t>study due to ability to develop complications.</w:t>
      </w:r>
    </w:p>
    <w:p>
      <w:pPr>
        <w:pStyle w:val="BodyText"/>
      </w:pPr>
    </w:p>
    <w:p>
      <w:pPr>
        <w:pStyle w:val="BodyText"/>
        <w:spacing w:before="6"/>
      </w:pPr>
    </w:p>
    <w:p>
      <w:pPr>
        <w:pStyle w:val="ListParagraph"/>
        <w:numPr>
          <w:ilvl w:val="2"/>
          <w:numId w:val="15"/>
        </w:numPr>
        <w:tabs>
          <w:tab w:pos="836" w:val="left" w:leader="none"/>
        </w:tabs>
        <w:spacing w:line="240" w:lineRule="auto" w:before="1" w:after="0"/>
        <w:ind w:left="836" w:right="0" w:hanging="540"/>
        <w:jc w:val="both"/>
        <w:rPr>
          <w:b/>
          <w:sz w:val="24"/>
        </w:rPr>
      </w:pPr>
      <w:r>
        <w:rPr>
          <w:b/>
          <w:sz w:val="24"/>
        </w:rPr>
        <w:t>Experimental</w:t>
      </w:r>
      <w:r>
        <w:rPr>
          <w:b/>
          <w:spacing w:val="-4"/>
          <w:sz w:val="24"/>
        </w:rPr>
        <w:t> </w:t>
      </w:r>
      <w:r>
        <w:rPr>
          <w:b/>
          <w:spacing w:val="-2"/>
          <w:sz w:val="24"/>
        </w:rPr>
        <w:t>design</w:t>
      </w:r>
    </w:p>
    <w:p>
      <w:pPr>
        <w:pStyle w:val="BodyText"/>
        <w:spacing w:line="480" w:lineRule="auto" w:before="271"/>
        <w:ind w:left="296" w:right="1137"/>
        <w:jc w:val="both"/>
      </w:pPr>
      <w:r>
        <w:rPr/>
        <w:t>Five groups of eight animals each were used for the study. Group one served as the non- diabetic control and was made up of non diabetic rats. Rats in this group were treated with 1 ml/kg Polyethylene Glycol (PEG) and water in a ratio of 1:5 respectively. Group two served as the diabetic control group, made up of diabetic rats and the rats in this group</w:t>
      </w:r>
      <w:r>
        <w:rPr>
          <w:spacing w:val="40"/>
        </w:rPr>
        <w:t> </w:t>
      </w:r>
      <w:r>
        <w:rPr/>
        <w:t>were also treated with 1 ml/kg Polyethylene Glycol (PEG) and water in a ratio of 1:5 respectively. Groups three, four and five were all hyperglycaemic and were treated with glimepiride</w:t>
      </w:r>
      <w:r>
        <w:rPr>
          <w:spacing w:val="29"/>
        </w:rPr>
        <w:t> </w:t>
      </w:r>
      <w:r>
        <w:rPr/>
        <w:t>at</w:t>
      </w:r>
      <w:r>
        <w:rPr>
          <w:spacing w:val="28"/>
        </w:rPr>
        <w:t> </w:t>
      </w:r>
      <w:r>
        <w:rPr/>
        <w:t>the</w:t>
      </w:r>
      <w:r>
        <w:rPr>
          <w:spacing w:val="27"/>
        </w:rPr>
        <w:t> </w:t>
      </w:r>
      <w:r>
        <w:rPr/>
        <w:t>dose</w:t>
      </w:r>
      <w:r>
        <w:rPr>
          <w:spacing w:val="29"/>
        </w:rPr>
        <w:t> </w:t>
      </w:r>
      <w:r>
        <w:rPr/>
        <w:t>of</w:t>
      </w:r>
      <w:r>
        <w:rPr>
          <w:spacing w:val="26"/>
        </w:rPr>
        <w:t> </w:t>
      </w:r>
      <w:r>
        <w:rPr/>
        <w:t>10</w:t>
      </w:r>
      <w:r>
        <w:rPr>
          <w:spacing w:val="28"/>
        </w:rPr>
        <w:t> </w:t>
      </w:r>
      <w:r>
        <w:rPr/>
        <w:t>mg/kg</w:t>
      </w:r>
      <w:r>
        <w:rPr>
          <w:spacing w:val="27"/>
        </w:rPr>
        <w:t> </w:t>
      </w:r>
      <w:r>
        <w:rPr/>
        <w:t>at</w:t>
      </w:r>
      <w:r>
        <w:rPr>
          <w:spacing w:val="28"/>
        </w:rPr>
        <w:t> </w:t>
      </w:r>
      <w:r>
        <w:rPr/>
        <w:t>8</w:t>
      </w:r>
      <w:r>
        <w:rPr>
          <w:spacing w:val="27"/>
        </w:rPr>
        <w:t> </w:t>
      </w:r>
      <w:r>
        <w:rPr/>
        <w:t>pm.</w:t>
      </w:r>
      <w:r>
        <w:rPr>
          <w:spacing w:val="30"/>
        </w:rPr>
        <w:t> </w:t>
      </w:r>
      <w:r>
        <w:rPr/>
        <w:t>In</w:t>
      </w:r>
      <w:r>
        <w:rPr>
          <w:spacing w:val="30"/>
        </w:rPr>
        <w:t> </w:t>
      </w:r>
      <w:r>
        <w:rPr/>
        <w:t>addition,</w:t>
      </w:r>
      <w:r>
        <w:rPr>
          <w:spacing w:val="28"/>
        </w:rPr>
        <w:t> </w:t>
      </w:r>
      <w:r>
        <w:rPr/>
        <w:t>groups</w:t>
      </w:r>
      <w:r>
        <w:rPr>
          <w:spacing w:val="29"/>
        </w:rPr>
        <w:t> </w:t>
      </w:r>
      <w:r>
        <w:rPr/>
        <w:t>four</w:t>
      </w:r>
      <w:r>
        <w:rPr>
          <w:spacing w:val="28"/>
        </w:rPr>
        <w:t> </w:t>
      </w:r>
      <w:r>
        <w:rPr/>
        <w:t>and</w:t>
      </w:r>
      <w:r>
        <w:rPr>
          <w:spacing w:val="27"/>
        </w:rPr>
        <w:t> </w:t>
      </w:r>
      <w:r>
        <w:rPr/>
        <w:t>five</w:t>
      </w:r>
      <w:r>
        <w:rPr>
          <w:spacing w:val="27"/>
        </w:rPr>
        <w:t> </w:t>
      </w:r>
      <w:r>
        <w:rPr>
          <w:spacing w:val="-2"/>
        </w:rPr>
        <w:t>received</w:t>
      </w:r>
    </w:p>
    <w:p>
      <w:pPr>
        <w:spacing w:after="0" w:line="480" w:lineRule="auto"/>
        <w:jc w:val="both"/>
        <w:sectPr>
          <w:pgSz w:w="12240" w:h="15840"/>
          <w:pgMar w:header="0" w:footer="1015" w:top="1360" w:bottom="1200" w:left="1720" w:right="300"/>
        </w:sectPr>
      </w:pPr>
    </w:p>
    <w:p>
      <w:pPr>
        <w:pStyle w:val="BodyText"/>
        <w:spacing w:line="480" w:lineRule="auto" w:before="72"/>
        <w:ind w:left="296" w:right="1138"/>
        <w:jc w:val="both"/>
      </w:pPr>
      <w:r>
        <w:rPr/>
        <w:t>nifedipine at a dose of 20 mg/kg at 8 pm and at 8 am respectively. All treatments were</w:t>
      </w:r>
      <w:r>
        <w:rPr>
          <w:spacing w:val="40"/>
        </w:rPr>
        <w:t> </w:t>
      </w:r>
      <w:r>
        <w:rPr/>
        <w:t>done orally for 21 continuous days.</w:t>
      </w:r>
    </w:p>
    <w:p>
      <w:pPr>
        <w:pStyle w:val="BodyText"/>
      </w:pPr>
    </w:p>
    <w:p>
      <w:pPr>
        <w:pStyle w:val="BodyText"/>
        <w:spacing w:before="2"/>
      </w:pPr>
    </w:p>
    <w:p>
      <w:pPr>
        <w:pStyle w:val="BodyText"/>
        <w:tabs>
          <w:tab w:pos="1736" w:val="left" w:leader="none"/>
        </w:tabs>
        <w:spacing w:before="1"/>
        <w:ind w:left="296"/>
      </w:pPr>
      <w:r>
        <w:rPr>
          <w:b/>
        </w:rPr>
        <w:t>Group</w:t>
      </w:r>
      <w:r>
        <w:rPr>
          <w:b/>
          <w:spacing w:val="-2"/>
        </w:rPr>
        <w:t> </w:t>
      </w:r>
      <w:r>
        <w:rPr>
          <w:b/>
          <w:spacing w:val="-5"/>
        </w:rPr>
        <w:t>1</w:t>
      </w:r>
      <w:r>
        <w:rPr>
          <w:spacing w:val="-5"/>
        </w:rPr>
        <w:t>:</w:t>
      </w:r>
      <w:r>
        <w:rPr/>
        <w:tab/>
        <w:t>Non-diabetic</w:t>
      </w:r>
      <w:r>
        <w:rPr>
          <w:spacing w:val="-2"/>
        </w:rPr>
        <w:t> </w:t>
      </w:r>
      <w:r>
        <w:rPr/>
        <w:t>control group;</w:t>
      </w:r>
      <w:r>
        <w:rPr>
          <w:spacing w:val="-1"/>
        </w:rPr>
        <w:t> </w:t>
      </w:r>
      <w:r>
        <w:rPr/>
        <w:t>treated with</w:t>
      </w:r>
      <w:r>
        <w:rPr>
          <w:spacing w:val="-1"/>
        </w:rPr>
        <w:t> </w:t>
      </w:r>
      <w:r>
        <w:rPr/>
        <w:t>PEG and</w:t>
      </w:r>
      <w:r>
        <w:rPr>
          <w:spacing w:val="1"/>
        </w:rPr>
        <w:t> </w:t>
      </w:r>
      <w:r>
        <w:rPr/>
        <w:t>H</w:t>
      </w:r>
      <w:r>
        <w:rPr>
          <w:vertAlign w:val="subscript"/>
        </w:rPr>
        <w:t>2</w:t>
      </w:r>
      <w:r>
        <w:rPr>
          <w:vertAlign w:val="baseline"/>
        </w:rPr>
        <w:t>O 1</w:t>
      </w:r>
      <w:r>
        <w:rPr>
          <w:spacing w:val="-1"/>
          <w:vertAlign w:val="baseline"/>
        </w:rPr>
        <w:t> </w:t>
      </w:r>
      <w:r>
        <w:rPr>
          <w:spacing w:val="-2"/>
          <w:vertAlign w:val="baseline"/>
        </w:rPr>
        <w:t>ml/kg</w:t>
      </w:r>
    </w:p>
    <w:p>
      <w:pPr>
        <w:pStyle w:val="BodyText"/>
        <w:spacing w:before="199"/>
      </w:pPr>
    </w:p>
    <w:p>
      <w:pPr>
        <w:pStyle w:val="BodyText"/>
        <w:tabs>
          <w:tab w:pos="1736" w:val="left" w:leader="none"/>
        </w:tabs>
        <w:ind w:left="296"/>
      </w:pPr>
      <w:r>
        <w:rPr>
          <w:b/>
        </w:rPr>
        <w:t>Group</w:t>
      </w:r>
      <w:r>
        <w:rPr>
          <w:b/>
          <w:spacing w:val="-3"/>
        </w:rPr>
        <w:t> </w:t>
      </w:r>
      <w:r>
        <w:rPr>
          <w:b/>
          <w:spacing w:val="-5"/>
        </w:rPr>
        <w:t>2</w:t>
      </w:r>
      <w:r>
        <w:rPr>
          <w:spacing w:val="-5"/>
        </w:rPr>
        <w:t>:</w:t>
      </w:r>
      <w:r>
        <w:rPr/>
        <w:tab/>
        <w:t>Diabetic</w:t>
      </w:r>
      <w:r>
        <w:rPr>
          <w:spacing w:val="-2"/>
        </w:rPr>
        <w:t> </w:t>
      </w:r>
      <w:r>
        <w:rPr/>
        <w:t>control</w:t>
      </w:r>
      <w:r>
        <w:rPr>
          <w:spacing w:val="1"/>
        </w:rPr>
        <w:t> </w:t>
      </w:r>
      <w:r>
        <w:rPr/>
        <w:t>group;</w:t>
      </w:r>
      <w:r>
        <w:rPr>
          <w:spacing w:val="-1"/>
        </w:rPr>
        <w:t> </w:t>
      </w:r>
      <w:r>
        <w:rPr/>
        <w:t>treated with</w:t>
      </w:r>
      <w:r>
        <w:rPr>
          <w:spacing w:val="-1"/>
        </w:rPr>
        <w:t> </w:t>
      </w:r>
      <w:r>
        <w:rPr/>
        <w:t>PEG</w:t>
      </w:r>
      <w:r>
        <w:rPr>
          <w:spacing w:val="-1"/>
        </w:rPr>
        <w:t> </w:t>
      </w:r>
      <w:r>
        <w:rPr/>
        <w:t>and H</w:t>
      </w:r>
      <w:r>
        <w:rPr>
          <w:vertAlign w:val="subscript"/>
        </w:rPr>
        <w:t>2</w:t>
      </w:r>
      <w:r>
        <w:rPr>
          <w:vertAlign w:val="baseline"/>
        </w:rPr>
        <w:t>O 1</w:t>
      </w:r>
      <w:r>
        <w:rPr>
          <w:spacing w:val="-1"/>
          <w:vertAlign w:val="baseline"/>
        </w:rPr>
        <w:t> </w:t>
      </w:r>
      <w:r>
        <w:rPr>
          <w:spacing w:val="-2"/>
          <w:vertAlign w:val="baseline"/>
        </w:rPr>
        <w:t>ml/kg</w:t>
      </w:r>
    </w:p>
    <w:p>
      <w:pPr>
        <w:pStyle w:val="BodyText"/>
        <w:spacing w:before="201"/>
      </w:pPr>
    </w:p>
    <w:p>
      <w:pPr>
        <w:pStyle w:val="BodyText"/>
        <w:tabs>
          <w:tab w:pos="1736" w:val="left" w:leader="none"/>
        </w:tabs>
        <w:ind w:left="296"/>
      </w:pPr>
      <w:r>
        <w:rPr>
          <w:b/>
        </w:rPr>
        <w:t>Group</w:t>
      </w:r>
      <w:r>
        <w:rPr>
          <w:b/>
          <w:spacing w:val="-3"/>
        </w:rPr>
        <w:t> </w:t>
      </w:r>
      <w:r>
        <w:rPr>
          <w:b/>
          <w:spacing w:val="-5"/>
        </w:rPr>
        <w:t>3</w:t>
      </w:r>
      <w:r>
        <w:rPr>
          <w:spacing w:val="-5"/>
        </w:rPr>
        <w:t>:</w:t>
      </w:r>
      <w:r>
        <w:rPr/>
        <w:tab/>
        <w:t>Diabetic</w:t>
      </w:r>
      <w:r>
        <w:rPr>
          <w:spacing w:val="-3"/>
        </w:rPr>
        <w:t> </w:t>
      </w:r>
      <w:r>
        <w:rPr/>
        <w:t>standard</w:t>
      </w:r>
      <w:r>
        <w:rPr>
          <w:spacing w:val="2"/>
        </w:rPr>
        <w:t> </w:t>
      </w:r>
      <w:r>
        <w:rPr/>
        <w:t>group;</w:t>
      </w:r>
      <w:r>
        <w:rPr>
          <w:spacing w:val="-1"/>
        </w:rPr>
        <w:t> </w:t>
      </w:r>
      <w:r>
        <w:rPr/>
        <w:t>treated</w:t>
      </w:r>
      <w:r>
        <w:rPr>
          <w:spacing w:val="-1"/>
        </w:rPr>
        <w:t> </w:t>
      </w:r>
      <w:r>
        <w:rPr/>
        <w:t>with glimepiride 10</w:t>
      </w:r>
      <w:r>
        <w:rPr>
          <w:spacing w:val="-1"/>
        </w:rPr>
        <w:t> </w:t>
      </w:r>
      <w:r>
        <w:rPr/>
        <w:t>mg/kg</w:t>
      </w:r>
      <w:r>
        <w:rPr>
          <w:spacing w:val="-5"/>
        </w:rPr>
        <w:t> </w:t>
      </w:r>
      <w:r>
        <w:rPr/>
        <w:t>at</w:t>
      </w:r>
      <w:r>
        <w:rPr>
          <w:spacing w:val="-1"/>
        </w:rPr>
        <w:t> </w:t>
      </w:r>
      <w:r>
        <w:rPr/>
        <w:t>8</w:t>
      </w:r>
      <w:r>
        <w:rPr>
          <w:spacing w:val="-1"/>
        </w:rPr>
        <w:t> </w:t>
      </w:r>
      <w:r>
        <w:rPr>
          <w:spacing w:val="-5"/>
        </w:rPr>
        <w:t>pm</w:t>
      </w:r>
    </w:p>
    <w:p>
      <w:pPr>
        <w:pStyle w:val="BodyText"/>
        <w:spacing w:before="198"/>
      </w:pPr>
    </w:p>
    <w:p>
      <w:pPr>
        <w:pStyle w:val="BodyText"/>
        <w:tabs>
          <w:tab w:pos="1736" w:val="left" w:leader="none"/>
        </w:tabs>
        <w:spacing w:line="482" w:lineRule="auto"/>
        <w:ind w:left="1736" w:right="1141" w:hanging="1440"/>
      </w:pPr>
      <w:r>
        <w:rPr>
          <w:b/>
        </w:rPr>
        <w:t>Group 4</w:t>
      </w:r>
      <w:r>
        <w:rPr/>
        <w:t>:</w:t>
        <w:tab/>
        <w:t>Diabetic experimental group; treated with glimepiride 10 mg/kg at 8 pm + nifedipine 20 mg/kg at 8 pm</w:t>
      </w:r>
    </w:p>
    <w:p>
      <w:pPr>
        <w:pStyle w:val="BodyText"/>
        <w:tabs>
          <w:tab w:pos="1736" w:val="left" w:leader="none"/>
        </w:tabs>
        <w:spacing w:line="482" w:lineRule="auto" w:before="194"/>
        <w:ind w:left="1736" w:right="1141" w:hanging="1440"/>
      </w:pPr>
      <w:r>
        <w:rPr>
          <w:b/>
        </w:rPr>
        <w:t>Group 5</w:t>
      </w:r>
      <w:r>
        <w:rPr/>
        <w:t>:</w:t>
        <w:tab/>
        <w:t>Diabetic experimental group; treated with glimepiride 10 mg/kg at 8 pm + nifedipine 20mg/kg at 8 am</w:t>
      </w:r>
    </w:p>
    <w:p>
      <w:pPr>
        <w:pStyle w:val="BodyText"/>
      </w:pPr>
    </w:p>
    <w:p>
      <w:pPr>
        <w:pStyle w:val="BodyText"/>
        <w:spacing w:before="199"/>
      </w:pPr>
    </w:p>
    <w:p>
      <w:pPr>
        <w:pStyle w:val="ListParagraph"/>
        <w:numPr>
          <w:ilvl w:val="2"/>
          <w:numId w:val="15"/>
        </w:numPr>
        <w:tabs>
          <w:tab w:pos="836" w:val="left" w:leader="none"/>
        </w:tabs>
        <w:spacing w:line="240" w:lineRule="auto" w:before="0" w:after="0"/>
        <w:ind w:left="836" w:right="0" w:hanging="540"/>
        <w:jc w:val="both"/>
        <w:rPr>
          <w:b/>
          <w:sz w:val="24"/>
        </w:rPr>
      </w:pPr>
      <w:r>
        <w:rPr>
          <w:b/>
          <w:sz w:val="24"/>
        </w:rPr>
        <w:t>Preparation</w:t>
      </w:r>
      <w:r>
        <w:rPr>
          <w:b/>
          <w:spacing w:val="-1"/>
          <w:sz w:val="24"/>
        </w:rPr>
        <w:t> </w:t>
      </w:r>
      <w:r>
        <w:rPr>
          <w:b/>
          <w:sz w:val="24"/>
        </w:rPr>
        <w:t>of</w:t>
      </w:r>
      <w:r>
        <w:rPr>
          <w:b/>
          <w:spacing w:val="-1"/>
          <w:sz w:val="24"/>
        </w:rPr>
        <w:t> </w:t>
      </w:r>
      <w:r>
        <w:rPr>
          <w:b/>
          <w:sz w:val="24"/>
        </w:rPr>
        <w:t>drug </w:t>
      </w:r>
      <w:r>
        <w:rPr>
          <w:b/>
          <w:spacing w:val="-2"/>
          <w:sz w:val="24"/>
        </w:rPr>
        <w:t>solutions</w:t>
      </w:r>
    </w:p>
    <w:p>
      <w:pPr>
        <w:pStyle w:val="BodyText"/>
        <w:spacing w:line="480" w:lineRule="auto" w:before="271"/>
        <w:ind w:left="296" w:right="1133"/>
        <w:jc w:val="both"/>
      </w:pPr>
      <w:r>
        <w:rPr/>
        <w:t>Streptozotocin was reconstituted in freshly prepared cold citrate buffer with a pH of 4.5. Nifedipine was dissolved in polyethylene glycol and water at 1:5 </w:t>
      </w:r>
      <w:r>
        <w:rPr>
          <w:vertAlign w:val="superscript"/>
        </w:rPr>
        <w:t>v</w:t>
      </w:r>
      <w:r>
        <w:rPr>
          <w:vertAlign w:val="baseline"/>
        </w:rPr>
        <w:t>/</w:t>
      </w:r>
      <w:r>
        <w:rPr>
          <w:vertAlign w:val="subscript"/>
        </w:rPr>
        <w:t>v</w:t>
      </w:r>
      <w:r>
        <w:rPr>
          <w:vertAlign w:val="baseline"/>
        </w:rPr>
        <w:t> ratio. Glimepiride solution was prepared by dissolving in distilled water. The volumes of drug solutions were calculated based on the body</w:t>
      </w:r>
      <w:r>
        <w:rPr>
          <w:spacing w:val="-3"/>
          <w:vertAlign w:val="baseline"/>
        </w:rPr>
        <w:t> </w:t>
      </w:r>
      <w:r>
        <w:rPr>
          <w:vertAlign w:val="baseline"/>
        </w:rPr>
        <w:t>weight of the animals. All drug solutions were prepared daily for immediate use.</w:t>
      </w:r>
    </w:p>
    <w:p>
      <w:pPr>
        <w:spacing w:after="0" w:line="480" w:lineRule="auto"/>
        <w:jc w:val="both"/>
        <w:sectPr>
          <w:pgSz w:w="12240" w:h="15840"/>
          <w:pgMar w:header="0" w:footer="1015" w:top="1360" w:bottom="1200" w:left="1720" w:right="300"/>
        </w:sectPr>
      </w:pPr>
    </w:p>
    <w:p>
      <w:pPr>
        <w:pStyle w:val="Heading2"/>
        <w:numPr>
          <w:ilvl w:val="2"/>
          <w:numId w:val="15"/>
        </w:numPr>
        <w:tabs>
          <w:tab w:pos="1016" w:val="left" w:leader="none"/>
        </w:tabs>
        <w:spacing w:line="240" w:lineRule="auto" w:before="76" w:after="0"/>
        <w:ind w:left="1016" w:right="0" w:hanging="720"/>
        <w:jc w:val="both"/>
      </w:pPr>
      <w:bookmarkStart w:name="_TOC_250030" w:id="51"/>
      <w:r>
        <w:rPr/>
        <w:t>Body</w:t>
      </w:r>
      <w:bookmarkEnd w:id="51"/>
      <w:r>
        <w:rPr>
          <w:spacing w:val="-2"/>
        </w:rPr>
        <w:t> weight</w:t>
      </w:r>
    </w:p>
    <w:p>
      <w:pPr>
        <w:pStyle w:val="BodyText"/>
        <w:spacing w:line="480" w:lineRule="auto" w:before="272"/>
        <w:ind w:left="296" w:right="1145"/>
        <w:jc w:val="both"/>
      </w:pPr>
      <w:r>
        <w:rPr/>
        <w:t>The rats were weighed weekly (on days 0, 7, 14 and 21) for three weeks with a weighing balance to determine any change in body weight.</w:t>
      </w:r>
    </w:p>
    <w:p>
      <w:pPr>
        <w:pStyle w:val="BodyText"/>
      </w:pPr>
    </w:p>
    <w:p>
      <w:pPr>
        <w:pStyle w:val="BodyText"/>
        <w:spacing w:before="5"/>
      </w:pPr>
    </w:p>
    <w:p>
      <w:pPr>
        <w:pStyle w:val="Heading2"/>
        <w:numPr>
          <w:ilvl w:val="2"/>
          <w:numId w:val="15"/>
        </w:numPr>
        <w:tabs>
          <w:tab w:pos="1016" w:val="left" w:leader="none"/>
        </w:tabs>
        <w:spacing w:line="240" w:lineRule="auto" w:before="0" w:after="0"/>
        <w:ind w:left="1016" w:right="0" w:hanging="720"/>
        <w:jc w:val="both"/>
      </w:pPr>
      <w:bookmarkStart w:name="_TOC_250029" w:id="52"/>
      <w:r>
        <w:rPr/>
        <w:t>Evaluation</w:t>
      </w:r>
      <w:r>
        <w:rPr>
          <w:spacing w:val="-3"/>
        </w:rPr>
        <w:t> </w:t>
      </w:r>
      <w:r>
        <w:rPr/>
        <w:t>of</w:t>
      </w:r>
      <w:r>
        <w:rPr>
          <w:spacing w:val="-2"/>
        </w:rPr>
        <w:t> </w:t>
      </w:r>
      <w:r>
        <w:rPr/>
        <w:t>fasting</w:t>
      </w:r>
      <w:r>
        <w:rPr>
          <w:spacing w:val="-1"/>
        </w:rPr>
        <w:t> </w:t>
      </w:r>
      <w:r>
        <w:rPr/>
        <w:t>blood</w:t>
      </w:r>
      <w:r>
        <w:rPr>
          <w:spacing w:val="-2"/>
        </w:rPr>
        <w:t> </w:t>
      </w:r>
      <w:r>
        <w:rPr/>
        <w:t>glucose and random</w:t>
      </w:r>
      <w:r>
        <w:rPr>
          <w:spacing w:val="-5"/>
        </w:rPr>
        <w:t> </w:t>
      </w:r>
      <w:r>
        <w:rPr/>
        <w:t>blood </w:t>
      </w:r>
      <w:bookmarkEnd w:id="52"/>
      <w:r>
        <w:rPr>
          <w:spacing w:val="-2"/>
        </w:rPr>
        <w:t>glucose</w:t>
      </w:r>
    </w:p>
    <w:p>
      <w:pPr>
        <w:pStyle w:val="BodyText"/>
        <w:spacing w:line="480" w:lineRule="auto" w:before="271"/>
        <w:ind w:left="296" w:right="1138"/>
        <w:jc w:val="both"/>
      </w:pPr>
      <w:r>
        <w:rPr/>
        <w:t>Fasting blood glucose was measured weekly (on days 0, 7, 14 and 21) at 7:30 am for 3 weeks following 12 hours of fasting using a glucometre (Sonia and Srinivasan, 1999). Similarly,</w:t>
      </w:r>
      <w:r>
        <w:rPr>
          <w:spacing w:val="-1"/>
        </w:rPr>
        <w:t> </w:t>
      </w:r>
      <w:r>
        <w:rPr/>
        <w:t>Random</w:t>
      </w:r>
      <w:r>
        <w:rPr>
          <w:spacing w:val="-1"/>
        </w:rPr>
        <w:t> </w:t>
      </w:r>
      <w:r>
        <w:rPr/>
        <w:t>blood</w:t>
      </w:r>
      <w:r>
        <w:rPr>
          <w:spacing w:val="-1"/>
        </w:rPr>
        <w:t> </w:t>
      </w:r>
      <w:r>
        <w:rPr/>
        <w:t>glucose</w:t>
      </w:r>
      <w:r>
        <w:rPr>
          <w:spacing w:val="-3"/>
        </w:rPr>
        <w:t> </w:t>
      </w:r>
      <w:r>
        <w:rPr/>
        <w:t>was</w:t>
      </w:r>
      <w:r>
        <w:rPr>
          <w:spacing w:val="-1"/>
        </w:rPr>
        <w:t> </w:t>
      </w:r>
      <w:r>
        <w:rPr/>
        <w:t>measured</w:t>
      </w:r>
      <w:r>
        <w:rPr>
          <w:spacing w:val="-1"/>
        </w:rPr>
        <w:t> </w:t>
      </w:r>
      <w:r>
        <w:rPr/>
        <w:t>periodically</w:t>
      </w:r>
      <w:r>
        <w:rPr>
          <w:spacing w:val="-5"/>
        </w:rPr>
        <w:t> </w:t>
      </w:r>
      <w:r>
        <w:rPr/>
        <w:t>within</w:t>
      </w:r>
      <w:r>
        <w:rPr>
          <w:spacing w:val="-1"/>
        </w:rPr>
        <w:t> </w:t>
      </w:r>
      <w:r>
        <w:rPr/>
        <w:t>the</w:t>
      </w:r>
      <w:r>
        <w:rPr>
          <w:spacing w:val="-2"/>
        </w:rPr>
        <w:t> </w:t>
      </w:r>
      <w:r>
        <w:rPr/>
        <w:t>period</w:t>
      </w:r>
      <w:r>
        <w:rPr>
          <w:spacing w:val="-2"/>
        </w:rPr>
        <w:t> </w:t>
      </w:r>
      <w:r>
        <w:rPr/>
        <w:t>of</w:t>
      </w:r>
      <w:r>
        <w:rPr>
          <w:spacing w:val="-2"/>
        </w:rPr>
        <w:t> </w:t>
      </w:r>
      <w:r>
        <w:rPr/>
        <w:t>study</w:t>
      </w:r>
      <w:r>
        <w:rPr>
          <w:spacing w:val="-8"/>
        </w:rPr>
        <w:t> </w:t>
      </w:r>
      <w:r>
        <w:rPr/>
        <w:t>(on days 0, 6, 10, 13 and 20) at 1 pm with a glucometre. This was done by collecting a drop of blood from the tail tip of the rats after it was pricked by a lancet. The blood sample was dropped on the test strip fitted to the glucometre and the corresponding glucose level was read from the glucometre screen.</w:t>
      </w:r>
    </w:p>
    <w:p>
      <w:pPr>
        <w:pStyle w:val="BodyText"/>
      </w:pPr>
    </w:p>
    <w:p>
      <w:pPr>
        <w:pStyle w:val="BodyText"/>
        <w:spacing w:before="6"/>
      </w:pPr>
    </w:p>
    <w:p>
      <w:pPr>
        <w:pStyle w:val="Heading2"/>
        <w:numPr>
          <w:ilvl w:val="2"/>
          <w:numId w:val="15"/>
        </w:numPr>
        <w:tabs>
          <w:tab w:pos="1016" w:val="left" w:leader="none"/>
        </w:tabs>
        <w:spacing w:line="240" w:lineRule="auto" w:before="0" w:after="0"/>
        <w:ind w:left="1016" w:right="0" w:hanging="720"/>
        <w:jc w:val="both"/>
      </w:pPr>
      <w:bookmarkStart w:name="_TOC_250028" w:id="53"/>
      <w:r>
        <w:rPr/>
        <w:t>Evaluation</w:t>
      </w:r>
      <w:r>
        <w:rPr>
          <w:spacing w:val="-3"/>
        </w:rPr>
        <w:t> </w:t>
      </w:r>
      <w:r>
        <w:rPr/>
        <w:t>of</w:t>
      </w:r>
      <w:r>
        <w:rPr>
          <w:spacing w:val="-2"/>
        </w:rPr>
        <w:t> </w:t>
      </w:r>
      <w:r>
        <w:rPr/>
        <w:t>peripheral</w:t>
      </w:r>
      <w:bookmarkEnd w:id="53"/>
      <w:r>
        <w:rPr>
          <w:spacing w:val="-2"/>
        </w:rPr>
        <w:t> neuropathy</w:t>
      </w:r>
    </w:p>
    <w:p>
      <w:pPr>
        <w:pStyle w:val="ListParagraph"/>
        <w:numPr>
          <w:ilvl w:val="3"/>
          <w:numId w:val="15"/>
        </w:numPr>
        <w:tabs>
          <w:tab w:pos="1016" w:val="left" w:leader="none"/>
        </w:tabs>
        <w:spacing w:line="240" w:lineRule="auto" w:before="272" w:after="0"/>
        <w:ind w:left="1016" w:right="0" w:hanging="720"/>
        <w:jc w:val="both"/>
        <w:rPr>
          <w:i/>
          <w:sz w:val="24"/>
        </w:rPr>
      </w:pPr>
      <w:r>
        <w:rPr>
          <w:i/>
          <w:sz w:val="24"/>
        </w:rPr>
        <w:t>Paw-pressure</w:t>
      </w:r>
      <w:r>
        <w:rPr>
          <w:i/>
          <w:spacing w:val="-2"/>
          <w:sz w:val="24"/>
        </w:rPr>
        <w:t> </w:t>
      </w:r>
      <w:r>
        <w:rPr>
          <w:i/>
          <w:spacing w:val="-4"/>
          <w:sz w:val="24"/>
        </w:rPr>
        <w:t>test</w:t>
      </w:r>
    </w:p>
    <w:p>
      <w:pPr>
        <w:pStyle w:val="BodyText"/>
        <w:spacing w:line="480" w:lineRule="auto" w:before="276"/>
        <w:ind w:left="296" w:right="1137"/>
        <w:jc w:val="both"/>
      </w:pPr>
      <w:r>
        <w:rPr/>
        <w:t>Mechanical hyperalgesia is a clinical feature of peripheral neuropathy (Callaghan </w:t>
      </w:r>
      <w:r>
        <w:rPr>
          <w:i/>
        </w:rPr>
        <w:t>et al</w:t>
      </w:r>
      <w:r>
        <w:rPr/>
        <w:t>., 2012). Increase in sensitivity to pain as a result of the probable destruction of nociceptors was determined according to the method of Randall and Selitto (1957). The nociceptive flexion reflex was quantified using the analgesiometer, which produces a linearly increasing mechanical force that is applied to the dorsum of the rat’s hind paw. The </w:t>
      </w:r>
      <w:r>
        <w:rPr>
          <w:color w:val="333333"/>
        </w:rPr>
        <w:t>force was applied to the animal's paw, (which was placed on a small plinth under a cone-shaped pusher with a rounded tip, which does not hurt the animal) </w:t>
      </w:r>
      <w:r>
        <w:rPr/>
        <w:t>at a rate of 64 g/s. The nociceptive</w:t>
      </w:r>
      <w:r>
        <w:rPr>
          <w:spacing w:val="52"/>
        </w:rPr>
        <w:t> </w:t>
      </w:r>
      <w:r>
        <w:rPr/>
        <w:t>threshold</w:t>
      </w:r>
      <w:r>
        <w:rPr>
          <w:spacing w:val="53"/>
        </w:rPr>
        <w:t> </w:t>
      </w:r>
      <w:r>
        <w:rPr/>
        <w:t>was</w:t>
      </w:r>
      <w:r>
        <w:rPr>
          <w:spacing w:val="53"/>
        </w:rPr>
        <w:t> </w:t>
      </w:r>
      <w:r>
        <w:rPr/>
        <w:t>defined</w:t>
      </w:r>
      <w:r>
        <w:rPr>
          <w:spacing w:val="56"/>
        </w:rPr>
        <w:t> </w:t>
      </w:r>
      <w:r>
        <w:rPr/>
        <w:t>as</w:t>
      </w:r>
      <w:r>
        <w:rPr>
          <w:spacing w:val="54"/>
        </w:rPr>
        <w:t> </w:t>
      </w:r>
      <w:r>
        <w:rPr/>
        <w:t>the</w:t>
      </w:r>
      <w:r>
        <w:rPr>
          <w:spacing w:val="52"/>
        </w:rPr>
        <w:t> </w:t>
      </w:r>
      <w:r>
        <w:rPr/>
        <w:t>force,</w:t>
      </w:r>
      <w:r>
        <w:rPr>
          <w:spacing w:val="56"/>
        </w:rPr>
        <w:t> </w:t>
      </w:r>
      <w:r>
        <w:rPr/>
        <w:t>in</w:t>
      </w:r>
      <w:r>
        <w:rPr>
          <w:spacing w:val="54"/>
        </w:rPr>
        <w:t> </w:t>
      </w:r>
      <w:r>
        <w:rPr/>
        <w:t>grams,</w:t>
      </w:r>
      <w:r>
        <w:rPr>
          <w:spacing w:val="53"/>
        </w:rPr>
        <w:t> </w:t>
      </w:r>
      <w:r>
        <w:rPr/>
        <w:t>at</w:t>
      </w:r>
      <w:r>
        <w:rPr>
          <w:spacing w:val="54"/>
        </w:rPr>
        <w:t> </w:t>
      </w:r>
      <w:r>
        <w:rPr/>
        <w:t>which</w:t>
      </w:r>
      <w:r>
        <w:rPr>
          <w:spacing w:val="53"/>
        </w:rPr>
        <w:t> </w:t>
      </w:r>
      <w:r>
        <w:rPr/>
        <w:t>a</w:t>
      </w:r>
      <w:r>
        <w:rPr>
          <w:spacing w:val="54"/>
        </w:rPr>
        <w:t> </w:t>
      </w:r>
      <w:r>
        <w:rPr/>
        <w:t>rat</w:t>
      </w:r>
      <w:r>
        <w:rPr>
          <w:spacing w:val="54"/>
        </w:rPr>
        <w:t> </w:t>
      </w:r>
      <w:r>
        <w:rPr/>
        <w:t>struggled</w:t>
      </w:r>
      <w:r>
        <w:rPr>
          <w:spacing w:val="53"/>
        </w:rPr>
        <w:t> </w:t>
      </w:r>
      <w:r>
        <w:rPr>
          <w:spacing w:val="-5"/>
        </w:rPr>
        <w:t>to</w:t>
      </w:r>
    </w:p>
    <w:p>
      <w:pPr>
        <w:spacing w:after="0" w:line="480" w:lineRule="auto"/>
        <w:jc w:val="both"/>
        <w:sectPr>
          <w:pgSz w:w="12240" w:h="15840"/>
          <w:pgMar w:header="0" w:footer="1015" w:top="1360" w:bottom="1200" w:left="1720" w:right="300"/>
        </w:sectPr>
      </w:pPr>
    </w:p>
    <w:p>
      <w:pPr>
        <w:pStyle w:val="BodyText"/>
        <w:spacing w:line="480" w:lineRule="auto" w:before="72"/>
        <w:ind w:left="296" w:right="1143"/>
        <w:jc w:val="both"/>
      </w:pPr>
      <w:r>
        <w:rPr/>
        <w:t>withdraw its hind-paw. The mean nociceptive thresholds at which the rats withdrew their paws were recorded. The cut off pressure of 450 g was maintained to avoid mechanical damage to the paw skin.</w:t>
      </w:r>
    </w:p>
    <w:p>
      <w:pPr>
        <w:pStyle w:val="BodyText"/>
      </w:pPr>
    </w:p>
    <w:p>
      <w:pPr>
        <w:pStyle w:val="BodyText"/>
      </w:pPr>
    </w:p>
    <w:p>
      <w:pPr>
        <w:pStyle w:val="ListParagraph"/>
        <w:numPr>
          <w:ilvl w:val="3"/>
          <w:numId w:val="15"/>
        </w:numPr>
        <w:tabs>
          <w:tab w:pos="1016" w:val="left" w:leader="none"/>
        </w:tabs>
        <w:spacing w:line="240" w:lineRule="auto" w:before="0" w:after="0"/>
        <w:ind w:left="1016" w:right="0" w:hanging="720"/>
        <w:jc w:val="both"/>
        <w:rPr>
          <w:i/>
          <w:sz w:val="24"/>
        </w:rPr>
      </w:pPr>
      <w:r>
        <w:rPr>
          <w:i/>
          <w:sz w:val="24"/>
        </w:rPr>
        <w:t>Tail</w:t>
      </w:r>
      <w:r>
        <w:rPr>
          <w:i/>
          <w:spacing w:val="-1"/>
          <w:sz w:val="24"/>
        </w:rPr>
        <w:t> </w:t>
      </w:r>
      <w:r>
        <w:rPr>
          <w:i/>
          <w:sz w:val="24"/>
        </w:rPr>
        <w:t>immersion</w:t>
      </w:r>
      <w:r>
        <w:rPr>
          <w:i/>
          <w:spacing w:val="-1"/>
          <w:sz w:val="24"/>
        </w:rPr>
        <w:t> </w:t>
      </w:r>
      <w:r>
        <w:rPr>
          <w:i/>
          <w:spacing w:val="-4"/>
          <w:sz w:val="24"/>
        </w:rPr>
        <w:t>test</w:t>
      </w:r>
    </w:p>
    <w:p>
      <w:pPr>
        <w:pStyle w:val="BodyText"/>
        <w:rPr>
          <w:i/>
        </w:rPr>
      </w:pPr>
    </w:p>
    <w:p>
      <w:pPr>
        <w:pStyle w:val="BodyText"/>
        <w:spacing w:line="480" w:lineRule="auto"/>
        <w:ind w:left="296" w:right="1140"/>
        <w:jc w:val="both"/>
      </w:pPr>
      <w:r>
        <w:rPr/>
        <w:t>Thermal hyperalgesia was evaluated in the rats using tail immersion method as described by Anjaneyulu and Chopra, (2004). The tail of each animal was dipped in a beaker containing hot water maintained at 45.5 ± 0.5ºC monitored by a thermometer. The tail flicking responses of rats were observed and the time taken to flick tail was recorded.</w:t>
      </w:r>
      <w:r>
        <w:rPr>
          <w:spacing w:val="40"/>
        </w:rPr>
        <w:t> </w:t>
      </w:r>
      <w:r>
        <w:rPr/>
        <w:t>Three tests separated by at least 10 minutes were performed for each rat, and mean value for each rat was recorded.</w:t>
      </w:r>
    </w:p>
    <w:p>
      <w:pPr>
        <w:pStyle w:val="BodyText"/>
      </w:pPr>
    </w:p>
    <w:p>
      <w:pPr>
        <w:pStyle w:val="BodyText"/>
        <w:spacing w:before="6"/>
      </w:pPr>
    </w:p>
    <w:p>
      <w:pPr>
        <w:pStyle w:val="Heading2"/>
        <w:numPr>
          <w:ilvl w:val="2"/>
          <w:numId w:val="15"/>
        </w:numPr>
        <w:tabs>
          <w:tab w:pos="1016" w:val="left" w:leader="none"/>
        </w:tabs>
        <w:spacing w:line="240" w:lineRule="auto" w:before="0" w:after="0"/>
        <w:ind w:left="1016" w:right="0" w:hanging="720"/>
        <w:jc w:val="both"/>
      </w:pPr>
      <w:bookmarkStart w:name="_TOC_250027" w:id="54"/>
      <w:r>
        <w:rPr/>
        <w:t>Assessment</w:t>
      </w:r>
      <w:r>
        <w:rPr>
          <w:spacing w:val="-2"/>
        </w:rPr>
        <w:t> </w:t>
      </w:r>
      <w:r>
        <w:rPr/>
        <w:t>of</w:t>
      </w:r>
      <w:bookmarkEnd w:id="54"/>
      <w:r>
        <w:rPr>
          <w:spacing w:val="-2"/>
        </w:rPr>
        <w:t> nephropathy</w:t>
      </w:r>
    </w:p>
    <w:p>
      <w:pPr>
        <w:pStyle w:val="BodyText"/>
        <w:spacing w:line="480" w:lineRule="auto" w:before="272"/>
        <w:ind w:left="296" w:right="1138"/>
        <w:jc w:val="both"/>
      </w:pPr>
      <w:r>
        <w:rPr/>
        <w:t>At the end of treatment (3 weeks), the animals were euthanized with chloroform. The kidneys were isolated using a dissecting kit and the weights were determined using electronic weighing balance. The relative kidney weight ratios were determined. Blood samples were collected from the jugular vein and centrifuged at 2200 rpm for 10 minutes. The serum obtained was used for the determination of serum creatinine, blood urea nitrogen (BUN), uric acid, total protein and albumin using Randox® diagnostic kits.</w:t>
      </w:r>
    </w:p>
    <w:p>
      <w:pPr>
        <w:pStyle w:val="BodyText"/>
      </w:pPr>
    </w:p>
    <w:p>
      <w:pPr>
        <w:pStyle w:val="BodyText"/>
      </w:pPr>
    </w:p>
    <w:p>
      <w:pPr>
        <w:pStyle w:val="ListParagraph"/>
        <w:numPr>
          <w:ilvl w:val="3"/>
          <w:numId w:val="15"/>
        </w:numPr>
        <w:tabs>
          <w:tab w:pos="1016" w:val="left" w:leader="none"/>
        </w:tabs>
        <w:spacing w:line="240" w:lineRule="auto" w:before="1" w:after="0"/>
        <w:ind w:left="1016" w:right="0" w:hanging="720"/>
        <w:jc w:val="both"/>
        <w:rPr>
          <w:i/>
          <w:sz w:val="24"/>
        </w:rPr>
      </w:pPr>
      <w:r>
        <w:rPr>
          <w:i/>
          <w:sz w:val="24"/>
        </w:rPr>
        <w:t>Blood urea </w:t>
      </w:r>
      <w:r>
        <w:rPr>
          <w:i/>
          <w:spacing w:val="-2"/>
          <w:sz w:val="24"/>
        </w:rPr>
        <w:t>nitrogen</w:t>
      </w:r>
    </w:p>
    <w:p>
      <w:pPr>
        <w:pStyle w:val="BodyText"/>
        <w:spacing w:line="480" w:lineRule="auto" w:before="276"/>
        <w:ind w:left="296" w:right="1141"/>
        <w:jc w:val="both"/>
      </w:pPr>
      <w:r>
        <w:rPr/>
        <w:t>Working reagent for the determination of blood urea nitrogen was prepared by reconstituting</w:t>
      </w:r>
      <w:r>
        <w:rPr>
          <w:spacing w:val="7"/>
        </w:rPr>
        <w:t> </w:t>
      </w:r>
      <w:r>
        <w:rPr/>
        <w:t>one</w:t>
      </w:r>
      <w:r>
        <w:rPr>
          <w:spacing w:val="12"/>
        </w:rPr>
        <w:t> </w:t>
      </w:r>
      <w:r>
        <w:rPr/>
        <w:t>vial</w:t>
      </w:r>
      <w:r>
        <w:rPr>
          <w:spacing w:val="13"/>
        </w:rPr>
        <w:t> </w:t>
      </w:r>
      <w:r>
        <w:rPr/>
        <w:t>of</w:t>
      </w:r>
      <w:r>
        <w:rPr>
          <w:spacing w:val="14"/>
        </w:rPr>
        <w:t> </w:t>
      </w:r>
      <w:r>
        <w:rPr/>
        <w:t>reagent</w:t>
      </w:r>
      <w:r>
        <w:rPr>
          <w:spacing w:val="13"/>
        </w:rPr>
        <w:t> </w:t>
      </w:r>
      <w:r>
        <w:rPr/>
        <w:t>2</w:t>
      </w:r>
      <w:r>
        <w:rPr>
          <w:spacing w:val="13"/>
        </w:rPr>
        <w:t> </w:t>
      </w:r>
      <w:r>
        <w:rPr/>
        <w:t>(R2)</w:t>
      </w:r>
      <w:r>
        <w:rPr>
          <w:spacing w:val="12"/>
        </w:rPr>
        <w:t> </w:t>
      </w:r>
      <w:r>
        <w:rPr/>
        <w:t>in</w:t>
      </w:r>
      <w:r>
        <w:rPr>
          <w:spacing w:val="13"/>
        </w:rPr>
        <w:t> </w:t>
      </w:r>
      <w:r>
        <w:rPr/>
        <w:t>10</w:t>
      </w:r>
      <w:r>
        <w:rPr>
          <w:spacing w:val="13"/>
        </w:rPr>
        <w:t> </w:t>
      </w:r>
      <w:r>
        <w:rPr/>
        <w:t>ml</w:t>
      </w:r>
      <w:r>
        <w:rPr>
          <w:spacing w:val="13"/>
        </w:rPr>
        <w:t> </w:t>
      </w:r>
      <w:r>
        <w:rPr/>
        <w:t>of</w:t>
      </w:r>
      <w:r>
        <w:rPr>
          <w:spacing w:val="12"/>
        </w:rPr>
        <w:t> </w:t>
      </w:r>
      <w:r>
        <w:rPr/>
        <w:t>deionized</w:t>
      </w:r>
      <w:r>
        <w:rPr>
          <w:spacing w:val="13"/>
        </w:rPr>
        <w:t> </w:t>
      </w:r>
      <w:r>
        <w:rPr/>
        <w:t>water.</w:t>
      </w:r>
      <w:r>
        <w:rPr>
          <w:spacing w:val="13"/>
        </w:rPr>
        <w:t> </w:t>
      </w:r>
      <w:r>
        <w:rPr/>
        <w:t>To</w:t>
      </w:r>
      <w:r>
        <w:rPr>
          <w:spacing w:val="15"/>
        </w:rPr>
        <w:t> </w:t>
      </w:r>
      <w:r>
        <w:rPr/>
        <w:t>determine</w:t>
      </w:r>
      <w:r>
        <w:rPr>
          <w:spacing w:val="12"/>
        </w:rPr>
        <w:t> </w:t>
      </w:r>
      <w:r>
        <w:rPr>
          <w:spacing w:val="-2"/>
        </w:rPr>
        <w:t>blood</w:t>
      </w:r>
    </w:p>
    <w:p>
      <w:pPr>
        <w:spacing w:after="0" w:line="480" w:lineRule="auto"/>
        <w:jc w:val="both"/>
        <w:sectPr>
          <w:pgSz w:w="12240" w:h="15840"/>
          <w:pgMar w:header="0" w:footer="1015" w:top="1360" w:bottom="1200" w:left="1720" w:right="300"/>
        </w:sectPr>
      </w:pPr>
    </w:p>
    <w:p>
      <w:pPr>
        <w:pStyle w:val="BodyText"/>
        <w:spacing w:line="480" w:lineRule="auto" w:before="72"/>
        <w:ind w:left="296" w:right="1141"/>
        <w:jc w:val="both"/>
      </w:pPr>
      <w:r>
        <w:rPr/>
        <w:t>urea nitrogen, three test tubes were prepared and labeled accordingly (blank, test and sample). 1000 µl of the working reagent was added to all the test tubes, 10 µl of standard (Urea B 40 mg/dl) was added to the test tube labeled as standard while 10 µl of the serum was added to the test tube labeled as sample. The content of all the test tubes were mixed and</w:t>
      </w:r>
      <w:r>
        <w:rPr>
          <w:spacing w:val="-3"/>
        </w:rPr>
        <w:t> </w:t>
      </w:r>
      <w:r>
        <w:rPr/>
        <w:t>incubated</w:t>
      </w:r>
      <w:r>
        <w:rPr>
          <w:spacing w:val="-2"/>
        </w:rPr>
        <w:t> </w:t>
      </w:r>
      <w:r>
        <w:rPr/>
        <w:t>at</w:t>
      </w:r>
      <w:r>
        <w:rPr>
          <w:spacing w:val="-3"/>
        </w:rPr>
        <w:t> </w:t>
      </w:r>
      <w:r>
        <w:rPr/>
        <w:t>37ºC</w:t>
      </w:r>
      <w:r>
        <w:rPr>
          <w:spacing w:val="-3"/>
        </w:rPr>
        <w:t> </w:t>
      </w:r>
      <w:r>
        <w:rPr/>
        <w:t>for</w:t>
      </w:r>
      <w:r>
        <w:rPr>
          <w:spacing w:val="-2"/>
        </w:rPr>
        <w:t> </w:t>
      </w:r>
      <w:r>
        <w:rPr/>
        <w:t>five</w:t>
      </w:r>
      <w:r>
        <w:rPr>
          <w:spacing w:val="-3"/>
        </w:rPr>
        <w:t> </w:t>
      </w:r>
      <w:r>
        <w:rPr/>
        <w:t>minutes.</w:t>
      </w:r>
      <w:r>
        <w:rPr>
          <w:spacing w:val="-3"/>
        </w:rPr>
        <w:t> </w:t>
      </w:r>
      <w:r>
        <w:rPr/>
        <w:t>Afterwards,</w:t>
      </w:r>
      <w:r>
        <w:rPr>
          <w:spacing w:val="-3"/>
        </w:rPr>
        <w:t> </w:t>
      </w:r>
      <w:r>
        <w:rPr/>
        <w:t>1000</w:t>
      </w:r>
      <w:r>
        <w:rPr>
          <w:spacing w:val="-3"/>
        </w:rPr>
        <w:t> </w:t>
      </w:r>
      <w:r>
        <w:rPr/>
        <w:t>µl</w:t>
      </w:r>
      <w:r>
        <w:rPr>
          <w:spacing w:val="-3"/>
        </w:rPr>
        <w:t> </w:t>
      </w:r>
      <w:r>
        <w:rPr/>
        <w:t>of</w:t>
      </w:r>
      <w:r>
        <w:rPr>
          <w:spacing w:val="-3"/>
        </w:rPr>
        <w:t> </w:t>
      </w:r>
      <w:r>
        <w:rPr/>
        <w:t>colour</w:t>
      </w:r>
      <w:r>
        <w:rPr>
          <w:spacing w:val="-2"/>
        </w:rPr>
        <w:t> </w:t>
      </w:r>
      <w:r>
        <w:rPr/>
        <w:t>reagent</w:t>
      </w:r>
      <w:r>
        <w:rPr>
          <w:spacing w:val="-3"/>
        </w:rPr>
        <w:t> </w:t>
      </w:r>
      <w:r>
        <w:rPr/>
        <w:t>was</w:t>
      </w:r>
      <w:r>
        <w:rPr>
          <w:spacing w:val="-3"/>
        </w:rPr>
        <w:t> </w:t>
      </w:r>
      <w:r>
        <w:rPr/>
        <w:t>added</w:t>
      </w:r>
      <w:r>
        <w:rPr>
          <w:spacing w:val="-3"/>
        </w:rPr>
        <w:t> </w:t>
      </w:r>
      <w:r>
        <w:rPr/>
        <w:t>to all the test tubes and properly mixed. The mixture was then incubated at 37ºC for five minutes. Finally, 1000 µl of deionized water was added to all the test tubes and was properly mixed. The absorbance of the sample and the standard against the reagent blank was measured using a spectrophotometer. The concentration of urea was calculated as shown below.</w:t>
      </w:r>
    </w:p>
    <w:p>
      <w:pPr>
        <w:pStyle w:val="BodyText"/>
        <w:rPr>
          <w:sz w:val="20"/>
        </w:rPr>
      </w:pPr>
    </w:p>
    <w:p>
      <w:pPr>
        <w:pStyle w:val="BodyText"/>
        <w:spacing w:before="16"/>
        <w:rPr>
          <w:sz w:val="20"/>
        </w:rPr>
      </w:pPr>
    </w:p>
    <w:p>
      <w:pPr>
        <w:spacing w:after="0"/>
        <w:rPr>
          <w:sz w:val="20"/>
        </w:rPr>
        <w:sectPr>
          <w:pgSz w:w="12240" w:h="15840"/>
          <w:pgMar w:header="0" w:footer="1015" w:top="1360" w:bottom="1200" w:left="1720" w:right="300"/>
        </w:sectPr>
      </w:pPr>
    </w:p>
    <w:p>
      <w:pPr>
        <w:pStyle w:val="BodyText"/>
        <w:spacing w:before="241"/>
        <w:ind w:left="2149"/>
        <w:rPr>
          <w:rFonts w:ascii="Cambria Math"/>
        </w:rPr>
      </w:pPr>
      <w:r>
        <w:rPr/>
        <mc:AlternateContent>
          <mc:Choice Requires="wps">
            <w:drawing>
              <wp:anchor distT="0" distB="0" distL="0" distR="0" allowOverlap="1" layoutInCell="1" locked="0" behindDoc="0" simplePos="0" relativeHeight="15734272">
                <wp:simplePos x="0" y="0"/>
                <wp:positionH relativeFrom="page">
                  <wp:posOffset>3860927</wp:posOffset>
                </wp:positionH>
                <wp:positionV relativeFrom="paragraph">
                  <wp:posOffset>249369</wp:posOffset>
                </wp:positionV>
                <wp:extent cx="1821814" cy="1079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821814" cy="10795"/>
                        </a:xfrm>
                        <a:custGeom>
                          <a:avLst/>
                          <a:gdLst/>
                          <a:ahLst/>
                          <a:cxnLst/>
                          <a:rect l="l" t="t" r="r" b="b"/>
                          <a:pathLst>
                            <a:path w="1821814" h="10795">
                              <a:moveTo>
                                <a:pt x="1821433" y="0"/>
                              </a:moveTo>
                              <a:lnTo>
                                <a:pt x="0" y="0"/>
                              </a:lnTo>
                              <a:lnTo>
                                <a:pt x="0" y="10667"/>
                              </a:lnTo>
                              <a:lnTo>
                                <a:pt x="1821433" y="10667"/>
                              </a:lnTo>
                              <a:lnTo>
                                <a:pt x="1821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4.010010pt;margin-top:19.635391pt;width:143.420pt;height:.84pt;mso-position-horizontal-relative:page;mso-position-vertical-relative:paragraph;z-index:15734272" id="docshape14" filled="true" fillcolor="#000000" stroked="false">
                <v:fill type="solid"/>
                <w10:wrap type="none"/>
              </v:rect>
            </w:pict>
          </mc:Fallback>
        </mc:AlternateContent>
      </w:r>
      <w:r>
        <w:rPr>
          <w:rFonts w:ascii="Cambria Math"/>
        </w:rPr>
        <w:t>Urea</w:t>
      </w:r>
      <w:r>
        <w:rPr>
          <w:rFonts w:ascii="Cambria Math"/>
          <w:spacing w:val="-5"/>
        </w:rPr>
        <w:t> </w:t>
      </w:r>
      <w:r>
        <w:rPr>
          <w:rFonts w:ascii="Cambria Math"/>
        </w:rPr>
        <w:t>conc</w:t>
      </w:r>
      <w:r>
        <w:rPr>
          <w:rFonts w:ascii="Cambria Math"/>
          <w:spacing w:val="-3"/>
        </w:rPr>
        <w:t> </w:t>
      </w:r>
      <w:r>
        <w:rPr>
          <w:rFonts w:ascii="Cambria Math"/>
        </w:rPr>
        <w:t>(mg/dl)</w:t>
      </w:r>
      <w:r>
        <w:rPr>
          <w:rFonts w:ascii="Cambria Math"/>
          <w:spacing w:val="12"/>
        </w:rPr>
        <w:t> </w:t>
      </w:r>
      <w:r>
        <w:rPr>
          <w:rFonts w:ascii="Cambria Math"/>
          <w:spacing w:val="-10"/>
        </w:rPr>
        <w:t>=</w:t>
      </w:r>
    </w:p>
    <w:p>
      <w:pPr>
        <w:pStyle w:val="BodyText"/>
        <w:spacing w:line="292" w:lineRule="auto" w:before="59"/>
        <w:ind w:left="241" w:right="2991" w:hanging="216"/>
        <w:rPr>
          <w:rFonts w:ascii="Cambria Math" w:hAnsi="Cambria Math" w:eastAsia="Cambria Math"/>
        </w:rPr>
      </w:pPr>
      <w:r>
        <w:rPr/>
        <w:br w:type="column"/>
      </w:r>
      <w:r>
        <w:rPr>
          <w:rFonts w:ascii="Cambria Math" w:hAnsi="Cambria Math" w:eastAsia="Cambria Math"/>
        </w:rPr>
        <w:t>Abso𝑟bance</w:t>
      </w:r>
      <w:r>
        <w:rPr>
          <w:rFonts w:ascii="Cambria Math" w:hAnsi="Cambria Math" w:eastAsia="Cambria Math"/>
          <w:spacing w:val="-8"/>
        </w:rPr>
        <w:t> </w:t>
      </w:r>
      <w:r>
        <w:rPr>
          <w:rFonts w:ascii="Cambria Math" w:hAnsi="Cambria Math" w:eastAsia="Cambria Math"/>
        </w:rPr>
        <w:t>of</w:t>
      </w:r>
      <w:r>
        <w:rPr>
          <w:rFonts w:ascii="Cambria Math" w:hAnsi="Cambria Math" w:eastAsia="Cambria Math"/>
          <w:spacing w:val="-9"/>
        </w:rPr>
        <w:t> </w:t>
      </w:r>
      <w:r>
        <w:rPr>
          <w:rFonts w:ascii="Cambria Math" w:hAnsi="Cambria Math" w:eastAsia="Cambria Math"/>
        </w:rPr>
        <w:t>sample</w:t>
      </w:r>
      <w:r>
        <w:rPr>
          <w:rFonts w:ascii="Cambria Math" w:hAnsi="Cambria Math" w:eastAsia="Cambria Math"/>
          <w:spacing w:val="35"/>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40 Absorbance of standard</w:t>
      </w:r>
    </w:p>
    <w:p>
      <w:pPr>
        <w:spacing w:after="0" w:line="292" w:lineRule="auto"/>
        <w:rPr>
          <w:rFonts w:ascii="Cambria Math" w:hAnsi="Cambria Math" w:eastAsia="Cambria Math"/>
        </w:rPr>
        <w:sectPr>
          <w:type w:val="continuous"/>
          <w:pgSz w:w="12240" w:h="15840"/>
          <w:pgMar w:header="0" w:footer="1015" w:top="1360" w:bottom="1200" w:left="1720" w:right="300"/>
          <w:cols w:num="2" w:equalWidth="0">
            <w:col w:w="4295" w:space="40"/>
            <w:col w:w="5885"/>
          </w:cols>
        </w:sectPr>
      </w:pPr>
    </w:p>
    <w:p>
      <w:pPr>
        <w:pStyle w:val="BodyText"/>
        <w:rPr>
          <w:rFonts w:ascii="Cambria Math"/>
        </w:rPr>
      </w:pPr>
    </w:p>
    <w:p>
      <w:pPr>
        <w:pStyle w:val="BodyText"/>
        <w:spacing w:before="149"/>
        <w:rPr>
          <w:rFonts w:ascii="Cambria Math"/>
        </w:rPr>
      </w:pPr>
    </w:p>
    <w:p>
      <w:pPr>
        <w:pStyle w:val="ListParagraph"/>
        <w:numPr>
          <w:ilvl w:val="3"/>
          <w:numId w:val="15"/>
        </w:numPr>
        <w:tabs>
          <w:tab w:pos="1016" w:val="left" w:leader="none"/>
        </w:tabs>
        <w:spacing w:line="240" w:lineRule="auto" w:before="0" w:after="0"/>
        <w:ind w:left="1016" w:right="0" w:hanging="720"/>
        <w:jc w:val="left"/>
        <w:rPr>
          <w:i/>
          <w:sz w:val="24"/>
        </w:rPr>
      </w:pPr>
      <w:r>
        <w:rPr>
          <w:i/>
          <w:sz w:val="24"/>
        </w:rPr>
        <w:t>Serum</w:t>
      </w:r>
      <w:r>
        <w:rPr>
          <w:i/>
          <w:spacing w:val="-1"/>
          <w:sz w:val="24"/>
        </w:rPr>
        <w:t> </w:t>
      </w:r>
      <w:r>
        <w:rPr>
          <w:i/>
          <w:spacing w:val="-2"/>
          <w:sz w:val="24"/>
        </w:rPr>
        <w:t>creatinine</w:t>
      </w:r>
    </w:p>
    <w:p>
      <w:pPr>
        <w:pStyle w:val="BodyText"/>
        <w:rPr>
          <w:i/>
        </w:rPr>
      </w:pPr>
    </w:p>
    <w:p>
      <w:pPr>
        <w:pStyle w:val="BodyText"/>
        <w:spacing w:line="480" w:lineRule="auto"/>
        <w:ind w:left="296" w:right="1135"/>
        <w:jc w:val="both"/>
      </w:pPr>
      <w:r>
        <w:rPr/>
        <w:t>Three test tubes namely; blank, standard and sample were prepared. 100 µl of serum and standard creatinine (2 mg/dl) were added to the test tubes labeled sample and standard respectively. 1000 µl of working</w:t>
      </w:r>
      <w:r>
        <w:rPr>
          <w:spacing w:val="-1"/>
        </w:rPr>
        <w:t> </w:t>
      </w:r>
      <w:r>
        <w:rPr/>
        <w:t>reagent (alkaline picrate reagent) was added to all the test tubes and the content of all the test tubes were mixed properly. At 30 seconds and at 1 minute after mixing, the initial and final absorbance for the sample and standard were read against the reagent blank using a spectrophotometer. The serum creatinine concentration was calculated as shown below.</w:t>
      </w:r>
    </w:p>
    <w:p>
      <w:pPr>
        <w:spacing w:after="0" w:line="480" w:lineRule="auto"/>
        <w:jc w:val="both"/>
        <w:sectPr>
          <w:type w:val="continuous"/>
          <w:pgSz w:w="12240" w:h="15840"/>
          <w:pgMar w:header="0" w:footer="1015" w:top="1360" w:bottom="1200" w:left="1720" w:right="300"/>
        </w:sectPr>
      </w:pPr>
    </w:p>
    <w:p>
      <w:pPr>
        <w:pStyle w:val="BodyText"/>
        <w:spacing w:before="216"/>
        <w:ind w:left="1950"/>
        <w:rPr>
          <w:rFonts w:ascii="Cambria Math"/>
        </w:rPr>
      </w:pPr>
      <w:r>
        <w:rPr/>
        <mc:AlternateContent>
          <mc:Choice Requires="wps">
            <w:drawing>
              <wp:anchor distT="0" distB="0" distL="0" distR="0" allowOverlap="1" layoutInCell="1" locked="0" behindDoc="0" simplePos="0" relativeHeight="15734784">
                <wp:simplePos x="0" y="0"/>
                <wp:positionH relativeFrom="page">
                  <wp:posOffset>4083430</wp:posOffset>
                </wp:positionH>
                <wp:positionV relativeFrom="paragraph">
                  <wp:posOffset>233425</wp:posOffset>
                </wp:positionV>
                <wp:extent cx="1727835" cy="1079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727835" cy="10795"/>
                        </a:xfrm>
                        <a:custGeom>
                          <a:avLst/>
                          <a:gdLst/>
                          <a:ahLst/>
                          <a:cxnLst/>
                          <a:rect l="l" t="t" r="r" b="b"/>
                          <a:pathLst>
                            <a:path w="1727835" h="10795">
                              <a:moveTo>
                                <a:pt x="1727327" y="0"/>
                              </a:moveTo>
                              <a:lnTo>
                                <a:pt x="0" y="0"/>
                              </a:lnTo>
                              <a:lnTo>
                                <a:pt x="0" y="10668"/>
                              </a:lnTo>
                              <a:lnTo>
                                <a:pt x="1727327" y="10668"/>
                              </a:lnTo>
                              <a:lnTo>
                                <a:pt x="1727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1.529999pt;margin-top:18.379999pt;width:136.01pt;height:.84pt;mso-position-horizontal-relative:page;mso-position-vertical-relative:paragraph;z-index:15734784" id="docshape15" filled="true" fillcolor="#000000" stroked="false">
                <v:fill type="solid"/>
                <w10:wrap type="none"/>
              </v:rect>
            </w:pict>
          </mc:Fallback>
        </mc:AlternateContent>
      </w:r>
      <w:r>
        <w:rPr>
          <w:rFonts w:ascii="Cambria Math"/>
        </w:rPr>
        <w:t>creatinine</w:t>
      </w:r>
      <w:r>
        <w:rPr>
          <w:rFonts w:ascii="Cambria Math"/>
          <w:spacing w:val="-6"/>
        </w:rPr>
        <w:t> </w:t>
      </w:r>
      <w:r>
        <w:rPr>
          <w:rFonts w:ascii="Cambria Math"/>
        </w:rPr>
        <w:t>conc</w:t>
      </w:r>
      <w:r>
        <w:rPr>
          <w:rFonts w:ascii="Cambria Math"/>
          <w:spacing w:val="-3"/>
        </w:rPr>
        <w:t> </w:t>
      </w:r>
      <w:r>
        <w:rPr>
          <w:rFonts w:ascii="Cambria Math"/>
        </w:rPr>
        <w:t>(mg/dl)</w:t>
      </w:r>
      <w:r>
        <w:rPr>
          <w:rFonts w:ascii="Cambria Math"/>
          <w:spacing w:val="10"/>
        </w:rPr>
        <w:t> </w:t>
      </w:r>
      <w:r>
        <w:rPr>
          <w:rFonts w:ascii="Cambria Math"/>
          <w:spacing w:val="-10"/>
        </w:rPr>
        <w:t>=</w:t>
      </w:r>
    </w:p>
    <w:p>
      <w:pPr>
        <w:pStyle w:val="BodyText"/>
        <w:spacing w:line="292" w:lineRule="auto" w:before="33"/>
        <w:ind w:left="169" w:right="2789" w:hanging="142"/>
        <w:rPr>
          <w:rFonts w:ascii="Cambria Math" w:hAnsi="Cambria Math"/>
        </w:rPr>
      </w:pPr>
      <w:r>
        <w:rPr/>
        <w:br w:type="column"/>
      </w:r>
      <w:r>
        <w:rPr>
          <w:rFonts w:ascii="Cambria Math" w:hAnsi="Cambria Math"/>
        </w:rPr>
        <w:t>Absorbance</w:t>
      </w:r>
      <w:r>
        <w:rPr>
          <w:rFonts w:ascii="Cambria Math" w:hAnsi="Cambria Math"/>
          <w:spacing w:val="-9"/>
        </w:rPr>
        <w:t> </w:t>
      </w:r>
      <w:r>
        <w:rPr>
          <w:rFonts w:ascii="Cambria Math" w:hAnsi="Cambria Math"/>
        </w:rPr>
        <w:t>of</w:t>
      </w:r>
      <w:r>
        <w:rPr>
          <w:rFonts w:ascii="Cambria Math" w:hAnsi="Cambria Math"/>
          <w:spacing w:val="-8"/>
        </w:rPr>
        <w:t> </w:t>
      </w:r>
      <w:r>
        <w:rPr>
          <w:rFonts w:ascii="Cambria Math" w:hAnsi="Cambria Math"/>
        </w:rPr>
        <w:t>sample</w:t>
      </w:r>
      <w:r>
        <w:rPr>
          <w:rFonts w:ascii="Cambria Math" w:hAnsi="Cambria Math"/>
          <w:spacing w:val="35"/>
        </w:rPr>
        <w:t> </w:t>
      </w:r>
      <w:r>
        <w:rPr>
          <w:rFonts w:ascii="Cambria Math" w:hAnsi="Cambria Math"/>
        </w:rPr>
        <w:t>×</w:t>
      </w:r>
      <w:r>
        <w:rPr>
          <w:rFonts w:ascii="Cambria Math" w:hAnsi="Cambria Math"/>
          <w:spacing w:val="-7"/>
        </w:rPr>
        <w:t> </w:t>
      </w:r>
      <w:r>
        <w:rPr>
          <w:rFonts w:ascii="Cambria Math" w:hAnsi="Cambria Math"/>
        </w:rPr>
        <w:t>2 Absorbance of standard</w:t>
      </w:r>
    </w:p>
    <w:p>
      <w:pPr>
        <w:spacing w:after="0" w:line="292" w:lineRule="auto"/>
        <w:rPr>
          <w:rFonts w:ascii="Cambria Math" w:hAnsi="Cambria Math"/>
        </w:rPr>
        <w:sectPr>
          <w:pgSz w:w="12240" w:h="15840"/>
          <w:pgMar w:header="0" w:footer="1015" w:top="1380" w:bottom="1200" w:left="1720" w:right="300"/>
          <w:cols w:num="2" w:equalWidth="0">
            <w:col w:w="4643" w:space="40"/>
            <w:col w:w="5537"/>
          </w:cols>
        </w:sectPr>
      </w:pPr>
    </w:p>
    <w:p>
      <w:pPr>
        <w:pStyle w:val="BodyText"/>
        <w:rPr>
          <w:rFonts w:ascii="Cambria Math"/>
        </w:rPr>
      </w:pPr>
    </w:p>
    <w:p>
      <w:pPr>
        <w:pStyle w:val="BodyText"/>
        <w:spacing w:before="150"/>
        <w:rPr>
          <w:rFonts w:ascii="Cambria Math"/>
        </w:rPr>
      </w:pPr>
    </w:p>
    <w:p>
      <w:pPr>
        <w:pStyle w:val="ListParagraph"/>
        <w:numPr>
          <w:ilvl w:val="3"/>
          <w:numId w:val="15"/>
        </w:numPr>
        <w:tabs>
          <w:tab w:pos="1016" w:val="left" w:leader="none"/>
        </w:tabs>
        <w:spacing w:line="240" w:lineRule="auto" w:before="0" w:after="0"/>
        <w:ind w:left="1016" w:right="0" w:hanging="720"/>
        <w:jc w:val="left"/>
        <w:rPr>
          <w:i/>
          <w:sz w:val="24"/>
        </w:rPr>
      </w:pPr>
      <w:r>
        <w:rPr>
          <w:i/>
          <w:sz w:val="24"/>
        </w:rPr>
        <w:t>Serum</w:t>
      </w:r>
      <w:r>
        <w:rPr>
          <w:i/>
          <w:spacing w:val="-1"/>
          <w:sz w:val="24"/>
        </w:rPr>
        <w:t> </w:t>
      </w:r>
      <w:r>
        <w:rPr>
          <w:i/>
          <w:sz w:val="24"/>
        </w:rPr>
        <w:t>total </w:t>
      </w:r>
      <w:r>
        <w:rPr>
          <w:i/>
          <w:spacing w:val="-2"/>
          <w:sz w:val="24"/>
        </w:rPr>
        <w:t>protein</w:t>
      </w:r>
    </w:p>
    <w:p>
      <w:pPr>
        <w:pStyle w:val="BodyText"/>
        <w:rPr>
          <w:i/>
        </w:rPr>
      </w:pPr>
    </w:p>
    <w:p>
      <w:pPr>
        <w:pStyle w:val="BodyText"/>
        <w:spacing w:line="480" w:lineRule="auto"/>
        <w:ind w:left="296" w:right="1139"/>
        <w:jc w:val="both"/>
      </w:pPr>
      <w:r>
        <w:rPr/>
        <w:t>Three test tubes were prepared and labeled as blank, standard and sample respectively. 1000 µl of the working reagent was added to all the test tubes. In addition, 20 µl of standard total protein (6 g/dl) and serum were added to the test tubes labeled standard and sample respectively. The content of each test tube was properly mixed and each test tube was incubated</w:t>
      </w:r>
      <w:r>
        <w:rPr>
          <w:spacing w:val="-1"/>
        </w:rPr>
        <w:t> </w:t>
      </w:r>
      <w:r>
        <w:rPr/>
        <w:t>for</w:t>
      </w:r>
      <w:r>
        <w:rPr>
          <w:spacing w:val="-1"/>
        </w:rPr>
        <w:t> </w:t>
      </w:r>
      <w:r>
        <w:rPr/>
        <w:t>10 minutes</w:t>
      </w:r>
      <w:r>
        <w:rPr>
          <w:spacing w:val="-1"/>
        </w:rPr>
        <w:t> </w:t>
      </w:r>
      <w:r>
        <w:rPr/>
        <w:t>at a</w:t>
      </w:r>
      <w:r>
        <w:rPr>
          <w:spacing w:val="-1"/>
        </w:rPr>
        <w:t> </w:t>
      </w:r>
      <w:r>
        <w:rPr/>
        <w:t>temperature</w:t>
      </w:r>
      <w:r>
        <w:rPr>
          <w:spacing w:val="-2"/>
        </w:rPr>
        <w:t> </w:t>
      </w:r>
      <w:r>
        <w:rPr/>
        <w:t>of</w:t>
      </w:r>
      <w:r>
        <w:rPr>
          <w:spacing w:val="-1"/>
        </w:rPr>
        <w:t> </w:t>
      </w:r>
      <w:r>
        <w:rPr/>
        <w:t>37ºC. The</w:t>
      </w:r>
      <w:r>
        <w:rPr>
          <w:spacing w:val="-2"/>
        </w:rPr>
        <w:t> </w:t>
      </w:r>
      <w:r>
        <w:rPr/>
        <w:t>absorbance</w:t>
      </w:r>
      <w:r>
        <w:rPr>
          <w:spacing w:val="-1"/>
        </w:rPr>
        <w:t> </w:t>
      </w:r>
      <w:r>
        <w:rPr/>
        <w:t>of</w:t>
      </w:r>
      <w:r>
        <w:rPr>
          <w:spacing w:val="-1"/>
        </w:rPr>
        <w:t> </w:t>
      </w:r>
      <w:r>
        <w:rPr/>
        <w:t>the</w:t>
      </w:r>
      <w:r>
        <w:rPr>
          <w:spacing w:val="-1"/>
        </w:rPr>
        <w:t> </w:t>
      </w:r>
      <w:r>
        <w:rPr/>
        <w:t>standard</w:t>
      </w:r>
      <w:r>
        <w:rPr>
          <w:spacing w:val="-1"/>
        </w:rPr>
        <w:t> </w:t>
      </w:r>
      <w:r>
        <w:rPr/>
        <w:t>and sample against the reagent blank were measured using a spectrophotometer. The concentration of serum protein was then calculated as follows:</w:t>
      </w:r>
    </w:p>
    <w:p>
      <w:pPr>
        <w:pStyle w:val="BodyText"/>
        <w:rPr>
          <w:sz w:val="20"/>
        </w:rPr>
      </w:pPr>
    </w:p>
    <w:p>
      <w:pPr>
        <w:pStyle w:val="BodyText"/>
        <w:spacing w:before="16"/>
        <w:rPr>
          <w:sz w:val="20"/>
        </w:rPr>
      </w:pPr>
    </w:p>
    <w:p>
      <w:pPr>
        <w:spacing w:after="0"/>
        <w:rPr>
          <w:sz w:val="20"/>
        </w:rPr>
        <w:sectPr>
          <w:type w:val="continuous"/>
          <w:pgSz w:w="12240" w:h="15840"/>
          <w:pgMar w:header="0" w:footer="1015" w:top="1360" w:bottom="1200" w:left="1720" w:right="300"/>
        </w:sectPr>
      </w:pPr>
    </w:p>
    <w:p>
      <w:pPr>
        <w:pStyle w:val="BodyText"/>
        <w:spacing w:before="241"/>
        <w:ind w:left="2188"/>
        <w:rPr>
          <w:rFonts w:ascii="Cambria Math"/>
        </w:rPr>
      </w:pPr>
      <w:r>
        <w:rPr/>
        <mc:AlternateContent>
          <mc:Choice Requires="wps">
            <w:drawing>
              <wp:anchor distT="0" distB="0" distL="0" distR="0" allowOverlap="1" layoutInCell="1" locked="0" behindDoc="0" simplePos="0" relativeHeight="15735296">
                <wp:simplePos x="0" y="0"/>
                <wp:positionH relativeFrom="page">
                  <wp:posOffset>3931030</wp:posOffset>
                </wp:positionH>
                <wp:positionV relativeFrom="paragraph">
                  <wp:posOffset>249138</wp:posOffset>
                </wp:positionV>
                <wp:extent cx="1727200" cy="107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727200" cy="10795"/>
                        </a:xfrm>
                        <a:custGeom>
                          <a:avLst/>
                          <a:gdLst/>
                          <a:ahLst/>
                          <a:cxnLst/>
                          <a:rect l="l" t="t" r="r" b="b"/>
                          <a:pathLst>
                            <a:path w="1727200" h="10795">
                              <a:moveTo>
                                <a:pt x="1726946" y="0"/>
                              </a:moveTo>
                              <a:lnTo>
                                <a:pt x="0" y="0"/>
                              </a:lnTo>
                              <a:lnTo>
                                <a:pt x="0" y="10667"/>
                              </a:lnTo>
                              <a:lnTo>
                                <a:pt x="1726946" y="10667"/>
                              </a:lnTo>
                              <a:lnTo>
                                <a:pt x="1726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9.529999pt;margin-top:19.617188pt;width:135.980pt;height:.84pt;mso-position-horizontal-relative:page;mso-position-vertical-relative:paragraph;z-index:15735296" id="docshape16" filled="true" fillcolor="#000000" stroked="false">
                <v:fill type="solid"/>
                <w10:wrap type="none"/>
              </v:rect>
            </w:pict>
          </mc:Fallback>
        </mc:AlternateContent>
      </w:r>
      <w:r>
        <w:rPr>
          <w:rFonts w:ascii="Cambria Math"/>
        </w:rPr>
        <w:t>Protein</w:t>
      </w:r>
      <w:r>
        <w:rPr>
          <w:rFonts w:ascii="Cambria Math"/>
          <w:spacing w:val="-6"/>
        </w:rPr>
        <w:t> </w:t>
      </w:r>
      <w:r>
        <w:rPr>
          <w:rFonts w:ascii="Cambria Math"/>
        </w:rPr>
        <w:t>conc</w:t>
      </w:r>
      <w:r>
        <w:rPr>
          <w:rFonts w:ascii="Cambria Math"/>
          <w:spacing w:val="-3"/>
        </w:rPr>
        <w:t> </w:t>
      </w:r>
      <w:r>
        <w:rPr>
          <w:rFonts w:ascii="Cambria Math"/>
        </w:rPr>
        <w:t>(g/dl)</w:t>
      </w:r>
      <w:r>
        <w:rPr>
          <w:rFonts w:ascii="Cambria Math"/>
          <w:spacing w:val="11"/>
        </w:rPr>
        <w:t> </w:t>
      </w:r>
      <w:r>
        <w:rPr>
          <w:rFonts w:ascii="Cambria Math"/>
          <w:spacing w:val="-10"/>
        </w:rPr>
        <w:t>=</w:t>
      </w:r>
    </w:p>
    <w:p>
      <w:pPr>
        <w:pStyle w:val="BodyText"/>
        <w:spacing w:line="292" w:lineRule="auto" w:before="58"/>
        <w:ind w:left="169" w:right="3029" w:hanging="142"/>
        <w:rPr>
          <w:rFonts w:ascii="Cambria Math" w:hAnsi="Cambria Math"/>
        </w:rPr>
      </w:pPr>
      <w:r>
        <w:rPr/>
        <w:br w:type="column"/>
      </w:r>
      <w:r>
        <w:rPr>
          <w:rFonts w:ascii="Cambria Math" w:hAnsi="Cambria Math"/>
        </w:rPr>
        <w:t>Absorbance</w:t>
      </w:r>
      <w:r>
        <w:rPr>
          <w:rFonts w:ascii="Cambria Math" w:hAnsi="Cambria Math"/>
          <w:spacing w:val="-9"/>
        </w:rPr>
        <w:t> </w:t>
      </w:r>
      <w:r>
        <w:rPr>
          <w:rFonts w:ascii="Cambria Math" w:hAnsi="Cambria Math"/>
        </w:rPr>
        <w:t>of</w:t>
      </w:r>
      <w:r>
        <w:rPr>
          <w:rFonts w:ascii="Cambria Math" w:hAnsi="Cambria Math"/>
          <w:spacing w:val="-8"/>
        </w:rPr>
        <w:t> </w:t>
      </w:r>
      <w:r>
        <w:rPr>
          <w:rFonts w:ascii="Cambria Math" w:hAnsi="Cambria Math"/>
        </w:rPr>
        <w:t>sample</w:t>
      </w:r>
      <w:r>
        <w:rPr>
          <w:rFonts w:ascii="Cambria Math" w:hAnsi="Cambria Math"/>
          <w:spacing w:val="38"/>
        </w:rPr>
        <w:t> </w:t>
      </w:r>
      <w:r>
        <w:rPr>
          <w:rFonts w:ascii="Cambria Math" w:hAnsi="Cambria Math"/>
        </w:rPr>
        <w:t>×</w:t>
      </w:r>
      <w:r>
        <w:rPr>
          <w:rFonts w:ascii="Cambria Math" w:hAnsi="Cambria Math"/>
          <w:spacing w:val="-9"/>
        </w:rPr>
        <w:t> </w:t>
      </w:r>
      <w:r>
        <w:rPr>
          <w:rFonts w:ascii="Cambria Math" w:hAnsi="Cambria Math"/>
        </w:rPr>
        <w:t>6 Absorbance of standard</w:t>
      </w:r>
    </w:p>
    <w:p>
      <w:pPr>
        <w:spacing w:after="0" w:line="292" w:lineRule="auto"/>
        <w:rPr>
          <w:rFonts w:ascii="Cambria Math" w:hAnsi="Cambria Math"/>
        </w:rPr>
        <w:sectPr>
          <w:type w:val="continuous"/>
          <w:pgSz w:w="12240" w:h="15840"/>
          <w:pgMar w:header="0" w:footer="1015" w:top="1360" w:bottom="1200" w:left="1720" w:right="300"/>
          <w:cols w:num="2" w:equalWidth="0">
            <w:col w:w="4403" w:space="40"/>
            <w:col w:w="5777"/>
          </w:cols>
        </w:sectPr>
      </w:pPr>
    </w:p>
    <w:p>
      <w:pPr>
        <w:pStyle w:val="BodyText"/>
        <w:rPr>
          <w:rFonts w:ascii="Cambria Math"/>
        </w:rPr>
      </w:pPr>
    </w:p>
    <w:p>
      <w:pPr>
        <w:pStyle w:val="BodyText"/>
        <w:spacing w:before="152"/>
        <w:rPr>
          <w:rFonts w:ascii="Cambria Math"/>
        </w:rPr>
      </w:pPr>
    </w:p>
    <w:p>
      <w:pPr>
        <w:pStyle w:val="ListParagraph"/>
        <w:numPr>
          <w:ilvl w:val="3"/>
          <w:numId w:val="15"/>
        </w:numPr>
        <w:tabs>
          <w:tab w:pos="1016" w:val="left" w:leader="none"/>
        </w:tabs>
        <w:spacing w:line="240" w:lineRule="auto" w:before="0" w:after="0"/>
        <w:ind w:left="1016" w:right="0" w:hanging="720"/>
        <w:jc w:val="both"/>
        <w:rPr>
          <w:i/>
          <w:sz w:val="24"/>
        </w:rPr>
      </w:pPr>
      <w:r>
        <w:rPr>
          <w:i/>
          <w:sz w:val="24"/>
        </w:rPr>
        <w:t>Serum</w:t>
      </w:r>
      <w:r>
        <w:rPr>
          <w:i/>
          <w:spacing w:val="-1"/>
          <w:sz w:val="24"/>
        </w:rPr>
        <w:t> </w:t>
      </w:r>
      <w:r>
        <w:rPr>
          <w:i/>
          <w:spacing w:val="-2"/>
          <w:sz w:val="24"/>
        </w:rPr>
        <w:t>albumin</w:t>
      </w:r>
    </w:p>
    <w:p>
      <w:pPr>
        <w:pStyle w:val="BodyText"/>
        <w:spacing w:line="480" w:lineRule="auto" w:before="274"/>
        <w:ind w:left="296" w:right="1136"/>
        <w:jc w:val="both"/>
      </w:pPr>
      <w:r>
        <w:rPr/>
        <w:t>Three test tubes labeled blank, standard and sample were prepared. 1000 µl of the working reagent was added to the respective test tubes. 10 µl of standard albumin (3 g/dl) and 10 µl of serum were added to the test tubes labeled standard and sample respectively. The</w:t>
      </w:r>
      <w:r>
        <w:rPr>
          <w:spacing w:val="40"/>
        </w:rPr>
        <w:t> </w:t>
      </w:r>
      <w:r>
        <w:rPr/>
        <w:t>content</w:t>
      </w:r>
      <w:r>
        <w:rPr>
          <w:spacing w:val="-3"/>
        </w:rPr>
        <w:t> </w:t>
      </w:r>
      <w:r>
        <w:rPr/>
        <w:t>of</w:t>
      </w:r>
      <w:r>
        <w:rPr>
          <w:spacing w:val="-4"/>
        </w:rPr>
        <w:t> </w:t>
      </w:r>
      <w:r>
        <w:rPr/>
        <w:t>the</w:t>
      </w:r>
      <w:r>
        <w:rPr>
          <w:spacing w:val="-2"/>
        </w:rPr>
        <w:t> </w:t>
      </w:r>
      <w:r>
        <w:rPr/>
        <w:t>respective</w:t>
      </w:r>
      <w:r>
        <w:rPr>
          <w:spacing w:val="-2"/>
        </w:rPr>
        <w:t> </w:t>
      </w:r>
      <w:r>
        <w:rPr/>
        <w:t>test</w:t>
      </w:r>
      <w:r>
        <w:rPr>
          <w:spacing w:val="-3"/>
        </w:rPr>
        <w:t> </w:t>
      </w:r>
      <w:r>
        <w:rPr/>
        <w:t>tubes</w:t>
      </w:r>
      <w:r>
        <w:rPr>
          <w:spacing w:val="-3"/>
        </w:rPr>
        <w:t> </w:t>
      </w:r>
      <w:r>
        <w:rPr/>
        <w:t>were</w:t>
      </w:r>
      <w:r>
        <w:rPr>
          <w:spacing w:val="-4"/>
        </w:rPr>
        <w:t> </w:t>
      </w:r>
      <w:r>
        <w:rPr/>
        <w:t>mixed</w:t>
      </w:r>
      <w:r>
        <w:rPr>
          <w:spacing w:val="-3"/>
        </w:rPr>
        <w:t> </w:t>
      </w:r>
      <w:r>
        <w:rPr/>
        <w:t>and</w:t>
      </w:r>
      <w:r>
        <w:rPr>
          <w:spacing w:val="-3"/>
        </w:rPr>
        <w:t> </w:t>
      </w:r>
      <w:r>
        <w:rPr/>
        <w:t>incubated</w:t>
      </w:r>
      <w:r>
        <w:rPr>
          <w:spacing w:val="-3"/>
        </w:rPr>
        <w:t> </w:t>
      </w:r>
      <w:r>
        <w:rPr/>
        <w:t>for 1</w:t>
      </w:r>
      <w:r>
        <w:rPr>
          <w:spacing w:val="-3"/>
        </w:rPr>
        <w:t> </w:t>
      </w:r>
      <w:r>
        <w:rPr/>
        <w:t>minute.</w:t>
      </w:r>
      <w:r>
        <w:rPr>
          <w:spacing w:val="-2"/>
        </w:rPr>
        <w:t> </w:t>
      </w:r>
      <w:r>
        <w:rPr/>
        <w:t>The</w:t>
      </w:r>
      <w:r>
        <w:rPr>
          <w:spacing w:val="-5"/>
        </w:rPr>
        <w:t> </w:t>
      </w:r>
      <w:r>
        <w:rPr/>
        <w:t>absorbance of the standard and the sample were then measured against the reagent blank using a spectrophotometer. The serum concentration of albumin was calculated using the formular </w:t>
      </w:r>
      <w:r>
        <w:rPr>
          <w:spacing w:val="-2"/>
        </w:rPr>
        <w:t>below:</w:t>
      </w:r>
    </w:p>
    <w:p>
      <w:pPr>
        <w:spacing w:after="0" w:line="480" w:lineRule="auto"/>
        <w:jc w:val="both"/>
        <w:sectPr>
          <w:type w:val="continuous"/>
          <w:pgSz w:w="12240" w:h="15840"/>
          <w:pgMar w:header="0" w:footer="1015" w:top="1360" w:bottom="1200" w:left="1720" w:right="300"/>
        </w:sectPr>
      </w:pPr>
    </w:p>
    <w:p>
      <w:pPr>
        <w:pStyle w:val="BodyText"/>
        <w:spacing w:before="216"/>
        <w:ind w:left="2127"/>
        <w:rPr>
          <w:rFonts w:ascii="Cambria Math"/>
        </w:rPr>
      </w:pPr>
      <w:r>
        <w:rPr/>
        <mc:AlternateContent>
          <mc:Choice Requires="wps">
            <w:drawing>
              <wp:anchor distT="0" distB="0" distL="0" distR="0" allowOverlap="1" layoutInCell="1" locked="0" behindDoc="0" simplePos="0" relativeHeight="15735808">
                <wp:simplePos x="0" y="0"/>
                <wp:positionH relativeFrom="page">
                  <wp:posOffset>3969130</wp:posOffset>
                </wp:positionH>
                <wp:positionV relativeFrom="paragraph">
                  <wp:posOffset>233425</wp:posOffset>
                </wp:positionV>
                <wp:extent cx="1727200"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727200" cy="10795"/>
                        </a:xfrm>
                        <a:custGeom>
                          <a:avLst/>
                          <a:gdLst/>
                          <a:ahLst/>
                          <a:cxnLst/>
                          <a:rect l="l" t="t" r="r" b="b"/>
                          <a:pathLst>
                            <a:path w="1727200" h="10795">
                              <a:moveTo>
                                <a:pt x="1726946" y="0"/>
                              </a:moveTo>
                              <a:lnTo>
                                <a:pt x="0" y="0"/>
                              </a:lnTo>
                              <a:lnTo>
                                <a:pt x="0" y="10668"/>
                              </a:lnTo>
                              <a:lnTo>
                                <a:pt x="1726946" y="10668"/>
                              </a:lnTo>
                              <a:lnTo>
                                <a:pt x="1726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2.529999pt;margin-top:18.379999pt;width:135.980pt;height:.84pt;mso-position-horizontal-relative:page;mso-position-vertical-relative:paragraph;z-index:15735808" id="docshape17" filled="true" fillcolor="#000000" stroked="false">
                <v:fill type="solid"/>
                <w10:wrap type="none"/>
              </v:rect>
            </w:pict>
          </mc:Fallback>
        </mc:AlternateContent>
      </w:r>
      <w:r>
        <w:rPr>
          <w:rFonts w:ascii="Cambria Math"/>
        </w:rPr>
        <w:t>Albumin</w:t>
      </w:r>
      <w:r>
        <w:rPr>
          <w:rFonts w:ascii="Cambria Math"/>
          <w:spacing w:val="-3"/>
        </w:rPr>
        <w:t> </w:t>
      </w:r>
      <w:r>
        <w:rPr>
          <w:rFonts w:ascii="Cambria Math"/>
        </w:rPr>
        <w:t>conc</w:t>
      </w:r>
      <w:r>
        <w:rPr>
          <w:rFonts w:ascii="Cambria Math"/>
          <w:spacing w:val="-3"/>
        </w:rPr>
        <w:t> </w:t>
      </w:r>
      <w:r>
        <w:rPr>
          <w:rFonts w:ascii="Cambria Math"/>
        </w:rPr>
        <w:t>(g/dl)</w:t>
      </w:r>
      <w:r>
        <w:rPr>
          <w:rFonts w:ascii="Cambria Math"/>
          <w:spacing w:val="11"/>
        </w:rPr>
        <w:t> </w:t>
      </w:r>
      <w:r>
        <w:rPr>
          <w:rFonts w:ascii="Cambria Math"/>
          <w:spacing w:val="-10"/>
        </w:rPr>
        <w:t>=</w:t>
      </w:r>
    </w:p>
    <w:p>
      <w:pPr>
        <w:pStyle w:val="BodyText"/>
        <w:spacing w:line="292" w:lineRule="auto" w:before="33"/>
        <w:ind w:left="167" w:right="2966" w:hanging="142"/>
        <w:rPr>
          <w:rFonts w:ascii="Cambria Math" w:hAnsi="Cambria Math"/>
        </w:rPr>
      </w:pPr>
      <w:r>
        <w:rPr/>
        <w:br w:type="column"/>
      </w:r>
      <w:r>
        <w:rPr>
          <w:rFonts w:ascii="Cambria Math" w:hAnsi="Cambria Math"/>
        </w:rPr>
        <w:t>Absorbance</w:t>
      </w:r>
      <w:r>
        <w:rPr>
          <w:rFonts w:ascii="Cambria Math" w:hAnsi="Cambria Math"/>
          <w:spacing w:val="-9"/>
        </w:rPr>
        <w:t> </w:t>
      </w:r>
      <w:r>
        <w:rPr>
          <w:rFonts w:ascii="Cambria Math" w:hAnsi="Cambria Math"/>
        </w:rPr>
        <w:t>of</w:t>
      </w:r>
      <w:r>
        <w:rPr>
          <w:rFonts w:ascii="Cambria Math" w:hAnsi="Cambria Math"/>
          <w:spacing w:val="-9"/>
        </w:rPr>
        <w:t> </w:t>
      </w:r>
      <w:r>
        <w:rPr>
          <w:rFonts w:ascii="Cambria Math" w:hAnsi="Cambria Math"/>
        </w:rPr>
        <w:t>sample</w:t>
      </w:r>
      <w:r>
        <w:rPr>
          <w:rFonts w:ascii="Cambria Math" w:hAnsi="Cambria Math"/>
          <w:spacing w:val="38"/>
        </w:rPr>
        <w:t> </w:t>
      </w:r>
      <w:r>
        <w:rPr>
          <w:rFonts w:ascii="Cambria Math" w:hAnsi="Cambria Math"/>
        </w:rPr>
        <w:t>×</w:t>
      </w:r>
      <w:r>
        <w:rPr>
          <w:rFonts w:ascii="Cambria Math" w:hAnsi="Cambria Math"/>
          <w:spacing w:val="-7"/>
        </w:rPr>
        <w:t> </w:t>
      </w:r>
      <w:r>
        <w:rPr>
          <w:rFonts w:ascii="Cambria Math" w:hAnsi="Cambria Math"/>
        </w:rPr>
        <w:t>3 Absorbance of standard</w:t>
      </w:r>
    </w:p>
    <w:p>
      <w:pPr>
        <w:spacing w:after="0" w:line="292" w:lineRule="auto"/>
        <w:rPr>
          <w:rFonts w:ascii="Cambria Math" w:hAnsi="Cambria Math"/>
        </w:rPr>
        <w:sectPr>
          <w:pgSz w:w="12240" w:h="15840"/>
          <w:pgMar w:header="0" w:footer="1015" w:top="1380" w:bottom="1200" w:left="1720" w:right="300"/>
          <w:cols w:num="2" w:equalWidth="0">
            <w:col w:w="4466" w:space="40"/>
            <w:col w:w="5714"/>
          </w:cols>
        </w:sectPr>
      </w:pPr>
    </w:p>
    <w:p>
      <w:pPr>
        <w:pStyle w:val="BodyText"/>
        <w:rPr>
          <w:rFonts w:ascii="Cambria Math"/>
        </w:rPr>
      </w:pPr>
    </w:p>
    <w:p>
      <w:pPr>
        <w:pStyle w:val="BodyText"/>
        <w:spacing w:before="150"/>
        <w:rPr>
          <w:rFonts w:ascii="Cambria Math"/>
        </w:rPr>
      </w:pPr>
    </w:p>
    <w:p>
      <w:pPr>
        <w:pStyle w:val="ListParagraph"/>
        <w:numPr>
          <w:ilvl w:val="3"/>
          <w:numId w:val="15"/>
        </w:numPr>
        <w:tabs>
          <w:tab w:pos="1016" w:val="left" w:leader="none"/>
        </w:tabs>
        <w:spacing w:line="240" w:lineRule="auto" w:before="0" w:after="0"/>
        <w:ind w:left="1016" w:right="0" w:hanging="720"/>
        <w:jc w:val="left"/>
        <w:rPr>
          <w:i/>
          <w:sz w:val="24"/>
        </w:rPr>
      </w:pPr>
      <w:r>
        <w:rPr>
          <w:i/>
          <w:sz w:val="24"/>
        </w:rPr>
        <w:t>Serum</w:t>
      </w:r>
      <w:r>
        <w:rPr>
          <w:i/>
          <w:spacing w:val="-3"/>
          <w:sz w:val="24"/>
        </w:rPr>
        <w:t> </w:t>
      </w:r>
      <w:r>
        <w:rPr>
          <w:i/>
          <w:sz w:val="24"/>
        </w:rPr>
        <w:t>uric </w:t>
      </w:r>
      <w:r>
        <w:rPr>
          <w:i/>
          <w:spacing w:val="-4"/>
          <w:sz w:val="24"/>
        </w:rPr>
        <w:t>acid</w:t>
      </w:r>
    </w:p>
    <w:p>
      <w:pPr>
        <w:pStyle w:val="BodyText"/>
        <w:rPr>
          <w:i/>
        </w:rPr>
      </w:pPr>
    </w:p>
    <w:p>
      <w:pPr>
        <w:pStyle w:val="BodyText"/>
        <w:spacing w:line="480" w:lineRule="auto"/>
        <w:ind w:left="296" w:right="1136"/>
        <w:jc w:val="both"/>
      </w:pPr>
      <w:r>
        <w:rPr/>
        <w:t>Three test tubes were prepared and labeled blank, standard and sample. 1000 µl of the working reagent was added to all the test tubes. In addition, 25 µl of standard uric acid (8 mg/dl) and serum were added to the test tubes labeled standard and sample respectively. The content of each test tube was properly mixed and then incubated for 5 minutes at a temperature of 37ºC.</w:t>
      </w:r>
      <w:r>
        <w:rPr>
          <w:spacing w:val="40"/>
        </w:rPr>
        <w:t> </w:t>
      </w:r>
      <w:r>
        <w:rPr/>
        <w:t>Afterwards, the absorbance of the sample and standard were measured against the reagent blank using a spectrophotometer. The serum uric acid concentration was calculated using the following formular:</w:t>
      </w:r>
    </w:p>
    <w:p>
      <w:pPr>
        <w:pStyle w:val="BodyText"/>
        <w:rPr>
          <w:sz w:val="20"/>
        </w:rPr>
      </w:pPr>
    </w:p>
    <w:p>
      <w:pPr>
        <w:pStyle w:val="BodyText"/>
        <w:spacing w:before="16"/>
        <w:rPr>
          <w:sz w:val="20"/>
        </w:rPr>
      </w:pPr>
    </w:p>
    <w:p>
      <w:pPr>
        <w:spacing w:after="0"/>
        <w:rPr>
          <w:sz w:val="20"/>
        </w:rPr>
        <w:sectPr>
          <w:type w:val="continuous"/>
          <w:pgSz w:w="12240" w:h="15840"/>
          <w:pgMar w:header="0" w:footer="1015" w:top="1360" w:bottom="1200" w:left="1720" w:right="300"/>
        </w:sectPr>
      </w:pPr>
    </w:p>
    <w:p>
      <w:pPr>
        <w:pStyle w:val="BodyText"/>
        <w:spacing w:before="241"/>
        <w:ind w:left="2014"/>
        <w:rPr>
          <w:rFonts w:ascii="Cambria Math"/>
        </w:rPr>
      </w:pPr>
      <w:r>
        <w:rPr/>
        <mc:AlternateContent>
          <mc:Choice Requires="wps">
            <w:drawing>
              <wp:anchor distT="0" distB="0" distL="0" distR="0" allowOverlap="1" layoutInCell="1" locked="0" behindDoc="0" simplePos="0" relativeHeight="15736320">
                <wp:simplePos x="0" y="0"/>
                <wp:positionH relativeFrom="page">
                  <wp:posOffset>4040759</wp:posOffset>
                </wp:positionH>
                <wp:positionV relativeFrom="paragraph">
                  <wp:posOffset>249138</wp:posOffset>
                </wp:positionV>
                <wp:extent cx="1727200"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727200" cy="10795"/>
                        </a:xfrm>
                        <a:custGeom>
                          <a:avLst/>
                          <a:gdLst/>
                          <a:ahLst/>
                          <a:cxnLst/>
                          <a:rect l="l" t="t" r="r" b="b"/>
                          <a:pathLst>
                            <a:path w="1727200" h="10795">
                              <a:moveTo>
                                <a:pt x="1726945" y="0"/>
                              </a:moveTo>
                              <a:lnTo>
                                <a:pt x="0" y="0"/>
                              </a:lnTo>
                              <a:lnTo>
                                <a:pt x="0" y="10667"/>
                              </a:lnTo>
                              <a:lnTo>
                                <a:pt x="1726945" y="10667"/>
                              </a:lnTo>
                              <a:lnTo>
                                <a:pt x="17269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8.170013pt;margin-top:19.617188pt;width:135.980pt;height:.84pt;mso-position-horizontal-relative:page;mso-position-vertical-relative:paragraph;z-index:15736320" id="docshape18" filled="true" fillcolor="#000000" stroked="false">
                <v:fill type="solid"/>
                <w10:wrap type="none"/>
              </v:rect>
            </w:pict>
          </mc:Fallback>
        </mc:AlternateContent>
      </w:r>
      <w:r>
        <w:rPr>
          <w:rFonts w:ascii="Cambria Math"/>
        </w:rPr>
        <w:t>Uric</w:t>
      </w:r>
      <w:r>
        <w:rPr>
          <w:rFonts w:ascii="Cambria Math"/>
          <w:spacing w:val="-2"/>
        </w:rPr>
        <w:t> </w:t>
      </w:r>
      <w:r>
        <w:rPr>
          <w:rFonts w:ascii="Cambria Math"/>
        </w:rPr>
        <w:t>acid</w:t>
      </w:r>
      <w:r>
        <w:rPr>
          <w:rFonts w:ascii="Cambria Math"/>
          <w:spacing w:val="-3"/>
        </w:rPr>
        <w:t> </w:t>
      </w:r>
      <w:r>
        <w:rPr>
          <w:rFonts w:ascii="Cambria Math"/>
        </w:rPr>
        <w:t>conc</w:t>
      </w:r>
      <w:r>
        <w:rPr>
          <w:rFonts w:ascii="Cambria Math"/>
          <w:spacing w:val="1"/>
        </w:rPr>
        <w:t> </w:t>
      </w:r>
      <w:r>
        <w:rPr>
          <w:rFonts w:ascii="Cambria Math"/>
        </w:rPr>
        <w:t>(mg/dl)</w:t>
      </w:r>
      <w:r>
        <w:rPr>
          <w:rFonts w:ascii="Cambria Math"/>
          <w:spacing w:val="14"/>
        </w:rPr>
        <w:t> </w:t>
      </w:r>
      <w:r>
        <w:rPr>
          <w:rFonts w:ascii="Cambria Math"/>
          <w:spacing w:val="-10"/>
        </w:rPr>
        <w:t>=</w:t>
      </w:r>
    </w:p>
    <w:p>
      <w:pPr>
        <w:pStyle w:val="BodyText"/>
        <w:spacing w:line="292" w:lineRule="auto" w:before="58"/>
        <w:ind w:left="167" w:right="2856" w:hanging="142"/>
        <w:rPr>
          <w:rFonts w:ascii="Cambria Math" w:hAnsi="Cambria Math"/>
        </w:rPr>
      </w:pPr>
      <w:r>
        <w:rPr/>
        <w:br w:type="column"/>
      </w:r>
      <w:r>
        <w:rPr>
          <w:rFonts w:ascii="Cambria Math" w:hAnsi="Cambria Math"/>
        </w:rPr>
        <w:t>Absorbance</w:t>
      </w:r>
      <w:r>
        <w:rPr>
          <w:rFonts w:ascii="Cambria Math" w:hAnsi="Cambria Math"/>
          <w:spacing w:val="-9"/>
        </w:rPr>
        <w:t> </w:t>
      </w:r>
      <w:r>
        <w:rPr>
          <w:rFonts w:ascii="Cambria Math" w:hAnsi="Cambria Math"/>
        </w:rPr>
        <w:t>of</w:t>
      </w:r>
      <w:r>
        <w:rPr>
          <w:rFonts w:ascii="Cambria Math" w:hAnsi="Cambria Math"/>
          <w:spacing w:val="-8"/>
        </w:rPr>
        <w:t> </w:t>
      </w:r>
      <w:r>
        <w:rPr>
          <w:rFonts w:ascii="Cambria Math" w:hAnsi="Cambria Math"/>
        </w:rPr>
        <w:t>sample</w:t>
      </w:r>
      <w:r>
        <w:rPr>
          <w:rFonts w:ascii="Cambria Math" w:hAnsi="Cambria Math"/>
          <w:spacing w:val="38"/>
        </w:rPr>
        <w:t> </w:t>
      </w:r>
      <w:r>
        <w:rPr>
          <w:rFonts w:ascii="Cambria Math" w:hAnsi="Cambria Math"/>
        </w:rPr>
        <w:t>×</w:t>
      </w:r>
      <w:r>
        <w:rPr>
          <w:rFonts w:ascii="Cambria Math" w:hAnsi="Cambria Math"/>
          <w:spacing w:val="-9"/>
        </w:rPr>
        <w:t> </w:t>
      </w:r>
      <w:r>
        <w:rPr>
          <w:rFonts w:ascii="Cambria Math" w:hAnsi="Cambria Math"/>
        </w:rPr>
        <w:t>8 Absorbance of standard</w:t>
      </w:r>
    </w:p>
    <w:p>
      <w:pPr>
        <w:spacing w:after="0" w:line="292" w:lineRule="auto"/>
        <w:rPr>
          <w:rFonts w:ascii="Cambria Math" w:hAnsi="Cambria Math"/>
        </w:rPr>
        <w:sectPr>
          <w:type w:val="continuous"/>
          <w:pgSz w:w="12240" w:h="15840"/>
          <w:pgMar w:header="0" w:footer="1015" w:top="1360" w:bottom="1200" w:left="1720" w:right="300"/>
          <w:cols w:num="2" w:equalWidth="0">
            <w:col w:w="4578" w:space="40"/>
            <w:col w:w="5602"/>
          </w:cols>
        </w:sectPr>
      </w:pPr>
    </w:p>
    <w:p>
      <w:pPr>
        <w:pStyle w:val="BodyText"/>
        <w:rPr>
          <w:rFonts w:ascii="Cambria Math"/>
        </w:rPr>
      </w:pPr>
    </w:p>
    <w:p>
      <w:pPr>
        <w:pStyle w:val="BodyText"/>
        <w:spacing w:before="152"/>
        <w:rPr>
          <w:rFonts w:ascii="Cambria Math"/>
        </w:rPr>
      </w:pPr>
    </w:p>
    <w:p>
      <w:pPr>
        <w:pStyle w:val="ListParagraph"/>
        <w:numPr>
          <w:ilvl w:val="3"/>
          <w:numId w:val="15"/>
        </w:numPr>
        <w:tabs>
          <w:tab w:pos="1016" w:val="left" w:leader="none"/>
        </w:tabs>
        <w:spacing w:line="240" w:lineRule="auto" w:before="0" w:after="0"/>
        <w:ind w:left="1016" w:right="0" w:hanging="720"/>
        <w:jc w:val="both"/>
        <w:rPr>
          <w:i/>
          <w:sz w:val="24"/>
        </w:rPr>
      </w:pPr>
      <w:r>
        <w:rPr>
          <w:i/>
          <w:sz w:val="24"/>
        </w:rPr>
        <w:t>Histological</w:t>
      </w:r>
      <w:r>
        <w:rPr>
          <w:i/>
          <w:spacing w:val="-1"/>
          <w:sz w:val="24"/>
        </w:rPr>
        <w:t> </w:t>
      </w:r>
      <w:r>
        <w:rPr>
          <w:i/>
          <w:sz w:val="24"/>
        </w:rPr>
        <w:t>study</w:t>
      </w:r>
      <w:r>
        <w:rPr>
          <w:i/>
          <w:spacing w:val="-2"/>
          <w:sz w:val="24"/>
        </w:rPr>
        <w:t> </w:t>
      </w:r>
      <w:r>
        <w:rPr>
          <w:i/>
          <w:sz w:val="24"/>
        </w:rPr>
        <w:t>of</w:t>
      </w:r>
      <w:r>
        <w:rPr>
          <w:i/>
          <w:spacing w:val="-1"/>
          <w:sz w:val="24"/>
        </w:rPr>
        <w:t> </w:t>
      </w:r>
      <w:r>
        <w:rPr>
          <w:i/>
          <w:sz w:val="24"/>
        </w:rPr>
        <w:t>the</w:t>
      </w:r>
      <w:r>
        <w:rPr>
          <w:i/>
          <w:spacing w:val="-2"/>
          <w:sz w:val="24"/>
        </w:rPr>
        <w:t> kidney</w:t>
      </w:r>
    </w:p>
    <w:p>
      <w:pPr>
        <w:pStyle w:val="BodyText"/>
        <w:spacing w:line="480" w:lineRule="auto" w:before="274"/>
        <w:ind w:left="296" w:right="1136"/>
        <w:jc w:val="both"/>
      </w:pPr>
      <w:r>
        <w:rPr/>
        <w:t>Isolated kidneys for all the groups were fixed in 10% formalin until when they were processed. Kidney tissues (three centimeters thickness) were sliced and kept in an automatic tissue processor and then fixed in 10% buffered formalin-saline solution for 6 hours. They were then dehydrated for 2 hours in ascending grades of alcohol- 70%, 90% and 100% v/v. The dehydrated tissues were cleaned with toluene for 2 hours after which the tissues were embedded in paraffin wax and left to cool. The blocks were trimmed and sectioned on the microtone at 5 microns. The ribbons of sections were floated in a warm water</w:t>
      </w:r>
      <w:r>
        <w:rPr>
          <w:spacing w:val="13"/>
        </w:rPr>
        <w:t> </w:t>
      </w:r>
      <w:r>
        <w:rPr/>
        <w:t>bath.</w:t>
      </w:r>
      <w:r>
        <w:rPr>
          <w:spacing w:val="18"/>
        </w:rPr>
        <w:t> </w:t>
      </w:r>
      <w:r>
        <w:rPr/>
        <w:t>Suitable</w:t>
      </w:r>
      <w:r>
        <w:rPr>
          <w:spacing w:val="17"/>
        </w:rPr>
        <w:t> </w:t>
      </w:r>
      <w:r>
        <w:rPr/>
        <w:t>sections</w:t>
      </w:r>
      <w:r>
        <w:rPr>
          <w:spacing w:val="18"/>
        </w:rPr>
        <w:t> </w:t>
      </w:r>
      <w:r>
        <w:rPr/>
        <w:t>were</w:t>
      </w:r>
      <w:r>
        <w:rPr>
          <w:spacing w:val="64"/>
          <w:w w:val="150"/>
        </w:rPr>
        <w:t> </w:t>
      </w:r>
      <w:r>
        <w:rPr/>
        <w:t>selected,</w:t>
      </w:r>
      <w:r>
        <w:rPr>
          <w:spacing w:val="17"/>
        </w:rPr>
        <w:t> </w:t>
      </w:r>
      <w:r>
        <w:rPr/>
        <w:t>attached</w:t>
      </w:r>
      <w:r>
        <w:rPr>
          <w:spacing w:val="17"/>
        </w:rPr>
        <w:t> </w:t>
      </w:r>
      <w:r>
        <w:rPr/>
        <w:t>to</w:t>
      </w:r>
      <w:r>
        <w:rPr>
          <w:spacing w:val="20"/>
        </w:rPr>
        <w:t> </w:t>
      </w:r>
      <w:r>
        <w:rPr/>
        <w:t>slide</w:t>
      </w:r>
      <w:r>
        <w:rPr>
          <w:spacing w:val="17"/>
        </w:rPr>
        <w:t> </w:t>
      </w:r>
      <w:r>
        <w:rPr/>
        <w:t>and</w:t>
      </w:r>
      <w:r>
        <w:rPr>
          <w:spacing w:val="17"/>
        </w:rPr>
        <w:t> </w:t>
      </w:r>
      <w:r>
        <w:rPr/>
        <w:t>dried</w:t>
      </w:r>
      <w:r>
        <w:rPr>
          <w:spacing w:val="17"/>
        </w:rPr>
        <w:t> </w:t>
      </w:r>
      <w:r>
        <w:rPr/>
        <w:t>on</w:t>
      </w:r>
      <w:r>
        <w:rPr>
          <w:spacing w:val="17"/>
        </w:rPr>
        <w:t> </w:t>
      </w:r>
      <w:r>
        <w:rPr/>
        <w:t>ahot</w:t>
      </w:r>
      <w:r>
        <w:rPr>
          <w:spacing w:val="18"/>
        </w:rPr>
        <w:t> </w:t>
      </w:r>
      <w:r>
        <w:rPr/>
        <w:t>plate</w:t>
      </w:r>
      <w:r>
        <w:rPr>
          <w:spacing w:val="19"/>
        </w:rPr>
        <w:t> </w:t>
      </w:r>
      <w:r>
        <w:rPr>
          <w:spacing w:val="-5"/>
        </w:rPr>
        <w:t>and</w:t>
      </w:r>
    </w:p>
    <w:p>
      <w:pPr>
        <w:spacing w:after="0" w:line="480" w:lineRule="auto"/>
        <w:jc w:val="both"/>
        <w:sectPr>
          <w:type w:val="continuous"/>
          <w:pgSz w:w="12240" w:h="15840"/>
          <w:pgMar w:header="0" w:footer="1015" w:top="1360" w:bottom="1200" w:left="1720" w:right="300"/>
        </w:sectPr>
      </w:pPr>
    </w:p>
    <w:p>
      <w:pPr>
        <w:pStyle w:val="BodyText"/>
        <w:spacing w:line="480" w:lineRule="auto" w:before="72"/>
        <w:ind w:left="296" w:right="1139"/>
        <w:jc w:val="both"/>
      </w:pPr>
      <w:r>
        <w:rPr/>
        <w:t>stained with Haematoxylin and Eosin stain. Sections were dewaxed in xylene, rehydrated</w:t>
      </w:r>
      <w:r>
        <w:rPr>
          <w:spacing w:val="40"/>
        </w:rPr>
        <w:t> </w:t>
      </w:r>
      <w:r>
        <w:rPr/>
        <w:t>in descending grades of alcohol 100%, 90% and 70% v/v, then stained in haematoxylin for 5 minutes, differentiated in 1% acid alcohol, glued in Scott’s tap water and stained with eosin for 3 minutes. Sections were rinsed and dehydrated in ascending grades of alcohol 70%, 90% and 100%, then finally dewaxed in xylene and mounted in a box. The slides were then examined microscopically for pathological lesions (Arthur and John, 1978).</w:t>
      </w:r>
    </w:p>
    <w:p>
      <w:pPr>
        <w:pStyle w:val="BodyText"/>
      </w:pPr>
    </w:p>
    <w:p>
      <w:pPr>
        <w:pStyle w:val="BodyText"/>
        <w:spacing w:before="6"/>
      </w:pPr>
    </w:p>
    <w:p>
      <w:pPr>
        <w:pStyle w:val="Heading2"/>
        <w:numPr>
          <w:ilvl w:val="2"/>
          <w:numId w:val="15"/>
        </w:numPr>
        <w:tabs>
          <w:tab w:pos="1016" w:val="left" w:leader="none"/>
        </w:tabs>
        <w:spacing w:line="240" w:lineRule="auto" w:before="0" w:after="0"/>
        <w:ind w:left="1016" w:right="0" w:hanging="720"/>
        <w:jc w:val="both"/>
      </w:pPr>
      <w:bookmarkStart w:name="_TOC_250026" w:id="55"/>
      <w:r>
        <w:rPr/>
        <w:t>Assessment</w:t>
      </w:r>
      <w:r>
        <w:rPr>
          <w:spacing w:val="-2"/>
        </w:rPr>
        <w:t> </w:t>
      </w:r>
      <w:r>
        <w:rPr/>
        <w:t>of</w:t>
      </w:r>
      <w:bookmarkEnd w:id="55"/>
      <w:r>
        <w:rPr>
          <w:spacing w:val="-2"/>
        </w:rPr>
        <w:t> retinopathy</w:t>
      </w:r>
    </w:p>
    <w:p>
      <w:pPr>
        <w:pStyle w:val="BodyText"/>
        <w:spacing w:line="480" w:lineRule="auto" w:before="271"/>
        <w:ind w:left="296" w:right="1137"/>
        <w:jc w:val="both"/>
      </w:pPr>
      <w:r>
        <w:rPr/>
        <w:t>Markers for diabetic retinopathy</w:t>
      </w:r>
      <w:r>
        <w:rPr>
          <w:spacing w:val="-1"/>
        </w:rPr>
        <w:t> </w:t>
      </w:r>
      <w:r>
        <w:rPr/>
        <w:t>were evaluated as described by Halim and Ali, (2002). At the end of the treatment period (3 weeks), the animals were euthanized with chloroform and blood samples were collected from the jugular vein. The blood samples collected were centrifuged at 2200 rpm for 10 minutes. The serum obtained was used for the</w:t>
      </w:r>
      <w:r>
        <w:rPr>
          <w:spacing w:val="40"/>
        </w:rPr>
        <w:t> </w:t>
      </w:r>
      <w:r>
        <w:rPr/>
        <w:t>determination</w:t>
      </w:r>
      <w:r>
        <w:rPr>
          <w:spacing w:val="-2"/>
        </w:rPr>
        <w:t> </w:t>
      </w:r>
      <w:r>
        <w:rPr/>
        <w:t>of</w:t>
      </w:r>
      <w:r>
        <w:rPr>
          <w:spacing w:val="-3"/>
        </w:rPr>
        <w:t> </w:t>
      </w:r>
      <w:r>
        <w:rPr/>
        <w:t>serum</w:t>
      </w:r>
      <w:r>
        <w:rPr>
          <w:spacing w:val="-1"/>
        </w:rPr>
        <w:t> </w:t>
      </w:r>
      <w:r>
        <w:rPr/>
        <w:t>magnesium,</w:t>
      </w:r>
      <w:r>
        <w:rPr>
          <w:spacing w:val="-2"/>
        </w:rPr>
        <w:t> </w:t>
      </w:r>
      <w:r>
        <w:rPr/>
        <w:t>cholesterol</w:t>
      </w:r>
      <w:r>
        <w:rPr>
          <w:spacing w:val="-2"/>
        </w:rPr>
        <w:t> </w:t>
      </w:r>
      <w:r>
        <w:rPr/>
        <w:t>and</w:t>
      </w:r>
      <w:r>
        <w:rPr>
          <w:spacing w:val="-2"/>
        </w:rPr>
        <w:t> </w:t>
      </w:r>
      <w:r>
        <w:rPr/>
        <w:t>triglyceride</w:t>
      </w:r>
      <w:r>
        <w:rPr>
          <w:spacing w:val="-4"/>
        </w:rPr>
        <w:t> </w:t>
      </w:r>
      <w:r>
        <w:rPr/>
        <w:t>using</w:t>
      </w:r>
      <w:r>
        <w:rPr>
          <w:spacing w:val="-4"/>
        </w:rPr>
        <w:t> </w:t>
      </w:r>
      <w:r>
        <w:rPr/>
        <w:t>Randox®</w:t>
      </w:r>
      <w:r>
        <w:rPr>
          <w:spacing w:val="-2"/>
        </w:rPr>
        <w:t> </w:t>
      </w:r>
      <w:r>
        <w:rPr/>
        <w:t>diagnostic </w:t>
      </w:r>
      <w:r>
        <w:rPr>
          <w:spacing w:val="-2"/>
        </w:rPr>
        <w:t>kits.</w:t>
      </w:r>
    </w:p>
    <w:p>
      <w:pPr>
        <w:pStyle w:val="BodyText"/>
      </w:pPr>
    </w:p>
    <w:p>
      <w:pPr>
        <w:pStyle w:val="BodyText"/>
        <w:spacing w:before="1"/>
      </w:pPr>
    </w:p>
    <w:p>
      <w:pPr>
        <w:pStyle w:val="ListParagraph"/>
        <w:numPr>
          <w:ilvl w:val="3"/>
          <w:numId w:val="15"/>
        </w:numPr>
        <w:tabs>
          <w:tab w:pos="1016" w:val="left" w:leader="none"/>
        </w:tabs>
        <w:spacing w:line="240" w:lineRule="auto" w:before="0" w:after="0"/>
        <w:ind w:left="1016" w:right="0" w:hanging="720"/>
        <w:jc w:val="both"/>
        <w:rPr>
          <w:i/>
          <w:sz w:val="24"/>
        </w:rPr>
      </w:pPr>
      <w:r>
        <w:rPr>
          <w:i/>
          <w:sz w:val="24"/>
        </w:rPr>
        <w:t>Serum</w:t>
      </w:r>
      <w:r>
        <w:rPr>
          <w:i/>
          <w:spacing w:val="-1"/>
          <w:sz w:val="24"/>
        </w:rPr>
        <w:t> </w:t>
      </w:r>
      <w:r>
        <w:rPr>
          <w:i/>
          <w:spacing w:val="-2"/>
          <w:sz w:val="24"/>
        </w:rPr>
        <w:t>magnesium</w:t>
      </w:r>
    </w:p>
    <w:p>
      <w:pPr>
        <w:pStyle w:val="BodyText"/>
        <w:rPr>
          <w:i/>
        </w:rPr>
      </w:pPr>
    </w:p>
    <w:p>
      <w:pPr>
        <w:pStyle w:val="BodyText"/>
        <w:spacing w:line="480" w:lineRule="auto"/>
        <w:ind w:left="296" w:right="1138"/>
        <w:jc w:val="both"/>
      </w:pPr>
      <w:r>
        <w:rPr/>
        <w:t>Three test tubes namely blank, standard and sample were prepared. 1000 µl of the working reagent was added to all the test tubes. In addition, 10 µl of standard magnesium (2 mg/dl) and 10 µl of serum were added to the test tubes labeled standard and sample respectively. The content of each test tube was mixed properly and incubated for 5 minutes at a temperature of 37ºC. The absorbance of the sample and the standard were measured</w:t>
      </w:r>
      <w:r>
        <w:rPr>
          <w:spacing w:val="40"/>
        </w:rPr>
        <w:t> </w:t>
      </w:r>
      <w:r>
        <w:rPr/>
        <w:t>against the reagent blank using a spectrophotometer. The serum magnesium concentration was calculated using the formular:</w:t>
      </w:r>
    </w:p>
    <w:p>
      <w:pPr>
        <w:spacing w:after="0" w:line="480" w:lineRule="auto"/>
        <w:jc w:val="both"/>
        <w:sectPr>
          <w:pgSz w:w="12240" w:h="15840"/>
          <w:pgMar w:header="0" w:footer="1015" w:top="1360" w:bottom="1200" w:left="1720" w:right="300"/>
        </w:sectPr>
      </w:pPr>
    </w:p>
    <w:p>
      <w:pPr>
        <w:pStyle w:val="BodyText"/>
        <w:spacing w:before="216"/>
        <w:ind w:left="1875"/>
        <w:rPr>
          <w:rFonts w:ascii="Cambria Math"/>
        </w:rPr>
      </w:pPr>
      <w:r>
        <w:rPr/>
        <mc:AlternateContent>
          <mc:Choice Requires="wps">
            <w:drawing>
              <wp:anchor distT="0" distB="0" distL="0" distR="0" allowOverlap="1" layoutInCell="1" locked="0" behindDoc="0" simplePos="0" relativeHeight="15736832">
                <wp:simplePos x="0" y="0"/>
                <wp:positionH relativeFrom="page">
                  <wp:posOffset>4130928</wp:posOffset>
                </wp:positionH>
                <wp:positionV relativeFrom="paragraph">
                  <wp:posOffset>233425</wp:posOffset>
                </wp:positionV>
                <wp:extent cx="1727200" cy="1079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727200" cy="10795"/>
                        </a:xfrm>
                        <a:custGeom>
                          <a:avLst/>
                          <a:gdLst/>
                          <a:ahLst/>
                          <a:cxnLst/>
                          <a:rect l="l" t="t" r="r" b="b"/>
                          <a:pathLst>
                            <a:path w="1727200" h="10795">
                              <a:moveTo>
                                <a:pt x="1726946" y="0"/>
                              </a:moveTo>
                              <a:lnTo>
                                <a:pt x="0" y="0"/>
                              </a:lnTo>
                              <a:lnTo>
                                <a:pt x="0" y="10668"/>
                              </a:lnTo>
                              <a:lnTo>
                                <a:pt x="1726946" y="10668"/>
                              </a:lnTo>
                              <a:lnTo>
                                <a:pt x="1726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269989pt;margin-top:18.379999pt;width:135.980pt;height:.84pt;mso-position-horizontal-relative:page;mso-position-vertical-relative:paragraph;z-index:15736832" id="docshape19" filled="true" fillcolor="#000000" stroked="false">
                <v:fill type="solid"/>
                <w10:wrap type="none"/>
              </v:rect>
            </w:pict>
          </mc:Fallback>
        </mc:AlternateContent>
      </w:r>
      <w:r>
        <w:rPr>
          <w:rFonts w:ascii="Cambria Math"/>
        </w:rPr>
        <w:t>Magnesium</w:t>
      </w:r>
      <w:r>
        <w:rPr>
          <w:rFonts w:ascii="Cambria Math"/>
          <w:spacing w:val="-3"/>
        </w:rPr>
        <w:t> </w:t>
      </w:r>
      <w:r>
        <w:rPr>
          <w:rFonts w:ascii="Cambria Math"/>
        </w:rPr>
        <w:t>conc</w:t>
      </w:r>
      <w:r>
        <w:rPr>
          <w:rFonts w:ascii="Cambria Math"/>
          <w:spacing w:val="-3"/>
        </w:rPr>
        <w:t> </w:t>
      </w:r>
      <w:r>
        <w:rPr>
          <w:rFonts w:ascii="Cambria Math"/>
        </w:rPr>
        <w:t>(mg/dl)</w:t>
      </w:r>
      <w:r>
        <w:rPr>
          <w:rFonts w:ascii="Cambria Math"/>
          <w:spacing w:val="12"/>
        </w:rPr>
        <w:t> </w:t>
      </w:r>
      <w:r>
        <w:rPr>
          <w:rFonts w:ascii="Cambria Math"/>
          <w:spacing w:val="-10"/>
        </w:rPr>
        <w:t>=</w:t>
      </w:r>
    </w:p>
    <w:p>
      <w:pPr>
        <w:pStyle w:val="BodyText"/>
        <w:spacing w:line="292" w:lineRule="auto" w:before="33"/>
        <w:ind w:left="169" w:right="2714" w:hanging="142"/>
        <w:rPr>
          <w:rFonts w:ascii="Cambria Math" w:hAnsi="Cambria Math"/>
        </w:rPr>
      </w:pPr>
      <w:r>
        <w:rPr/>
        <w:br w:type="column"/>
      </w:r>
      <w:r>
        <w:rPr>
          <w:rFonts w:ascii="Cambria Math" w:hAnsi="Cambria Math"/>
        </w:rPr>
        <w:t>Absorbance</w:t>
      </w:r>
      <w:r>
        <w:rPr>
          <w:rFonts w:ascii="Cambria Math" w:hAnsi="Cambria Math"/>
          <w:spacing w:val="-9"/>
        </w:rPr>
        <w:t> </w:t>
      </w:r>
      <w:r>
        <w:rPr>
          <w:rFonts w:ascii="Cambria Math" w:hAnsi="Cambria Math"/>
        </w:rPr>
        <w:t>of</w:t>
      </w:r>
      <w:r>
        <w:rPr>
          <w:rFonts w:ascii="Cambria Math" w:hAnsi="Cambria Math"/>
          <w:spacing w:val="-8"/>
        </w:rPr>
        <w:t> </w:t>
      </w:r>
      <w:r>
        <w:rPr>
          <w:rFonts w:ascii="Cambria Math" w:hAnsi="Cambria Math"/>
        </w:rPr>
        <w:t>sample</w:t>
      </w:r>
      <w:r>
        <w:rPr>
          <w:rFonts w:ascii="Cambria Math" w:hAnsi="Cambria Math"/>
          <w:spacing w:val="35"/>
        </w:rPr>
        <w:t> </w:t>
      </w:r>
      <w:r>
        <w:rPr>
          <w:rFonts w:ascii="Cambria Math" w:hAnsi="Cambria Math"/>
        </w:rPr>
        <w:t>×</w:t>
      </w:r>
      <w:r>
        <w:rPr>
          <w:rFonts w:ascii="Cambria Math" w:hAnsi="Cambria Math"/>
          <w:spacing w:val="-7"/>
        </w:rPr>
        <w:t> </w:t>
      </w:r>
      <w:r>
        <w:rPr>
          <w:rFonts w:ascii="Cambria Math" w:hAnsi="Cambria Math"/>
        </w:rPr>
        <w:t>2 Absorbance of standard</w:t>
      </w:r>
    </w:p>
    <w:p>
      <w:pPr>
        <w:spacing w:after="0" w:line="292" w:lineRule="auto"/>
        <w:rPr>
          <w:rFonts w:ascii="Cambria Math" w:hAnsi="Cambria Math"/>
        </w:rPr>
        <w:sectPr>
          <w:pgSz w:w="12240" w:h="15840"/>
          <w:pgMar w:header="0" w:footer="1015" w:top="1380" w:bottom="1200" w:left="1720" w:right="300"/>
          <w:cols w:num="2" w:equalWidth="0">
            <w:col w:w="4718" w:space="40"/>
            <w:col w:w="5462"/>
          </w:cols>
        </w:sectPr>
      </w:pPr>
    </w:p>
    <w:p>
      <w:pPr>
        <w:pStyle w:val="BodyText"/>
        <w:rPr>
          <w:rFonts w:ascii="Cambria Math"/>
        </w:rPr>
      </w:pPr>
    </w:p>
    <w:p>
      <w:pPr>
        <w:pStyle w:val="BodyText"/>
        <w:spacing w:before="150"/>
        <w:rPr>
          <w:rFonts w:ascii="Cambria Math"/>
        </w:rPr>
      </w:pPr>
    </w:p>
    <w:p>
      <w:pPr>
        <w:pStyle w:val="ListParagraph"/>
        <w:numPr>
          <w:ilvl w:val="3"/>
          <w:numId w:val="15"/>
        </w:numPr>
        <w:tabs>
          <w:tab w:pos="1016" w:val="left" w:leader="none"/>
        </w:tabs>
        <w:spacing w:line="240" w:lineRule="auto" w:before="0" w:after="0"/>
        <w:ind w:left="1016" w:right="0" w:hanging="720"/>
        <w:jc w:val="left"/>
        <w:rPr>
          <w:i/>
          <w:sz w:val="24"/>
        </w:rPr>
      </w:pPr>
      <w:r>
        <w:rPr>
          <w:i/>
          <w:sz w:val="24"/>
        </w:rPr>
        <w:t>Serum</w:t>
      </w:r>
      <w:r>
        <w:rPr>
          <w:i/>
          <w:spacing w:val="-1"/>
          <w:sz w:val="24"/>
        </w:rPr>
        <w:t> </w:t>
      </w:r>
      <w:r>
        <w:rPr>
          <w:i/>
          <w:spacing w:val="-2"/>
          <w:sz w:val="24"/>
        </w:rPr>
        <w:t>cholesterol</w:t>
      </w:r>
    </w:p>
    <w:p>
      <w:pPr>
        <w:pStyle w:val="BodyText"/>
        <w:rPr>
          <w:i/>
        </w:rPr>
      </w:pPr>
    </w:p>
    <w:p>
      <w:pPr>
        <w:pStyle w:val="BodyText"/>
        <w:spacing w:line="480" w:lineRule="auto"/>
        <w:ind w:left="296" w:right="1143"/>
        <w:jc w:val="both"/>
      </w:pPr>
      <w:r>
        <w:rPr/>
        <w:t>Three test tubes were prepared namely</w:t>
      </w:r>
      <w:r>
        <w:rPr>
          <w:spacing w:val="-3"/>
        </w:rPr>
        <w:t> </w:t>
      </w:r>
      <w:r>
        <w:rPr/>
        <w:t>blank, standard and sample. 1000 µl of the working reagent</w:t>
      </w:r>
      <w:r>
        <w:rPr>
          <w:spacing w:val="-1"/>
        </w:rPr>
        <w:t> </w:t>
      </w:r>
      <w:r>
        <w:rPr/>
        <w:t>was</w:t>
      </w:r>
      <w:r>
        <w:rPr>
          <w:spacing w:val="-1"/>
        </w:rPr>
        <w:t> </w:t>
      </w:r>
      <w:r>
        <w:rPr/>
        <w:t>added</w:t>
      </w:r>
      <w:r>
        <w:rPr>
          <w:spacing w:val="-1"/>
        </w:rPr>
        <w:t> </w:t>
      </w:r>
      <w:r>
        <w:rPr/>
        <w:t>to</w:t>
      </w:r>
      <w:r>
        <w:rPr>
          <w:spacing w:val="-1"/>
        </w:rPr>
        <w:t> </w:t>
      </w:r>
      <w:r>
        <w:rPr/>
        <w:t>all</w:t>
      </w:r>
      <w:r>
        <w:rPr>
          <w:spacing w:val="-1"/>
        </w:rPr>
        <w:t> </w:t>
      </w:r>
      <w:r>
        <w:rPr/>
        <w:t>the</w:t>
      </w:r>
      <w:r>
        <w:rPr>
          <w:spacing w:val="-2"/>
        </w:rPr>
        <w:t> </w:t>
      </w:r>
      <w:r>
        <w:rPr/>
        <w:t>test</w:t>
      </w:r>
      <w:r>
        <w:rPr>
          <w:spacing w:val="-1"/>
        </w:rPr>
        <w:t> </w:t>
      </w:r>
      <w:r>
        <w:rPr/>
        <w:t>tubes.</w:t>
      </w:r>
      <w:r>
        <w:rPr>
          <w:spacing w:val="-2"/>
        </w:rPr>
        <w:t> </w:t>
      </w:r>
      <w:r>
        <w:rPr/>
        <w:t>10</w:t>
      </w:r>
      <w:r>
        <w:rPr>
          <w:spacing w:val="-1"/>
        </w:rPr>
        <w:t> </w:t>
      </w:r>
      <w:r>
        <w:rPr/>
        <w:t>µl</w:t>
      </w:r>
      <w:r>
        <w:rPr>
          <w:spacing w:val="-3"/>
        </w:rPr>
        <w:t> </w:t>
      </w:r>
      <w:r>
        <w:rPr/>
        <w:t>of</w:t>
      </w:r>
      <w:r>
        <w:rPr>
          <w:spacing w:val="-2"/>
        </w:rPr>
        <w:t> </w:t>
      </w:r>
      <w:r>
        <w:rPr/>
        <w:t>standard</w:t>
      </w:r>
      <w:r>
        <w:rPr>
          <w:spacing w:val="-2"/>
        </w:rPr>
        <w:t> </w:t>
      </w:r>
      <w:r>
        <w:rPr/>
        <w:t>cholesterol</w:t>
      </w:r>
      <w:r>
        <w:rPr>
          <w:spacing w:val="-1"/>
        </w:rPr>
        <w:t> </w:t>
      </w:r>
      <w:r>
        <w:rPr/>
        <w:t>(200</w:t>
      </w:r>
      <w:r>
        <w:rPr>
          <w:spacing w:val="-2"/>
        </w:rPr>
        <w:t> </w:t>
      </w:r>
      <w:r>
        <w:rPr/>
        <w:t>mg/dl)</w:t>
      </w:r>
      <w:r>
        <w:rPr>
          <w:spacing w:val="-2"/>
        </w:rPr>
        <w:t> </w:t>
      </w:r>
      <w:r>
        <w:rPr/>
        <w:t>and</w:t>
      </w:r>
      <w:r>
        <w:rPr>
          <w:spacing w:val="-1"/>
        </w:rPr>
        <w:t> </w:t>
      </w:r>
      <w:r>
        <w:rPr/>
        <w:t>serum were added to the test tubes labeled standard and sample respectively. The content of each test tube was properly mixed and incubated for five minutes at a temperature of 37ºC. The absorbance of the sample and standard were measured against the reagent blank using a spectrophotometer. The serum cholesterol concentration was calculated as follows:</w:t>
      </w:r>
    </w:p>
    <w:p>
      <w:pPr>
        <w:pStyle w:val="BodyText"/>
        <w:rPr>
          <w:sz w:val="20"/>
        </w:rPr>
      </w:pPr>
    </w:p>
    <w:p>
      <w:pPr>
        <w:pStyle w:val="BodyText"/>
        <w:spacing w:before="16"/>
        <w:rPr>
          <w:sz w:val="20"/>
        </w:rPr>
      </w:pPr>
    </w:p>
    <w:p>
      <w:pPr>
        <w:spacing w:after="0"/>
        <w:rPr>
          <w:sz w:val="20"/>
        </w:rPr>
        <w:sectPr>
          <w:type w:val="continuous"/>
          <w:pgSz w:w="12240" w:h="15840"/>
          <w:pgMar w:header="0" w:footer="1015" w:top="1360" w:bottom="1200" w:left="1720" w:right="300"/>
        </w:sectPr>
      </w:pPr>
    </w:p>
    <w:p>
      <w:pPr>
        <w:pStyle w:val="BodyText"/>
        <w:spacing w:before="241"/>
        <w:ind w:left="1750"/>
        <w:rPr>
          <w:rFonts w:ascii="Cambria Math"/>
        </w:rPr>
      </w:pPr>
      <w:r>
        <w:rPr/>
        <mc:AlternateContent>
          <mc:Choice Requires="wps">
            <w:drawing>
              <wp:anchor distT="0" distB="0" distL="0" distR="0" allowOverlap="1" layoutInCell="1" locked="0" behindDoc="0" simplePos="0" relativeHeight="15737344">
                <wp:simplePos x="0" y="0"/>
                <wp:positionH relativeFrom="page">
                  <wp:posOffset>4039234</wp:posOffset>
                </wp:positionH>
                <wp:positionV relativeFrom="paragraph">
                  <wp:posOffset>249108</wp:posOffset>
                </wp:positionV>
                <wp:extent cx="1895475" cy="1079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895475" cy="10795"/>
                        </a:xfrm>
                        <a:custGeom>
                          <a:avLst/>
                          <a:gdLst/>
                          <a:ahLst/>
                          <a:cxnLst/>
                          <a:rect l="l" t="t" r="r" b="b"/>
                          <a:pathLst>
                            <a:path w="1895475" h="10795">
                              <a:moveTo>
                                <a:pt x="1894966" y="0"/>
                              </a:moveTo>
                              <a:lnTo>
                                <a:pt x="0" y="0"/>
                              </a:lnTo>
                              <a:lnTo>
                                <a:pt x="0" y="10667"/>
                              </a:lnTo>
                              <a:lnTo>
                                <a:pt x="1894966" y="10667"/>
                              </a:lnTo>
                              <a:lnTo>
                                <a:pt x="1894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8.049988pt;margin-top:19.614843pt;width:149.21pt;height:.84pt;mso-position-horizontal-relative:page;mso-position-vertical-relative:paragraph;z-index:15737344" id="docshape20" filled="true" fillcolor="#000000" stroked="false">
                <v:fill type="solid"/>
                <w10:wrap type="none"/>
              </v:rect>
            </w:pict>
          </mc:Fallback>
        </mc:AlternateContent>
      </w:r>
      <w:r>
        <w:rPr>
          <w:rFonts w:ascii="Cambria Math"/>
        </w:rPr>
        <w:t>Cholesterol</w:t>
      </w:r>
      <w:r>
        <w:rPr>
          <w:rFonts w:ascii="Cambria Math"/>
          <w:spacing w:val="-6"/>
        </w:rPr>
        <w:t> </w:t>
      </w:r>
      <w:r>
        <w:rPr>
          <w:rFonts w:ascii="Cambria Math"/>
        </w:rPr>
        <w:t>conc</w:t>
      </w:r>
      <w:r>
        <w:rPr>
          <w:rFonts w:ascii="Cambria Math"/>
          <w:spacing w:val="-5"/>
        </w:rPr>
        <w:t> </w:t>
      </w:r>
      <w:r>
        <w:rPr>
          <w:rFonts w:ascii="Cambria Math"/>
        </w:rPr>
        <w:t>(mg/dl)</w:t>
      </w:r>
      <w:r>
        <w:rPr>
          <w:rFonts w:ascii="Cambria Math"/>
          <w:spacing w:val="10"/>
        </w:rPr>
        <w:t> </w:t>
      </w:r>
      <w:r>
        <w:rPr>
          <w:rFonts w:ascii="Cambria Math"/>
          <w:spacing w:val="-10"/>
        </w:rPr>
        <w:t>=</w:t>
      </w:r>
    </w:p>
    <w:p>
      <w:pPr>
        <w:pStyle w:val="BodyText"/>
        <w:spacing w:line="292" w:lineRule="auto" w:before="58"/>
        <w:ind w:left="299" w:right="2593" w:hanging="274"/>
        <w:rPr>
          <w:rFonts w:ascii="Cambria Math" w:hAnsi="Cambria Math"/>
        </w:rPr>
      </w:pPr>
      <w:r>
        <w:rPr/>
        <w:br w:type="column"/>
      </w:r>
      <w:r>
        <w:rPr>
          <w:rFonts w:ascii="Cambria Math" w:hAnsi="Cambria Math"/>
        </w:rPr>
        <w:t>Absorbance</w:t>
      </w:r>
      <w:r>
        <w:rPr>
          <w:rFonts w:ascii="Cambria Math" w:hAnsi="Cambria Math"/>
          <w:spacing w:val="-10"/>
        </w:rPr>
        <w:t> </w:t>
      </w:r>
      <w:r>
        <w:rPr>
          <w:rFonts w:ascii="Cambria Math" w:hAnsi="Cambria Math"/>
        </w:rPr>
        <w:t>of</w:t>
      </w:r>
      <w:r>
        <w:rPr>
          <w:rFonts w:ascii="Cambria Math" w:hAnsi="Cambria Math"/>
          <w:spacing w:val="-9"/>
        </w:rPr>
        <w:t> </w:t>
      </w:r>
      <w:r>
        <w:rPr>
          <w:rFonts w:ascii="Cambria Math" w:hAnsi="Cambria Math"/>
        </w:rPr>
        <w:t>sample</w:t>
      </w:r>
      <w:r>
        <w:rPr>
          <w:rFonts w:ascii="Cambria Math" w:hAnsi="Cambria Math"/>
          <w:spacing w:val="37"/>
        </w:rPr>
        <w:t> </w:t>
      </w:r>
      <w:r>
        <w:rPr>
          <w:rFonts w:ascii="Cambria Math" w:hAnsi="Cambria Math"/>
        </w:rPr>
        <w:t>×</w:t>
      </w:r>
      <w:r>
        <w:rPr>
          <w:rFonts w:ascii="Cambria Math" w:hAnsi="Cambria Math"/>
          <w:spacing w:val="-7"/>
        </w:rPr>
        <w:t> </w:t>
      </w:r>
      <w:r>
        <w:rPr>
          <w:rFonts w:ascii="Cambria Math" w:hAnsi="Cambria Math"/>
        </w:rPr>
        <w:t>200 Absorbance of standard</w:t>
      </w:r>
    </w:p>
    <w:p>
      <w:pPr>
        <w:spacing w:after="0" w:line="292" w:lineRule="auto"/>
        <w:rPr>
          <w:rFonts w:ascii="Cambria Math" w:hAnsi="Cambria Math"/>
        </w:rPr>
        <w:sectPr>
          <w:type w:val="continuous"/>
          <w:pgSz w:w="12240" w:h="15840"/>
          <w:pgMar w:header="0" w:footer="1015" w:top="1360" w:bottom="1200" w:left="1720" w:right="300"/>
          <w:cols w:num="2" w:equalWidth="0">
            <w:col w:w="4576" w:space="40"/>
            <w:col w:w="5604"/>
          </w:cols>
        </w:sectPr>
      </w:pPr>
    </w:p>
    <w:p>
      <w:pPr>
        <w:pStyle w:val="BodyText"/>
        <w:rPr>
          <w:rFonts w:ascii="Cambria Math"/>
        </w:rPr>
      </w:pPr>
    </w:p>
    <w:p>
      <w:pPr>
        <w:pStyle w:val="BodyText"/>
        <w:spacing w:before="152"/>
        <w:rPr>
          <w:rFonts w:ascii="Cambria Math"/>
        </w:rPr>
      </w:pPr>
    </w:p>
    <w:p>
      <w:pPr>
        <w:pStyle w:val="ListParagraph"/>
        <w:numPr>
          <w:ilvl w:val="3"/>
          <w:numId w:val="15"/>
        </w:numPr>
        <w:tabs>
          <w:tab w:pos="1016" w:val="left" w:leader="none"/>
        </w:tabs>
        <w:spacing w:line="240" w:lineRule="auto" w:before="0" w:after="0"/>
        <w:ind w:left="1016" w:right="0" w:hanging="720"/>
        <w:jc w:val="left"/>
        <w:rPr>
          <w:i/>
          <w:sz w:val="24"/>
        </w:rPr>
      </w:pPr>
      <w:r>
        <w:rPr>
          <w:i/>
          <w:sz w:val="24"/>
        </w:rPr>
        <w:t>Serum</w:t>
      </w:r>
      <w:r>
        <w:rPr>
          <w:i/>
          <w:spacing w:val="-1"/>
          <w:sz w:val="24"/>
        </w:rPr>
        <w:t> </w:t>
      </w:r>
      <w:r>
        <w:rPr>
          <w:i/>
          <w:spacing w:val="-2"/>
          <w:sz w:val="24"/>
        </w:rPr>
        <w:t>triglyceride</w:t>
      </w:r>
    </w:p>
    <w:p>
      <w:pPr>
        <w:pStyle w:val="BodyText"/>
        <w:rPr>
          <w:i/>
        </w:rPr>
      </w:pPr>
    </w:p>
    <w:p>
      <w:pPr>
        <w:pStyle w:val="BodyText"/>
        <w:spacing w:line="480" w:lineRule="auto"/>
        <w:ind w:left="296" w:right="1134" w:firstLine="60"/>
        <w:jc w:val="both"/>
      </w:pPr>
      <w:r>
        <w:rPr/>
        <w:t>Three</w:t>
      </w:r>
      <w:r>
        <w:rPr>
          <w:spacing w:val="-2"/>
        </w:rPr>
        <w:t> </w:t>
      </w:r>
      <w:r>
        <w:rPr/>
        <w:t>test</w:t>
      </w:r>
      <w:r>
        <w:rPr>
          <w:spacing w:val="-3"/>
        </w:rPr>
        <w:t> </w:t>
      </w:r>
      <w:r>
        <w:rPr/>
        <w:t>tubes</w:t>
      </w:r>
      <w:r>
        <w:rPr>
          <w:spacing w:val="-1"/>
        </w:rPr>
        <w:t> </w:t>
      </w:r>
      <w:r>
        <w:rPr/>
        <w:t>labeled blank,</w:t>
      </w:r>
      <w:r>
        <w:rPr>
          <w:spacing w:val="-3"/>
        </w:rPr>
        <w:t> </w:t>
      </w:r>
      <w:r>
        <w:rPr/>
        <w:t>standard</w:t>
      </w:r>
      <w:r>
        <w:rPr>
          <w:spacing w:val="-2"/>
        </w:rPr>
        <w:t> </w:t>
      </w:r>
      <w:r>
        <w:rPr/>
        <w:t>and</w:t>
      </w:r>
      <w:r>
        <w:rPr>
          <w:spacing w:val="-1"/>
        </w:rPr>
        <w:t> </w:t>
      </w:r>
      <w:r>
        <w:rPr/>
        <w:t>sample</w:t>
      </w:r>
      <w:r>
        <w:rPr>
          <w:spacing w:val="-3"/>
        </w:rPr>
        <w:t> </w:t>
      </w:r>
      <w:r>
        <w:rPr/>
        <w:t>were</w:t>
      </w:r>
      <w:r>
        <w:rPr>
          <w:spacing w:val="-5"/>
        </w:rPr>
        <w:t> </w:t>
      </w:r>
      <w:r>
        <w:rPr/>
        <w:t>prepared.</w:t>
      </w:r>
      <w:r>
        <w:rPr>
          <w:spacing w:val="-1"/>
        </w:rPr>
        <w:t> </w:t>
      </w:r>
      <w:r>
        <w:rPr/>
        <w:t>1000</w:t>
      </w:r>
      <w:r>
        <w:rPr>
          <w:spacing w:val="-3"/>
        </w:rPr>
        <w:t> </w:t>
      </w:r>
      <w:r>
        <w:rPr/>
        <w:t>µl</w:t>
      </w:r>
      <w:r>
        <w:rPr>
          <w:spacing w:val="-3"/>
        </w:rPr>
        <w:t> </w:t>
      </w:r>
      <w:r>
        <w:rPr/>
        <w:t>of the</w:t>
      </w:r>
      <w:r>
        <w:rPr>
          <w:spacing w:val="-2"/>
        </w:rPr>
        <w:t> </w:t>
      </w:r>
      <w:r>
        <w:rPr/>
        <w:t>working reagent was added to the respective test tubes. 10 µl of standard triglyceride (200 mg/dl) and 10 µl of serum were added to the test tubes labeled standard and sample respectively. The content of the respective test tubes were mixed and incubated for five minutes at a temperature of 37ºC. The absorbance of the standard and the sample were then measured against the reagent blank using a spectrophotometer. The serum concentration of triglyceride was calculated using the formular below:</w:t>
      </w:r>
    </w:p>
    <w:p>
      <w:pPr>
        <w:pStyle w:val="BodyText"/>
        <w:rPr>
          <w:sz w:val="20"/>
        </w:rPr>
      </w:pPr>
    </w:p>
    <w:p>
      <w:pPr>
        <w:pStyle w:val="BodyText"/>
        <w:spacing w:before="14"/>
        <w:rPr>
          <w:sz w:val="20"/>
        </w:rPr>
      </w:pPr>
    </w:p>
    <w:p>
      <w:pPr>
        <w:spacing w:after="0"/>
        <w:rPr>
          <w:sz w:val="20"/>
        </w:rPr>
        <w:sectPr>
          <w:type w:val="continuous"/>
          <w:pgSz w:w="12240" w:h="15840"/>
          <w:pgMar w:header="0" w:footer="1015" w:top="1360" w:bottom="1200" w:left="1720" w:right="300"/>
        </w:sectPr>
      </w:pPr>
    </w:p>
    <w:p>
      <w:pPr>
        <w:pStyle w:val="BodyText"/>
        <w:spacing w:before="241"/>
        <w:ind w:left="1717"/>
        <w:rPr>
          <w:rFonts w:ascii="Cambria Math"/>
        </w:rPr>
      </w:pPr>
      <w:r>
        <w:rPr/>
        <mc:AlternateContent>
          <mc:Choice Requires="wps">
            <w:drawing>
              <wp:anchor distT="0" distB="0" distL="0" distR="0" allowOverlap="1" layoutInCell="1" locked="0" behindDoc="0" simplePos="0" relativeHeight="15737856">
                <wp:simplePos x="0" y="0"/>
                <wp:positionH relativeFrom="page">
                  <wp:posOffset>4060571</wp:posOffset>
                </wp:positionH>
                <wp:positionV relativeFrom="paragraph">
                  <wp:posOffset>249148</wp:posOffset>
                </wp:positionV>
                <wp:extent cx="1895475"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895475" cy="10795"/>
                        </a:xfrm>
                        <a:custGeom>
                          <a:avLst/>
                          <a:gdLst/>
                          <a:ahLst/>
                          <a:cxnLst/>
                          <a:rect l="l" t="t" r="r" b="b"/>
                          <a:pathLst>
                            <a:path w="1895475" h="10795">
                              <a:moveTo>
                                <a:pt x="1894967" y="0"/>
                              </a:moveTo>
                              <a:lnTo>
                                <a:pt x="0" y="0"/>
                              </a:lnTo>
                              <a:lnTo>
                                <a:pt x="0" y="10668"/>
                              </a:lnTo>
                              <a:lnTo>
                                <a:pt x="1894967" y="10668"/>
                              </a:lnTo>
                              <a:lnTo>
                                <a:pt x="189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730011pt;margin-top:19.618002pt;width:149.21pt;height:.84003pt;mso-position-horizontal-relative:page;mso-position-vertical-relative:paragraph;z-index:15737856" id="docshape21" filled="true" fillcolor="#000000" stroked="false">
                <v:fill type="solid"/>
                <w10:wrap type="none"/>
              </v:rect>
            </w:pict>
          </mc:Fallback>
        </mc:AlternateContent>
      </w:r>
      <w:r>
        <w:rPr>
          <w:rFonts w:ascii="Cambria Math"/>
        </w:rPr>
        <w:t>Triglyceride</w:t>
      </w:r>
      <w:r>
        <w:rPr>
          <w:rFonts w:ascii="Cambria Math"/>
          <w:spacing w:val="-7"/>
        </w:rPr>
        <w:t> </w:t>
      </w:r>
      <w:r>
        <w:rPr>
          <w:rFonts w:ascii="Cambria Math"/>
        </w:rPr>
        <w:t>conc</w:t>
      </w:r>
      <w:r>
        <w:rPr>
          <w:rFonts w:ascii="Cambria Math"/>
          <w:spacing w:val="-9"/>
        </w:rPr>
        <w:t> </w:t>
      </w:r>
      <w:r>
        <w:rPr>
          <w:rFonts w:ascii="Cambria Math"/>
        </w:rPr>
        <w:t>(mg/dl)</w:t>
      </w:r>
      <w:r>
        <w:rPr>
          <w:rFonts w:ascii="Cambria Math"/>
          <w:spacing w:val="4"/>
        </w:rPr>
        <w:t> </w:t>
      </w:r>
      <w:r>
        <w:rPr>
          <w:rFonts w:ascii="Cambria Math"/>
          <w:spacing w:val="-10"/>
        </w:rPr>
        <w:t>=</w:t>
      </w:r>
    </w:p>
    <w:p>
      <w:pPr>
        <w:pStyle w:val="BodyText"/>
        <w:spacing w:line="292" w:lineRule="auto" w:before="58"/>
        <w:ind w:left="299" w:right="2559" w:hanging="274"/>
        <w:rPr>
          <w:rFonts w:ascii="Cambria Math" w:hAnsi="Cambria Math"/>
        </w:rPr>
      </w:pPr>
      <w:r>
        <w:rPr/>
        <w:br w:type="column"/>
      </w:r>
      <w:r>
        <w:rPr>
          <w:rFonts w:ascii="Cambria Math" w:hAnsi="Cambria Math"/>
        </w:rPr>
        <w:t>Absorbance</w:t>
      </w:r>
      <w:r>
        <w:rPr>
          <w:rFonts w:ascii="Cambria Math" w:hAnsi="Cambria Math"/>
          <w:spacing w:val="-10"/>
        </w:rPr>
        <w:t> </w:t>
      </w:r>
      <w:r>
        <w:rPr>
          <w:rFonts w:ascii="Cambria Math" w:hAnsi="Cambria Math"/>
        </w:rPr>
        <w:t>of</w:t>
      </w:r>
      <w:r>
        <w:rPr>
          <w:rFonts w:ascii="Cambria Math" w:hAnsi="Cambria Math"/>
          <w:spacing w:val="-9"/>
        </w:rPr>
        <w:t> </w:t>
      </w:r>
      <w:r>
        <w:rPr>
          <w:rFonts w:ascii="Cambria Math" w:hAnsi="Cambria Math"/>
        </w:rPr>
        <w:t>sample</w:t>
      </w:r>
      <w:r>
        <w:rPr>
          <w:rFonts w:ascii="Cambria Math" w:hAnsi="Cambria Math"/>
          <w:spacing w:val="37"/>
        </w:rPr>
        <w:t> </w:t>
      </w:r>
      <w:r>
        <w:rPr>
          <w:rFonts w:ascii="Cambria Math" w:hAnsi="Cambria Math"/>
        </w:rPr>
        <w:t>×</w:t>
      </w:r>
      <w:r>
        <w:rPr>
          <w:rFonts w:ascii="Cambria Math" w:hAnsi="Cambria Math"/>
          <w:spacing w:val="-7"/>
        </w:rPr>
        <w:t> </w:t>
      </w:r>
      <w:r>
        <w:rPr>
          <w:rFonts w:ascii="Cambria Math" w:hAnsi="Cambria Math"/>
        </w:rPr>
        <w:t>200 Absorbance of standard</w:t>
      </w:r>
    </w:p>
    <w:p>
      <w:pPr>
        <w:spacing w:after="0" w:line="292" w:lineRule="auto"/>
        <w:rPr>
          <w:rFonts w:ascii="Cambria Math" w:hAnsi="Cambria Math"/>
        </w:rPr>
        <w:sectPr>
          <w:type w:val="continuous"/>
          <w:pgSz w:w="12240" w:h="15840"/>
          <w:pgMar w:header="0" w:footer="1015" w:top="1360" w:bottom="1200" w:left="1720" w:right="300"/>
          <w:cols w:num="2" w:equalWidth="0">
            <w:col w:w="4610" w:space="40"/>
            <w:col w:w="5570"/>
          </w:cols>
        </w:sectPr>
      </w:pPr>
    </w:p>
    <w:p>
      <w:pPr>
        <w:pStyle w:val="ListParagraph"/>
        <w:numPr>
          <w:ilvl w:val="3"/>
          <w:numId w:val="15"/>
        </w:numPr>
        <w:tabs>
          <w:tab w:pos="1016" w:val="left" w:leader="none"/>
        </w:tabs>
        <w:spacing w:line="240" w:lineRule="auto" w:before="72" w:after="0"/>
        <w:ind w:left="1016" w:right="0" w:hanging="720"/>
        <w:jc w:val="left"/>
        <w:rPr>
          <w:i/>
          <w:sz w:val="24"/>
        </w:rPr>
      </w:pPr>
      <w:r>
        <w:rPr>
          <w:i/>
          <w:sz w:val="24"/>
        </w:rPr>
        <w:t>Histological</w:t>
      </w:r>
      <w:r>
        <w:rPr>
          <w:i/>
          <w:spacing w:val="-1"/>
          <w:sz w:val="24"/>
        </w:rPr>
        <w:t> </w:t>
      </w:r>
      <w:r>
        <w:rPr>
          <w:i/>
          <w:sz w:val="24"/>
        </w:rPr>
        <w:t>studies of</w:t>
      </w:r>
      <w:r>
        <w:rPr>
          <w:i/>
          <w:spacing w:val="-1"/>
          <w:sz w:val="24"/>
        </w:rPr>
        <w:t> </w:t>
      </w:r>
      <w:r>
        <w:rPr>
          <w:i/>
          <w:sz w:val="24"/>
        </w:rPr>
        <w:t>the</w:t>
      </w:r>
      <w:r>
        <w:rPr>
          <w:i/>
          <w:spacing w:val="-1"/>
          <w:sz w:val="24"/>
        </w:rPr>
        <w:t> </w:t>
      </w:r>
      <w:r>
        <w:rPr>
          <w:i/>
          <w:spacing w:val="-2"/>
          <w:sz w:val="24"/>
        </w:rPr>
        <w:t>retina</w:t>
      </w:r>
    </w:p>
    <w:p>
      <w:pPr>
        <w:pStyle w:val="BodyText"/>
        <w:rPr>
          <w:i/>
        </w:rPr>
      </w:pPr>
    </w:p>
    <w:p>
      <w:pPr>
        <w:pStyle w:val="BodyText"/>
        <w:spacing w:line="480" w:lineRule="auto"/>
        <w:ind w:left="296" w:right="1136" w:firstLine="62"/>
        <w:jc w:val="both"/>
      </w:pPr>
      <w:r>
        <w:rPr/>
        <w:t>Isolated eyes for all groups of rats were preserved in 10% formalin until when they were processed. Three centimeters thickness of the retina tissues were sliced and kept in an automatic tissue processor and then fixed in 10% buffered formalin-saline solution for 6 hours. They were then dehydrated for 2 hours in ascending grades of alcohol- 70%, 90% and 100% v/v. The dehydrated tissues were cleaned with toluene for 2 hours after which the tissues were embedded in paraffin wax and left to cool. The blocks were trimmed and sectioned on the microtone at 5 microns. The ribbons of sections were floated in a warm water bath. Suitable sections were</w:t>
      </w:r>
      <w:r>
        <w:rPr>
          <w:spacing w:val="40"/>
        </w:rPr>
        <w:t> </w:t>
      </w:r>
      <w:r>
        <w:rPr/>
        <w:t>selected, attached to slide and dried on ahot plate and stained with Haematoxylin and Eosin stain. Sections were dewaxed in xylene, rehydrated</w:t>
      </w:r>
      <w:r>
        <w:rPr>
          <w:spacing w:val="40"/>
        </w:rPr>
        <w:t> </w:t>
      </w:r>
      <w:r>
        <w:rPr/>
        <w:t>in descending grades of alcohol 100%, 90% and 70% v/v, then stained in haematoxylin for 5 minutes, differentiated in 1% acid alcohol, glued in Scott’s tap water and stained with eosin for 3 minutes. Sections were rinsed and dehydrated in ascending grades of alcohol 70%, 90% and 100%,then finally dewaxed in xylene and mounted in a box. The slides</w:t>
      </w:r>
      <w:r>
        <w:rPr>
          <w:spacing w:val="40"/>
        </w:rPr>
        <w:t> </w:t>
      </w:r>
      <w:r>
        <w:rPr/>
        <w:t>were then examined microscopically for pathological lesions (Arthur and John, 1978).</w:t>
      </w:r>
    </w:p>
    <w:p>
      <w:pPr>
        <w:pStyle w:val="BodyText"/>
      </w:pPr>
    </w:p>
    <w:p>
      <w:pPr>
        <w:pStyle w:val="BodyText"/>
        <w:spacing w:before="6"/>
      </w:pPr>
    </w:p>
    <w:p>
      <w:pPr>
        <w:pStyle w:val="Heading2"/>
        <w:numPr>
          <w:ilvl w:val="1"/>
          <w:numId w:val="15"/>
        </w:numPr>
        <w:tabs>
          <w:tab w:pos="4393" w:val="left" w:leader="none"/>
        </w:tabs>
        <w:spacing w:line="240" w:lineRule="auto" w:before="1" w:after="0"/>
        <w:ind w:left="4393" w:right="0" w:hanging="780"/>
        <w:jc w:val="both"/>
      </w:pPr>
      <w:bookmarkStart w:name="_TOC_250025" w:id="56"/>
      <w:r>
        <w:rPr/>
        <w:t>Data</w:t>
      </w:r>
      <w:bookmarkEnd w:id="56"/>
      <w:r>
        <w:rPr>
          <w:spacing w:val="-2"/>
        </w:rPr>
        <w:t> analysis</w:t>
      </w:r>
    </w:p>
    <w:p>
      <w:pPr>
        <w:pStyle w:val="BodyText"/>
        <w:spacing w:line="480" w:lineRule="auto" w:before="271"/>
        <w:ind w:left="296" w:right="1134"/>
        <w:jc w:val="both"/>
      </w:pPr>
      <w:r>
        <w:rPr/>
        <w:t>Results are expressed as mean ± standard error of mean and as mean ranks. Data obtained were presented as tables and line graphs while histological findings were presented as photomicrographs. One way analysis of variance (ANOVA), followed by Hochberg </w:t>
      </w:r>
      <w:r>
        <w:rPr>
          <w:i/>
        </w:rPr>
        <w:t>post hoc </w:t>
      </w:r>
      <w:r>
        <w:rPr/>
        <w:t>test was used in the analysis of single point data that were normally distributed, while Kruskal-Wallis, followed by Dunn-Bonferoni </w:t>
      </w:r>
      <w:r>
        <w:rPr>
          <w:i/>
        </w:rPr>
        <w:t>post hoc </w:t>
      </w:r>
      <w:r>
        <w:rPr/>
        <w:t>test was used in analysis of single point</w:t>
      </w:r>
      <w:r>
        <w:rPr>
          <w:spacing w:val="24"/>
        </w:rPr>
        <w:t> </w:t>
      </w:r>
      <w:r>
        <w:rPr/>
        <w:t>data</w:t>
      </w:r>
      <w:r>
        <w:rPr>
          <w:spacing w:val="25"/>
        </w:rPr>
        <w:t> </w:t>
      </w:r>
      <w:r>
        <w:rPr/>
        <w:t>that</w:t>
      </w:r>
      <w:r>
        <w:rPr>
          <w:spacing w:val="26"/>
        </w:rPr>
        <w:t> </w:t>
      </w:r>
      <w:r>
        <w:rPr/>
        <w:t>were</w:t>
      </w:r>
      <w:r>
        <w:rPr>
          <w:spacing w:val="26"/>
        </w:rPr>
        <w:t> </w:t>
      </w:r>
      <w:r>
        <w:rPr/>
        <w:t>not</w:t>
      </w:r>
      <w:r>
        <w:rPr>
          <w:spacing w:val="26"/>
        </w:rPr>
        <w:t> </w:t>
      </w:r>
      <w:r>
        <w:rPr/>
        <w:t>normally</w:t>
      </w:r>
      <w:r>
        <w:rPr>
          <w:spacing w:val="23"/>
        </w:rPr>
        <w:t> </w:t>
      </w:r>
      <w:r>
        <w:rPr/>
        <w:t>distributed.</w:t>
      </w:r>
      <w:r>
        <w:rPr>
          <w:spacing w:val="26"/>
        </w:rPr>
        <w:t> </w:t>
      </w:r>
      <w:r>
        <w:rPr/>
        <w:t>Split</w:t>
      </w:r>
      <w:r>
        <w:rPr>
          <w:spacing w:val="26"/>
        </w:rPr>
        <w:t> </w:t>
      </w:r>
      <w:r>
        <w:rPr/>
        <w:t>plot</w:t>
      </w:r>
      <w:r>
        <w:rPr>
          <w:spacing w:val="26"/>
        </w:rPr>
        <w:t> </w:t>
      </w:r>
      <w:r>
        <w:rPr/>
        <w:t>ANOVA</w:t>
      </w:r>
      <w:r>
        <w:rPr>
          <w:spacing w:val="31"/>
        </w:rPr>
        <w:t> </w:t>
      </w:r>
      <w:r>
        <w:rPr/>
        <w:t>followed</w:t>
      </w:r>
      <w:r>
        <w:rPr>
          <w:spacing w:val="26"/>
        </w:rPr>
        <w:t> </w:t>
      </w:r>
      <w:r>
        <w:rPr/>
        <w:t>by</w:t>
      </w:r>
      <w:r>
        <w:rPr>
          <w:spacing w:val="24"/>
        </w:rPr>
        <w:t> </w:t>
      </w:r>
      <w:r>
        <w:rPr>
          <w:spacing w:val="-2"/>
        </w:rPr>
        <w:t>Bonferoni</w:t>
      </w:r>
    </w:p>
    <w:p>
      <w:pPr>
        <w:spacing w:after="0" w:line="480" w:lineRule="auto"/>
        <w:jc w:val="both"/>
        <w:sectPr>
          <w:pgSz w:w="12240" w:h="15840"/>
          <w:pgMar w:header="0" w:footer="1015" w:top="1360" w:bottom="1200" w:left="1720" w:right="300"/>
        </w:sectPr>
      </w:pPr>
    </w:p>
    <w:p>
      <w:pPr>
        <w:pStyle w:val="BodyText"/>
        <w:spacing w:line="480" w:lineRule="auto" w:before="72"/>
        <w:ind w:left="296" w:right="1141"/>
      </w:pPr>
      <w:r>
        <w:rPr>
          <w:i/>
        </w:rPr>
        <w:t>post hoc </w:t>
      </w:r>
      <w:r>
        <w:rPr/>
        <w:t>test was used in the analysis of data collected over time. Results were considered significant at </w:t>
      </w:r>
      <w:r>
        <w:rPr>
          <w:i/>
        </w:rPr>
        <w:t>p</w:t>
      </w:r>
      <w:r>
        <w:rPr/>
        <w:t>≤0.05.</w:t>
      </w:r>
    </w:p>
    <w:p>
      <w:pPr>
        <w:spacing w:after="0" w:line="480" w:lineRule="auto"/>
        <w:sectPr>
          <w:pgSz w:w="12240" w:h="15840"/>
          <w:pgMar w:header="0" w:footer="1015" w:top="1360" w:bottom="1200" w:left="1720" w:right="300"/>
        </w:sectPr>
      </w:pPr>
    </w:p>
    <w:p>
      <w:pPr>
        <w:pStyle w:val="Heading1"/>
        <w:ind w:right="1194"/>
      </w:pPr>
      <w:bookmarkStart w:name="_TOC_250024" w:id="57"/>
      <w:r>
        <w:rPr/>
        <w:t>CHAPTER</w:t>
      </w:r>
      <w:r>
        <w:rPr>
          <w:spacing w:val="-5"/>
        </w:rPr>
        <w:t> </w:t>
      </w:r>
      <w:bookmarkEnd w:id="57"/>
      <w:r>
        <w:rPr>
          <w:spacing w:val="-4"/>
        </w:rPr>
        <w:t>FOUR</w:t>
      </w:r>
    </w:p>
    <w:p>
      <w:pPr>
        <w:pStyle w:val="BodyText"/>
        <w:spacing w:before="1"/>
        <w:rPr>
          <w:b/>
        </w:rPr>
      </w:pPr>
    </w:p>
    <w:p>
      <w:pPr>
        <w:pStyle w:val="Heading2"/>
        <w:numPr>
          <w:ilvl w:val="1"/>
          <w:numId w:val="16"/>
        </w:numPr>
        <w:tabs>
          <w:tab w:pos="4674" w:val="left" w:leader="none"/>
        </w:tabs>
        <w:spacing w:line="240" w:lineRule="auto" w:before="0" w:after="0"/>
        <w:ind w:left="4674" w:right="0" w:hanging="720"/>
        <w:jc w:val="left"/>
      </w:pPr>
      <w:bookmarkStart w:name="_TOC_250023" w:id="58"/>
      <w:bookmarkEnd w:id="58"/>
      <w:r>
        <w:rPr>
          <w:spacing w:val="-2"/>
        </w:rPr>
        <w:t>Results</w:t>
      </w:r>
    </w:p>
    <w:p>
      <w:pPr>
        <w:pStyle w:val="BodyText"/>
        <w:rPr>
          <w:b/>
        </w:rPr>
      </w:pPr>
    </w:p>
    <w:p>
      <w:pPr>
        <w:pStyle w:val="Heading2"/>
        <w:numPr>
          <w:ilvl w:val="1"/>
          <w:numId w:val="16"/>
        </w:numPr>
        <w:tabs>
          <w:tab w:pos="1270" w:val="left" w:leader="none"/>
          <w:tab w:pos="2101" w:val="left" w:leader="none"/>
        </w:tabs>
        <w:spacing w:line="480" w:lineRule="auto" w:before="0" w:after="0"/>
        <w:ind w:left="2101" w:right="1393" w:hanging="1551"/>
        <w:jc w:val="both"/>
      </w:pPr>
      <w:bookmarkStart w:name="_TOC_250022" w:id="59"/>
      <w:r>
        <w:rPr/>
        <w:t>Effect</w:t>
      </w:r>
      <w:r>
        <w:rPr>
          <w:spacing w:val="-6"/>
        </w:rPr>
        <w:t> </w:t>
      </w:r>
      <w:r>
        <w:rPr/>
        <w:t>of</w:t>
      </w:r>
      <w:r>
        <w:rPr>
          <w:spacing w:val="-6"/>
        </w:rPr>
        <w:t> </w:t>
      </w:r>
      <w:r>
        <w:rPr/>
        <w:t>21-day</w:t>
      </w:r>
      <w:r>
        <w:rPr>
          <w:spacing w:val="-6"/>
        </w:rPr>
        <w:t> </w:t>
      </w:r>
      <w:r>
        <w:rPr/>
        <w:t>chronomodulated</w:t>
      </w:r>
      <w:r>
        <w:rPr>
          <w:spacing w:val="-6"/>
        </w:rPr>
        <w:t> </w:t>
      </w:r>
      <w:r>
        <w:rPr/>
        <w:t>nifedipine</w:t>
      </w:r>
      <w:r>
        <w:rPr>
          <w:spacing w:val="-7"/>
        </w:rPr>
        <w:t> </w:t>
      </w:r>
      <w:r>
        <w:rPr/>
        <w:t>administration</w:t>
      </w:r>
      <w:r>
        <w:rPr>
          <w:spacing w:val="-5"/>
        </w:rPr>
        <w:t> </w:t>
      </w:r>
      <w:r>
        <w:rPr/>
        <w:t>on</w:t>
      </w:r>
      <w:r>
        <w:rPr>
          <w:spacing w:val="-6"/>
        </w:rPr>
        <w:t> </w:t>
      </w:r>
      <w:bookmarkEnd w:id="59"/>
      <w:r>
        <w:rPr/>
        <w:t>glycaemic control in glimepiride-treated hyperglycaemic rats</w:t>
      </w:r>
    </w:p>
    <w:p>
      <w:pPr>
        <w:pStyle w:val="Heading2"/>
        <w:numPr>
          <w:ilvl w:val="2"/>
          <w:numId w:val="16"/>
        </w:numPr>
        <w:tabs>
          <w:tab w:pos="1016" w:val="left" w:leader="none"/>
        </w:tabs>
        <w:spacing w:line="240" w:lineRule="auto" w:before="0" w:after="0"/>
        <w:ind w:left="1016" w:right="0" w:hanging="720"/>
        <w:jc w:val="both"/>
      </w:pPr>
      <w:bookmarkStart w:name="_TOC_250021" w:id="60"/>
      <w:r>
        <w:rPr/>
        <w:t>Fasting</w:t>
      </w:r>
      <w:r>
        <w:rPr>
          <w:spacing w:val="-4"/>
        </w:rPr>
        <w:t> </w:t>
      </w:r>
      <w:r>
        <w:rPr/>
        <w:t>blood </w:t>
      </w:r>
      <w:bookmarkEnd w:id="60"/>
      <w:r>
        <w:rPr>
          <w:spacing w:val="-2"/>
        </w:rPr>
        <w:t>glucose</w:t>
      </w:r>
    </w:p>
    <w:p>
      <w:pPr>
        <w:pStyle w:val="BodyText"/>
        <w:spacing w:line="480" w:lineRule="auto" w:before="271"/>
        <w:ind w:left="296" w:right="1136"/>
        <w:jc w:val="both"/>
      </w:pPr>
      <w:r>
        <w:rPr/>
        <w:t>Treatment with glimepiride alone at 8 pm resulted in significant (</w:t>
      </w:r>
      <w:r>
        <w:rPr>
          <w:i/>
        </w:rPr>
        <w:t>p</w:t>
      </w:r>
      <w:r>
        <w:rPr/>
        <w:t>&lt;0.01) reduction in the fasting blood glucose levels on days 7, 14 and 21 when compared with the pre-treatment values. Concurrent administration of glimepiride and nifedipine at 8 pm, led to an initial delay in the glucose lowering effect of glimepiride, although a significant (</w:t>
      </w:r>
      <w:r>
        <w:rPr>
          <w:i/>
        </w:rPr>
        <w:t>p</w:t>
      </w:r>
      <w:r>
        <w:rPr/>
        <w:t>&lt;0.01) reduction in the fasting blood glucose was observed on days 14 and 21 when compared to the initial</w:t>
      </w:r>
      <w:r>
        <w:rPr>
          <w:spacing w:val="-1"/>
        </w:rPr>
        <w:t> </w:t>
      </w:r>
      <w:r>
        <w:rPr/>
        <w:t>levels. In contrast, administration of glimepiride at 8 pm along</w:t>
      </w:r>
      <w:r>
        <w:rPr>
          <w:spacing w:val="-3"/>
        </w:rPr>
        <w:t> </w:t>
      </w:r>
      <w:r>
        <w:rPr/>
        <w:t>with nifedipine at 8</w:t>
      </w:r>
      <w:r>
        <w:rPr>
          <w:spacing w:val="-1"/>
        </w:rPr>
        <w:t> </w:t>
      </w:r>
      <w:r>
        <w:rPr/>
        <w:t>am</w:t>
      </w:r>
      <w:r>
        <w:rPr>
          <w:spacing w:val="-1"/>
        </w:rPr>
        <w:t> </w:t>
      </w:r>
      <w:r>
        <w:rPr/>
        <w:t>resulted</w:t>
      </w:r>
      <w:r>
        <w:rPr>
          <w:spacing w:val="-1"/>
        </w:rPr>
        <w:t> </w:t>
      </w:r>
      <w:r>
        <w:rPr/>
        <w:t>in</w:t>
      </w:r>
      <w:r>
        <w:rPr>
          <w:spacing w:val="-1"/>
        </w:rPr>
        <w:t> </w:t>
      </w:r>
      <w:r>
        <w:rPr/>
        <w:t>significant (</w:t>
      </w:r>
      <w:r>
        <w:rPr>
          <w:i/>
        </w:rPr>
        <w:t>p</w:t>
      </w:r>
      <w:r>
        <w:rPr/>
        <w:t>&lt;0.01)</w:t>
      </w:r>
      <w:r>
        <w:rPr>
          <w:spacing w:val="-2"/>
        </w:rPr>
        <w:t> </w:t>
      </w:r>
      <w:r>
        <w:rPr/>
        <w:t>reduction</w:t>
      </w:r>
      <w:r>
        <w:rPr>
          <w:spacing w:val="-1"/>
        </w:rPr>
        <w:t> </w:t>
      </w:r>
      <w:r>
        <w:rPr/>
        <w:t>in</w:t>
      </w:r>
      <w:r>
        <w:rPr>
          <w:spacing w:val="-1"/>
        </w:rPr>
        <w:t> </w:t>
      </w:r>
      <w:r>
        <w:rPr/>
        <w:t>fasting</w:t>
      </w:r>
      <w:r>
        <w:rPr>
          <w:spacing w:val="-4"/>
        </w:rPr>
        <w:t> </w:t>
      </w:r>
      <w:r>
        <w:rPr/>
        <w:t>blood glucose in</w:t>
      </w:r>
      <w:r>
        <w:rPr>
          <w:spacing w:val="-1"/>
        </w:rPr>
        <w:t> </w:t>
      </w:r>
      <w:r>
        <w:rPr/>
        <w:t>a manner</w:t>
      </w:r>
      <w:r>
        <w:rPr>
          <w:spacing w:val="-2"/>
        </w:rPr>
        <w:t> </w:t>
      </w:r>
      <w:r>
        <w:rPr/>
        <w:t>similar to that of glimepiride alone at 8 pm, except that the reduction in the fasting blood glucose for this group was observed from day 3 as shown in figure 4.1.</w:t>
      </w:r>
    </w:p>
    <w:p>
      <w:pPr>
        <w:spacing w:after="0" w:line="480" w:lineRule="auto"/>
        <w:jc w:val="both"/>
        <w:sectPr>
          <w:pgSz w:w="12240" w:h="15840"/>
          <w:pgMar w:header="0" w:footer="1015" w:top="1360" w:bottom="1200" w:left="1720" w:right="300"/>
        </w:sectPr>
      </w:pPr>
    </w:p>
    <w:p>
      <w:pPr>
        <w:spacing w:before="48"/>
        <w:ind w:left="621" w:right="0" w:firstLine="0"/>
        <w:jc w:val="left"/>
        <w:rPr>
          <w:rFonts w:ascii="Calibri"/>
          <w:sz w:val="20"/>
        </w:rPr>
      </w:pPr>
      <w:r>
        <w:rPr/>
        <mc:AlternateContent>
          <mc:Choice Requires="wps">
            <w:drawing>
              <wp:anchor distT="0" distB="0" distL="0" distR="0" allowOverlap="1" layoutInCell="1" locked="0" behindDoc="0" simplePos="0" relativeHeight="15738368">
                <wp:simplePos x="0" y="0"/>
                <wp:positionH relativeFrom="page">
                  <wp:posOffset>1757172</wp:posOffset>
                </wp:positionH>
                <wp:positionV relativeFrom="paragraph">
                  <wp:posOffset>111760</wp:posOffset>
                </wp:positionV>
                <wp:extent cx="4000500" cy="275399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000500" cy="2753995"/>
                          <a:chExt cx="4000500" cy="2753995"/>
                        </a:xfrm>
                      </wpg:grpSpPr>
                      <wps:wsp>
                        <wps:cNvPr id="23" name="Graphic 23"/>
                        <wps:cNvSpPr/>
                        <wps:spPr>
                          <a:xfrm>
                            <a:off x="0" y="4572"/>
                            <a:ext cx="3941445" cy="2745105"/>
                          </a:xfrm>
                          <a:custGeom>
                            <a:avLst/>
                            <a:gdLst/>
                            <a:ahLst/>
                            <a:cxnLst/>
                            <a:rect l="l" t="t" r="r" b="b"/>
                            <a:pathLst>
                              <a:path w="3941445" h="2745105">
                                <a:moveTo>
                                  <a:pt x="39623" y="2744724"/>
                                </a:moveTo>
                                <a:lnTo>
                                  <a:pt x="39623" y="0"/>
                                </a:lnTo>
                              </a:path>
                              <a:path w="3941445" h="2745105">
                                <a:moveTo>
                                  <a:pt x="0" y="2744724"/>
                                </a:moveTo>
                                <a:lnTo>
                                  <a:pt x="39623" y="2744724"/>
                                </a:lnTo>
                              </a:path>
                              <a:path w="3941445" h="2745105">
                                <a:moveTo>
                                  <a:pt x="0" y="2353056"/>
                                </a:moveTo>
                                <a:lnTo>
                                  <a:pt x="39623" y="2353056"/>
                                </a:lnTo>
                              </a:path>
                              <a:path w="3941445" h="2745105">
                                <a:moveTo>
                                  <a:pt x="0" y="1959864"/>
                                </a:moveTo>
                                <a:lnTo>
                                  <a:pt x="39623" y="1959864"/>
                                </a:lnTo>
                              </a:path>
                              <a:path w="3941445" h="2745105">
                                <a:moveTo>
                                  <a:pt x="0" y="1568196"/>
                                </a:moveTo>
                                <a:lnTo>
                                  <a:pt x="39623" y="1568196"/>
                                </a:lnTo>
                              </a:path>
                              <a:path w="3941445" h="2745105">
                                <a:moveTo>
                                  <a:pt x="0" y="1176527"/>
                                </a:moveTo>
                                <a:lnTo>
                                  <a:pt x="39623" y="1176527"/>
                                </a:lnTo>
                              </a:path>
                              <a:path w="3941445" h="2745105">
                                <a:moveTo>
                                  <a:pt x="0" y="784860"/>
                                </a:moveTo>
                                <a:lnTo>
                                  <a:pt x="39623" y="784860"/>
                                </a:lnTo>
                              </a:path>
                              <a:path w="3941445" h="2745105">
                                <a:moveTo>
                                  <a:pt x="0" y="391668"/>
                                </a:moveTo>
                                <a:lnTo>
                                  <a:pt x="39623" y="391668"/>
                                </a:lnTo>
                              </a:path>
                              <a:path w="3941445" h="2745105">
                                <a:moveTo>
                                  <a:pt x="0" y="0"/>
                                </a:moveTo>
                                <a:lnTo>
                                  <a:pt x="39623" y="0"/>
                                </a:lnTo>
                              </a:path>
                              <a:path w="3941445" h="2745105">
                                <a:moveTo>
                                  <a:pt x="39623" y="2744724"/>
                                </a:moveTo>
                                <a:lnTo>
                                  <a:pt x="3941064" y="2744724"/>
                                </a:lnTo>
                              </a:path>
                            </a:pathLst>
                          </a:custGeom>
                          <a:ln w="9144">
                            <a:solidFill>
                              <a:srgbClr val="858585"/>
                            </a:solidFill>
                            <a:prstDash val="solid"/>
                          </a:ln>
                        </wps:spPr>
                        <wps:bodyPr wrap="square" lIns="0" tIns="0" rIns="0" bIns="0" rtlCol="0">
                          <a:prstTxWarp prst="textNoShape">
                            <a:avLst/>
                          </a:prstTxWarp>
                          <a:noAutofit/>
                        </wps:bodyPr>
                      </wps:wsp>
                      <wps:wsp>
                        <wps:cNvPr id="24" name="Graphic 24"/>
                        <wps:cNvSpPr/>
                        <wps:spPr>
                          <a:xfrm>
                            <a:off x="401447" y="278384"/>
                            <a:ext cx="3178810" cy="2223135"/>
                          </a:xfrm>
                          <a:custGeom>
                            <a:avLst/>
                            <a:gdLst/>
                            <a:ahLst/>
                            <a:cxnLst/>
                            <a:rect l="l" t="t" r="r" b="b"/>
                            <a:pathLst>
                              <a:path w="3178810" h="2223135">
                                <a:moveTo>
                                  <a:pt x="28575" y="2222754"/>
                                </a:moveTo>
                                <a:lnTo>
                                  <a:pt x="28575" y="2222754"/>
                                </a:lnTo>
                                <a:lnTo>
                                  <a:pt x="28575" y="2185415"/>
                                </a:lnTo>
                              </a:path>
                              <a:path w="3178810" h="2223135">
                                <a:moveTo>
                                  <a:pt x="0" y="2185415"/>
                                </a:moveTo>
                                <a:lnTo>
                                  <a:pt x="57150" y="2185415"/>
                                </a:lnTo>
                              </a:path>
                              <a:path w="3178810" h="2223135">
                                <a:moveTo>
                                  <a:pt x="808863" y="2211704"/>
                                </a:moveTo>
                                <a:lnTo>
                                  <a:pt x="808863" y="2211704"/>
                                </a:lnTo>
                                <a:lnTo>
                                  <a:pt x="808863" y="2172842"/>
                                </a:lnTo>
                              </a:path>
                              <a:path w="3178810" h="2223135">
                                <a:moveTo>
                                  <a:pt x="780288" y="2172842"/>
                                </a:moveTo>
                                <a:lnTo>
                                  <a:pt x="837438" y="2172842"/>
                                </a:lnTo>
                              </a:path>
                              <a:path w="3178810" h="2223135">
                                <a:moveTo>
                                  <a:pt x="1589278" y="2211704"/>
                                </a:moveTo>
                                <a:lnTo>
                                  <a:pt x="1589278" y="2211704"/>
                                </a:lnTo>
                                <a:lnTo>
                                  <a:pt x="1589278" y="2172842"/>
                                </a:lnTo>
                              </a:path>
                              <a:path w="3178810" h="2223135">
                                <a:moveTo>
                                  <a:pt x="1560703" y="2172842"/>
                                </a:moveTo>
                                <a:lnTo>
                                  <a:pt x="1617853" y="2172842"/>
                                </a:lnTo>
                              </a:path>
                              <a:path w="3178810" h="2223135">
                                <a:moveTo>
                                  <a:pt x="2369693" y="2142744"/>
                                </a:moveTo>
                                <a:lnTo>
                                  <a:pt x="2369693" y="2142744"/>
                                </a:lnTo>
                                <a:lnTo>
                                  <a:pt x="2369693" y="2093467"/>
                                </a:lnTo>
                              </a:path>
                              <a:path w="3178810" h="2223135">
                                <a:moveTo>
                                  <a:pt x="2341118" y="2093467"/>
                                </a:moveTo>
                                <a:lnTo>
                                  <a:pt x="2398268" y="2093467"/>
                                </a:lnTo>
                              </a:path>
                              <a:path w="3178810" h="2223135">
                                <a:moveTo>
                                  <a:pt x="3150108" y="2185034"/>
                                </a:moveTo>
                                <a:lnTo>
                                  <a:pt x="3150108" y="2185034"/>
                                </a:lnTo>
                                <a:lnTo>
                                  <a:pt x="3150108" y="2142108"/>
                                </a:lnTo>
                              </a:path>
                              <a:path w="3178810" h="2223135">
                                <a:moveTo>
                                  <a:pt x="3121533" y="2142108"/>
                                </a:moveTo>
                                <a:lnTo>
                                  <a:pt x="3178683" y="2142108"/>
                                </a:lnTo>
                              </a:path>
                              <a:path w="3178810" h="2223135">
                                <a:moveTo>
                                  <a:pt x="28575" y="678814"/>
                                </a:moveTo>
                                <a:lnTo>
                                  <a:pt x="28575" y="719835"/>
                                </a:lnTo>
                              </a:path>
                              <a:path w="3178810" h="2223135">
                                <a:moveTo>
                                  <a:pt x="0" y="678814"/>
                                </a:moveTo>
                                <a:lnTo>
                                  <a:pt x="57150" y="678814"/>
                                </a:lnTo>
                              </a:path>
                              <a:path w="3178810" h="2223135">
                                <a:moveTo>
                                  <a:pt x="808863" y="291719"/>
                                </a:moveTo>
                                <a:lnTo>
                                  <a:pt x="808863" y="351027"/>
                                </a:lnTo>
                              </a:path>
                              <a:path w="3178810" h="2223135">
                                <a:moveTo>
                                  <a:pt x="780288" y="291719"/>
                                </a:moveTo>
                                <a:lnTo>
                                  <a:pt x="837438" y="291719"/>
                                </a:lnTo>
                              </a:path>
                              <a:path w="3178810" h="2223135">
                                <a:moveTo>
                                  <a:pt x="1589278" y="257936"/>
                                </a:moveTo>
                                <a:lnTo>
                                  <a:pt x="1589278" y="319023"/>
                                </a:lnTo>
                              </a:path>
                              <a:path w="3178810" h="2223135">
                                <a:moveTo>
                                  <a:pt x="1560703" y="257936"/>
                                </a:moveTo>
                                <a:lnTo>
                                  <a:pt x="1617853" y="257936"/>
                                </a:lnTo>
                              </a:path>
                              <a:path w="3178810" h="2223135">
                                <a:moveTo>
                                  <a:pt x="2369693" y="349376"/>
                                </a:moveTo>
                                <a:lnTo>
                                  <a:pt x="2369693" y="405891"/>
                                </a:lnTo>
                              </a:path>
                              <a:path w="3178810" h="2223135">
                                <a:moveTo>
                                  <a:pt x="2341118" y="349376"/>
                                </a:moveTo>
                                <a:lnTo>
                                  <a:pt x="2398268" y="349376"/>
                                </a:lnTo>
                              </a:path>
                              <a:path w="3178810" h="2223135">
                                <a:moveTo>
                                  <a:pt x="3150108" y="0"/>
                                </a:moveTo>
                                <a:lnTo>
                                  <a:pt x="3150108" y="73659"/>
                                </a:lnTo>
                              </a:path>
                              <a:path w="3178810" h="2223135">
                                <a:moveTo>
                                  <a:pt x="3121533" y="0"/>
                                </a:moveTo>
                                <a:lnTo>
                                  <a:pt x="3178683" y="0"/>
                                </a:lnTo>
                              </a:path>
                              <a:path w="3178810" h="2223135">
                                <a:moveTo>
                                  <a:pt x="28575" y="808227"/>
                                </a:moveTo>
                                <a:lnTo>
                                  <a:pt x="28575" y="850519"/>
                                </a:lnTo>
                              </a:path>
                              <a:path w="3178810" h="2223135">
                                <a:moveTo>
                                  <a:pt x="808863" y="1452245"/>
                                </a:moveTo>
                                <a:lnTo>
                                  <a:pt x="808863" y="1452245"/>
                                </a:lnTo>
                                <a:lnTo>
                                  <a:pt x="808863" y="1401317"/>
                                </a:lnTo>
                              </a:path>
                              <a:path w="3178810" h="2223135">
                                <a:moveTo>
                                  <a:pt x="780288" y="1401317"/>
                                </a:moveTo>
                                <a:lnTo>
                                  <a:pt x="837438" y="1401317"/>
                                </a:lnTo>
                              </a:path>
                              <a:path w="3178810" h="2223135">
                                <a:moveTo>
                                  <a:pt x="1589278" y="1726056"/>
                                </a:moveTo>
                                <a:lnTo>
                                  <a:pt x="1589278" y="1726056"/>
                                </a:lnTo>
                                <a:lnTo>
                                  <a:pt x="1589278" y="1688846"/>
                                </a:lnTo>
                              </a:path>
                              <a:path w="3178810" h="2223135">
                                <a:moveTo>
                                  <a:pt x="1560703" y="1688846"/>
                                </a:moveTo>
                                <a:lnTo>
                                  <a:pt x="1617853" y="1688846"/>
                                </a:lnTo>
                              </a:path>
                              <a:path w="3178810" h="2223135">
                                <a:moveTo>
                                  <a:pt x="2369693" y="1918334"/>
                                </a:moveTo>
                                <a:lnTo>
                                  <a:pt x="2369693" y="1918334"/>
                                </a:lnTo>
                                <a:lnTo>
                                  <a:pt x="2369693" y="1890649"/>
                                </a:lnTo>
                              </a:path>
                              <a:path w="3178810" h="2223135">
                                <a:moveTo>
                                  <a:pt x="2341118" y="1890649"/>
                                </a:moveTo>
                                <a:lnTo>
                                  <a:pt x="2398268" y="1890649"/>
                                </a:lnTo>
                              </a:path>
                              <a:path w="3178810" h="2223135">
                                <a:moveTo>
                                  <a:pt x="3150108" y="1693163"/>
                                </a:moveTo>
                                <a:lnTo>
                                  <a:pt x="3150108" y="1693163"/>
                                </a:lnTo>
                                <a:lnTo>
                                  <a:pt x="3150108" y="1654302"/>
                                </a:lnTo>
                              </a:path>
                              <a:path w="3178810" h="2223135">
                                <a:moveTo>
                                  <a:pt x="3121533" y="1654302"/>
                                </a:moveTo>
                                <a:lnTo>
                                  <a:pt x="3178683" y="1654302"/>
                                </a:lnTo>
                              </a:path>
                              <a:path w="3178810" h="2223135">
                                <a:moveTo>
                                  <a:pt x="28575" y="652526"/>
                                </a:moveTo>
                                <a:lnTo>
                                  <a:pt x="28575" y="719835"/>
                                </a:lnTo>
                              </a:path>
                              <a:path w="3178810" h="2223135">
                                <a:moveTo>
                                  <a:pt x="0" y="652526"/>
                                </a:moveTo>
                                <a:lnTo>
                                  <a:pt x="57150" y="652526"/>
                                </a:lnTo>
                              </a:path>
                              <a:path w="3178810" h="2223135">
                                <a:moveTo>
                                  <a:pt x="808863" y="301371"/>
                                </a:moveTo>
                                <a:lnTo>
                                  <a:pt x="808863" y="301371"/>
                                </a:lnTo>
                                <a:lnTo>
                                  <a:pt x="808863" y="192785"/>
                                </a:lnTo>
                              </a:path>
                              <a:path w="3178810" h="2223135">
                                <a:moveTo>
                                  <a:pt x="780288" y="192785"/>
                                </a:moveTo>
                                <a:lnTo>
                                  <a:pt x="837438" y="192785"/>
                                </a:lnTo>
                              </a:path>
                              <a:path w="3178810" h="2223135">
                                <a:moveTo>
                                  <a:pt x="1589278" y="694435"/>
                                </a:moveTo>
                                <a:lnTo>
                                  <a:pt x="1589278" y="694435"/>
                                </a:lnTo>
                                <a:lnTo>
                                  <a:pt x="1589278" y="605535"/>
                                </a:lnTo>
                              </a:path>
                              <a:path w="3178810" h="2223135">
                                <a:moveTo>
                                  <a:pt x="1560703" y="605535"/>
                                </a:moveTo>
                                <a:lnTo>
                                  <a:pt x="1617853" y="605535"/>
                                </a:lnTo>
                              </a:path>
                              <a:path w="3178810" h="2223135">
                                <a:moveTo>
                                  <a:pt x="2369693" y="1507998"/>
                                </a:moveTo>
                                <a:lnTo>
                                  <a:pt x="2369693" y="1507998"/>
                                </a:lnTo>
                                <a:lnTo>
                                  <a:pt x="2369693" y="1459864"/>
                                </a:lnTo>
                              </a:path>
                              <a:path w="3178810" h="2223135">
                                <a:moveTo>
                                  <a:pt x="2341118" y="1459864"/>
                                </a:moveTo>
                                <a:lnTo>
                                  <a:pt x="2398268" y="1459864"/>
                                </a:lnTo>
                              </a:path>
                              <a:path w="3178810" h="2223135">
                                <a:moveTo>
                                  <a:pt x="3150108" y="1552702"/>
                                </a:moveTo>
                                <a:lnTo>
                                  <a:pt x="3150108" y="1552702"/>
                                </a:lnTo>
                                <a:lnTo>
                                  <a:pt x="3150108" y="1506727"/>
                                </a:lnTo>
                              </a:path>
                              <a:path w="3178810" h="2223135">
                                <a:moveTo>
                                  <a:pt x="3121533" y="1506727"/>
                                </a:moveTo>
                                <a:lnTo>
                                  <a:pt x="3178683" y="1506727"/>
                                </a:lnTo>
                              </a:path>
                              <a:path w="3178810" h="2223135">
                                <a:moveTo>
                                  <a:pt x="28575" y="708532"/>
                                </a:moveTo>
                                <a:lnTo>
                                  <a:pt x="28575" y="708532"/>
                                </a:lnTo>
                                <a:lnTo>
                                  <a:pt x="28575" y="620395"/>
                                </a:lnTo>
                              </a:path>
                              <a:path w="3178810" h="2223135">
                                <a:moveTo>
                                  <a:pt x="0" y="620395"/>
                                </a:moveTo>
                                <a:lnTo>
                                  <a:pt x="57150" y="620395"/>
                                </a:lnTo>
                              </a:path>
                              <a:path w="3178810" h="2223135">
                                <a:moveTo>
                                  <a:pt x="808863" y="857630"/>
                                </a:moveTo>
                                <a:lnTo>
                                  <a:pt x="808863" y="857630"/>
                                </a:lnTo>
                                <a:lnTo>
                                  <a:pt x="808863" y="776858"/>
                                </a:lnTo>
                              </a:path>
                              <a:path w="3178810" h="2223135">
                                <a:moveTo>
                                  <a:pt x="780288" y="776858"/>
                                </a:moveTo>
                                <a:lnTo>
                                  <a:pt x="837438" y="776858"/>
                                </a:lnTo>
                              </a:path>
                              <a:path w="3178810" h="2223135">
                                <a:moveTo>
                                  <a:pt x="1589278" y="1806194"/>
                                </a:moveTo>
                                <a:lnTo>
                                  <a:pt x="1589278" y="1806194"/>
                                </a:lnTo>
                                <a:lnTo>
                                  <a:pt x="1589278" y="1772920"/>
                                </a:lnTo>
                              </a:path>
                              <a:path w="3178810" h="2223135">
                                <a:moveTo>
                                  <a:pt x="1560703" y="1772920"/>
                                </a:moveTo>
                                <a:lnTo>
                                  <a:pt x="1617853" y="1772920"/>
                                </a:lnTo>
                              </a:path>
                              <a:path w="3178810" h="2223135">
                                <a:moveTo>
                                  <a:pt x="2369693" y="1766061"/>
                                </a:moveTo>
                                <a:lnTo>
                                  <a:pt x="2369693" y="1766061"/>
                                </a:lnTo>
                                <a:lnTo>
                                  <a:pt x="2369693" y="1730882"/>
                                </a:lnTo>
                              </a:path>
                              <a:path w="3178810" h="2223135">
                                <a:moveTo>
                                  <a:pt x="2341118" y="1730882"/>
                                </a:moveTo>
                                <a:lnTo>
                                  <a:pt x="2398268" y="1730882"/>
                                </a:lnTo>
                              </a:path>
                              <a:path w="3178810" h="2223135">
                                <a:moveTo>
                                  <a:pt x="3150108" y="1837562"/>
                                </a:moveTo>
                                <a:lnTo>
                                  <a:pt x="3150108" y="1837562"/>
                                </a:lnTo>
                                <a:lnTo>
                                  <a:pt x="3150108" y="1805812"/>
                                </a:lnTo>
                              </a:path>
                              <a:path w="3178810" h="2223135">
                                <a:moveTo>
                                  <a:pt x="3121533" y="1805812"/>
                                </a:moveTo>
                                <a:lnTo>
                                  <a:pt x="3178683" y="1805812"/>
                                </a:lnTo>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429768" y="2421635"/>
                            <a:ext cx="3121660" cy="79375"/>
                          </a:xfrm>
                          <a:custGeom>
                            <a:avLst/>
                            <a:gdLst/>
                            <a:ahLst/>
                            <a:cxnLst/>
                            <a:rect l="l" t="t" r="r" b="b"/>
                            <a:pathLst>
                              <a:path w="3121660" h="79375">
                                <a:moveTo>
                                  <a:pt x="0" y="79248"/>
                                </a:moveTo>
                                <a:lnTo>
                                  <a:pt x="780288" y="68579"/>
                                </a:lnTo>
                                <a:lnTo>
                                  <a:pt x="1560576" y="68579"/>
                                </a:lnTo>
                                <a:lnTo>
                                  <a:pt x="2340864" y="0"/>
                                </a:lnTo>
                                <a:lnTo>
                                  <a:pt x="3121152" y="42672"/>
                                </a:lnTo>
                              </a:path>
                            </a:pathLst>
                          </a:custGeom>
                          <a:ln w="27432">
                            <a:solidFill>
                              <a:srgbClr val="497DBA"/>
                            </a:solidFill>
                            <a:prstDash val="solid"/>
                          </a:ln>
                        </wps:spPr>
                        <wps:bodyPr wrap="square" lIns="0" tIns="0" rIns="0" bIns="0" rtlCol="0">
                          <a:prstTxWarp prst="textNoShape">
                            <a:avLst/>
                          </a:prstTxWarp>
                          <a:noAutofit/>
                        </wps:bodyPr>
                      </wps:wsp>
                      <pic:pic>
                        <pic:nvPicPr>
                          <pic:cNvPr id="26" name="Image 26"/>
                          <pic:cNvPicPr/>
                        </pic:nvPicPr>
                        <pic:blipFill>
                          <a:blip r:embed="rId7" cstate="print"/>
                          <a:stretch>
                            <a:fillRect/>
                          </a:stretch>
                        </pic:blipFill>
                        <pic:spPr>
                          <a:xfrm>
                            <a:off x="381000" y="2451480"/>
                            <a:ext cx="98044" cy="98170"/>
                          </a:xfrm>
                          <a:prstGeom prst="rect">
                            <a:avLst/>
                          </a:prstGeom>
                        </pic:spPr>
                      </pic:pic>
                      <pic:pic>
                        <pic:nvPicPr>
                          <pic:cNvPr id="27" name="Image 27"/>
                          <pic:cNvPicPr/>
                        </pic:nvPicPr>
                        <pic:blipFill>
                          <a:blip r:embed="rId8" cstate="print"/>
                          <a:stretch>
                            <a:fillRect/>
                          </a:stretch>
                        </pic:blipFill>
                        <pic:spPr>
                          <a:xfrm>
                            <a:off x="1161541" y="2440432"/>
                            <a:ext cx="98044" cy="98170"/>
                          </a:xfrm>
                          <a:prstGeom prst="rect">
                            <a:avLst/>
                          </a:prstGeom>
                        </pic:spPr>
                      </pic:pic>
                      <pic:pic>
                        <pic:nvPicPr>
                          <pic:cNvPr id="28" name="Image 28"/>
                          <pic:cNvPicPr/>
                        </pic:nvPicPr>
                        <pic:blipFill>
                          <a:blip r:embed="rId8" cstate="print"/>
                          <a:stretch>
                            <a:fillRect/>
                          </a:stretch>
                        </pic:blipFill>
                        <pic:spPr>
                          <a:xfrm>
                            <a:off x="1942083" y="2440432"/>
                            <a:ext cx="98044" cy="98170"/>
                          </a:xfrm>
                          <a:prstGeom prst="rect">
                            <a:avLst/>
                          </a:prstGeom>
                        </pic:spPr>
                      </pic:pic>
                      <pic:pic>
                        <pic:nvPicPr>
                          <pic:cNvPr id="29" name="Image 29"/>
                          <pic:cNvPicPr/>
                        </pic:nvPicPr>
                        <pic:blipFill>
                          <a:blip r:embed="rId9" cstate="print"/>
                          <a:stretch>
                            <a:fillRect/>
                          </a:stretch>
                        </pic:blipFill>
                        <pic:spPr>
                          <a:xfrm>
                            <a:off x="2722626" y="2371344"/>
                            <a:ext cx="98044" cy="98171"/>
                          </a:xfrm>
                          <a:prstGeom prst="rect">
                            <a:avLst/>
                          </a:prstGeom>
                        </pic:spPr>
                      </pic:pic>
                      <pic:pic>
                        <pic:nvPicPr>
                          <pic:cNvPr id="30" name="Image 30"/>
                          <pic:cNvPicPr/>
                        </pic:nvPicPr>
                        <pic:blipFill>
                          <a:blip r:embed="rId10" cstate="print"/>
                          <a:stretch>
                            <a:fillRect/>
                          </a:stretch>
                        </pic:blipFill>
                        <pic:spPr>
                          <a:xfrm>
                            <a:off x="3503167" y="2413761"/>
                            <a:ext cx="98044" cy="98171"/>
                          </a:xfrm>
                          <a:prstGeom prst="rect">
                            <a:avLst/>
                          </a:prstGeom>
                        </pic:spPr>
                      </pic:pic>
                      <wps:wsp>
                        <wps:cNvPr id="31" name="Graphic 31"/>
                        <wps:cNvSpPr/>
                        <wps:spPr>
                          <a:xfrm>
                            <a:off x="429768" y="396240"/>
                            <a:ext cx="3121660" cy="646430"/>
                          </a:xfrm>
                          <a:custGeom>
                            <a:avLst/>
                            <a:gdLst/>
                            <a:ahLst/>
                            <a:cxnLst/>
                            <a:rect l="l" t="t" r="r" b="b"/>
                            <a:pathLst>
                              <a:path w="3121660" h="646430">
                                <a:moveTo>
                                  <a:pt x="0" y="646176"/>
                                </a:moveTo>
                                <a:lnTo>
                                  <a:pt x="780288" y="277368"/>
                                </a:lnTo>
                                <a:lnTo>
                                  <a:pt x="1560576" y="245364"/>
                                </a:lnTo>
                                <a:lnTo>
                                  <a:pt x="2340864" y="332231"/>
                                </a:lnTo>
                                <a:lnTo>
                                  <a:pt x="3121152" y="0"/>
                                </a:lnTo>
                              </a:path>
                            </a:pathLst>
                          </a:custGeom>
                          <a:ln w="27432">
                            <a:solidFill>
                              <a:srgbClr val="BD4A47"/>
                            </a:solidFill>
                            <a:prstDash val="solid"/>
                          </a:ln>
                        </wps:spPr>
                        <wps:bodyPr wrap="square" lIns="0" tIns="0" rIns="0" bIns="0" rtlCol="0">
                          <a:prstTxWarp prst="textNoShape">
                            <a:avLst/>
                          </a:prstTxWarp>
                          <a:noAutofit/>
                        </wps:bodyPr>
                      </wps:wsp>
                      <wps:wsp>
                        <wps:cNvPr id="32" name="Graphic 32"/>
                        <wps:cNvSpPr/>
                        <wps:spPr>
                          <a:xfrm>
                            <a:off x="385572" y="998219"/>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33" name="Graphic 33"/>
                        <wps:cNvSpPr/>
                        <wps:spPr>
                          <a:xfrm>
                            <a:off x="385572" y="998219"/>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4" name="Graphic 34"/>
                        <wps:cNvSpPr/>
                        <wps:spPr>
                          <a:xfrm>
                            <a:off x="1165860" y="629412"/>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35" name="Graphic 35"/>
                        <wps:cNvSpPr/>
                        <wps:spPr>
                          <a:xfrm>
                            <a:off x="1165860" y="629412"/>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6" name="Graphic 36"/>
                        <wps:cNvSpPr/>
                        <wps:spPr>
                          <a:xfrm>
                            <a:off x="1946148" y="597408"/>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37" name="Graphic 37"/>
                        <wps:cNvSpPr/>
                        <wps:spPr>
                          <a:xfrm>
                            <a:off x="1946148" y="597408"/>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38" name="Graphic 38"/>
                        <wps:cNvSpPr/>
                        <wps:spPr>
                          <a:xfrm>
                            <a:off x="2726435" y="68427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39" name="Graphic 39"/>
                        <wps:cNvSpPr/>
                        <wps:spPr>
                          <a:xfrm>
                            <a:off x="2726435" y="68427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0" name="Graphic 40"/>
                        <wps:cNvSpPr/>
                        <wps:spPr>
                          <a:xfrm>
                            <a:off x="3508247" y="35204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41" name="Graphic 41"/>
                        <wps:cNvSpPr/>
                        <wps:spPr>
                          <a:xfrm>
                            <a:off x="3508247" y="35204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42" name="Graphic 42"/>
                        <wps:cNvSpPr/>
                        <wps:spPr>
                          <a:xfrm>
                            <a:off x="429768" y="1129283"/>
                            <a:ext cx="3121660" cy="1066800"/>
                          </a:xfrm>
                          <a:custGeom>
                            <a:avLst/>
                            <a:gdLst/>
                            <a:ahLst/>
                            <a:cxnLst/>
                            <a:rect l="l" t="t" r="r" b="b"/>
                            <a:pathLst>
                              <a:path w="3121660" h="1066800">
                                <a:moveTo>
                                  <a:pt x="0" y="0"/>
                                </a:moveTo>
                                <a:lnTo>
                                  <a:pt x="780288" y="600455"/>
                                </a:lnTo>
                                <a:lnTo>
                                  <a:pt x="1560576" y="874776"/>
                                </a:lnTo>
                                <a:lnTo>
                                  <a:pt x="2340864" y="1066800"/>
                                </a:lnTo>
                                <a:lnTo>
                                  <a:pt x="3121152" y="841248"/>
                                </a:lnTo>
                              </a:path>
                            </a:pathLst>
                          </a:custGeom>
                          <a:ln w="27432">
                            <a:solidFill>
                              <a:srgbClr val="97B853"/>
                            </a:solidFill>
                            <a:prstDash val="solid"/>
                          </a:ln>
                        </wps:spPr>
                        <wps:bodyPr wrap="square" lIns="0" tIns="0" rIns="0" bIns="0" rtlCol="0">
                          <a:prstTxWarp prst="textNoShape">
                            <a:avLst/>
                          </a:prstTxWarp>
                          <a:noAutofit/>
                        </wps:bodyPr>
                      </wps:wsp>
                      <pic:pic>
                        <pic:nvPicPr>
                          <pic:cNvPr id="43" name="Image 43"/>
                          <pic:cNvPicPr/>
                        </pic:nvPicPr>
                        <pic:blipFill>
                          <a:blip r:embed="rId11" cstate="print"/>
                          <a:stretch>
                            <a:fillRect/>
                          </a:stretch>
                        </pic:blipFill>
                        <pic:spPr>
                          <a:xfrm>
                            <a:off x="381000" y="1080516"/>
                            <a:ext cx="98044" cy="98044"/>
                          </a:xfrm>
                          <a:prstGeom prst="rect">
                            <a:avLst/>
                          </a:prstGeom>
                        </pic:spPr>
                      </pic:pic>
                      <pic:pic>
                        <pic:nvPicPr>
                          <pic:cNvPr id="44" name="Image 44"/>
                          <pic:cNvPicPr/>
                        </pic:nvPicPr>
                        <pic:blipFill>
                          <a:blip r:embed="rId12" cstate="print"/>
                          <a:stretch>
                            <a:fillRect/>
                          </a:stretch>
                        </pic:blipFill>
                        <pic:spPr>
                          <a:xfrm>
                            <a:off x="1161541" y="1682242"/>
                            <a:ext cx="98044" cy="98044"/>
                          </a:xfrm>
                          <a:prstGeom prst="rect">
                            <a:avLst/>
                          </a:prstGeom>
                        </pic:spPr>
                      </pic:pic>
                      <pic:pic>
                        <pic:nvPicPr>
                          <pic:cNvPr id="45" name="Image 45"/>
                          <pic:cNvPicPr/>
                        </pic:nvPicPr>
                        <pic:blipFill>
                          <a:blip r:embed="rId13" cstate="print"/>
                          <a:stretch>
                            <a:fillRect/>
                          </a:stretch>
                        </pic:blipFill>
                        <pic:spPr>
                          <a:xfrm>
                            <a:off x="1942083" y="1956054"/>
                            <a:ext cx="98044" cy="98044"/>
                          </a:xfrm>
                          <a:prstGeom prst="rect">
                            <a:avLst/>
                          </a:prstGeom>
                        </pic:spPr>
                      </pic:pic>
                      <pic:pic>
                        <pic:nvPicPr>
                          <pic:cNvPr id="46" name="Image 46"/>
                          <pic:cNvPicPr/>
                        </pic:nvPicPr>
                        <pic:blipFill>
                          <a:blip r:embed="rId13" cstate="print"/>
                          <a:stretch>
                            <a:fillRect/>
                          </a:stretch>
                        </pic:blipFill>
                        <pic:spPr>
                          <a:xfrm>
                            <a:off x="2722626" y="2148332"/>
                            <a:ext cx="98044" cy="98044"/>
                          </a:xfrm>
                          <a:prstGeom prst="rect">
                            <a:avLst/>
                          </a:prstGeom>
                        </pic:spPr>
                      </pic:pic>
                      <pic:pic>
                        <pic:nvPicPr>
                          <pic:cNvPr id="47" name="Image 47"/>
                          <pic:cNvPicPr/>
                        </pic:nvPicPr>
                        <pic:blipFill>
                          <a:blip r:embed="rId13" cstate="print"/>
                          <a:stretch>
                            <a:fillRect/>
                          </a:stretch>
                        </pic:blipFill>
                        <pic:spPr>
                          <a:xfrm>
                            <a:off x="3503167" y="1923160"/>
                            <a:ext cx="98044" cy="98044"/>
                          </a:xfrm>
                          <a:prstGeom prst="rect">
                            <a:avLst/>
                          </a:prstGeom>
                        </pic:spPr>
                      </pic:pic>
                      <wps:wsp>
                        <wps:cNvPr id="48" name="Graphic 48"/>
                        <wps:cNvSpPr/>
                        <wps:spPr>
                          <a:xfrm>
                            <a:off x="429768" y="579119"/>
                            <a:ext cx="3121660" cy="1252855"/>
                          </a:xfrm>
                          <a:custGeom>
                            <a:avLst/>
                            <a:gdLst/>
                            <a:ahLst/>
                            <a:cxnLst/>
                            <a:rect l="l" t="t" r="r" b="b"/>
                            <a:pathLst>
                              <a:path w="3121660" h="1252855">
                                <a:moveTo>
                                  <a:pt x="0" y="438912"/>
                                </a:moveTo>
                                <a:lnTo>
                                  <a:pt x="780288" y="0"/>
                                </a:lnTo>
                                <a:lnTo>
                                  <a:pt x="1560576" y="393192"/>
                                </a:lnTo>
                                <a:lnTo>
                                  <a:pt x="2340864" y="1208531"/>
                                </a:lnTo>
                                <a:lnTo>
                                  <a:pt x="3121152" y="1252727"/>
                                </a:lnTo>
                              </a:path>
                            </a:pathLst>
                          </a:custGeom>
                          <a:ln w="27432">
                            <a:solidFill>
                              <a:srgbClr val="7C5F9F"/>
                            </a:solidFill>
                            <a:prstDash val="solid"/>
                          </a:ln>
                        </wps:spPr>
                        <wps:bodyPr wrap="square" lIns="0" tIns="0" rIns="0" bIns="0" rtlCol="0">
                          <a:prstTxWarp prst="textNoShape">
                            <a:avLst/>
                          </a:prstTxWarp>
                          <a:noAutofit/>
                        </wps:bodyPr>
                      </wps:wsp>
                      <wps:wsp>
                        <wps:cNvPr id="49" name="Graphic 49"/>
                        <wps:cNvSpPr/>
                        <wps:spPr>
                          <a:xfrm>
                            <a:off x="385572" y="534923"/>
                            <a:ext cx="3211195" cy="1341120"/>
                          </a:xfrm>
                          <a:custGeom>
                            <a:avLst/>
                            <a:gdLst/>
                            <a:ahLst/>
                            <a:cxnLst/>
                            <a:rect l="l" t="t" r="r" b="b"/>
                            <a:pathLst>
                              <a:path w="3211195" h="1341120">
                                <a:moveTo>
                                  <a:pt x="44195" y="482346"/>
                                </a:moveTo>
                                <a:lnTo>
                                  <a:pt x="0" y="527304"/>
                                </a:lnTo>
                                <a:lnTo>
                                  <a:pt x="88392" y="527304"/>
                                </a:lnTo>
                                <a:lnTo>
                                  <a:pt x="44195" y="482346"/>
                                </a:lnTo>
                                <a:close/>
                              </a:path>
                              <a:path w="3211195" h="1341120">
                                <a:moveTo>
                                  <a:pt x="88392" y="437388"/>
                                </a:moveTo>
                                <a:lnTo>
                                  <a:pt x="0" y="437388"/>
                                </a:lnTo>
                                <a:lnTo>
                                  <a:pt x="44195" y="482346"/>
                                </a:lnTo>
                                <a:lnTo>
                                  <a:pt x="88392" y="437388"/>
                                </a:lnTo>
                                <a:close/>
                              </a:path>
                              <a:path w="3211195" h="1341120">
                                <a:moveTo>
                                  <a:pt x="825245" y="44196"/>
                                </a:moveTo>
                                <a:lnTo>
                                  <a:pt x="780288" y="88392"/>
                                </a:lnTo>
                                <a:lnTo>
                                  <a:pt x="870204" y="88392"/>
                                </a:lnTo>
                                <a:lnTo>
                                  <a:pt x="825245" y="44196"/>
                                </a:lnTo>
                                <a:close/>
                              </a:path>
                              <a:path w="3211195" h="1341120">
                                <a:moveTo>
                                  <a:pt x="870204" y="0"/>
                                </a:moveTo>
                                <a:lnTo>
                                  <a:pt x="780288" y="0"/>
                                </a:lnTo>
                                <a:lnTo>
                                  <a:pt x="825245" y="44196"/>
                                </a:lnTo>
                                <a:lnTo>
                                  <a:pt x="870204" y="0"/>
                                </a:lnTo>
                                <a:close/>
                              </a:path>
                              <a:path w="3211195" h="1341120">
                                <a:moveTo>
                                  <a:pt x="1605533" y="437388"/>
                                </a:moveTo>
                                <a:lnTo>
                                  <a:pt x="1560576" y="481584"/>
                                </a:lnTo>
                                <a:lnTo>
                                  <a:pt x="1650492" y="481584"/>
                                </a:lnTo>
                                <a:lnTo>
                                  <a:pt x="1605533" y="437388"/>
                                </a:lnTo>
                                <a:close/>
                              </a:path>
                              <a:path w="3211195" h="1341120">
                                <a:moveTo>
                                  <a:pt x="1650492" y="393192"/>
                                </a:moveTo>
                                <a:lnTo>
                                  <a:pt x="1560576" y="393192"/>
                                </a:lnTo>
                                <a:lnTo>
                                  <a:pt x="1605533" y="437388"/>
                                </a:lnTo>
                                <a:lnTo>
                                  <a:pt x="1650492" y="393192"/>
                                </a:lnTo>
                                <a:close/>
                              </a:path>
                              <a:path w="3211195" h="1341120">
                                <a:moveTo>
                                  <a:pt x="2385822" y="1251966"/>
                                </a:moveTo>
                                <a:lnTo>
                                  <a:pt x="2340864" y="1296924"/>
                                </a:lnTo>
                                <a:lnTo>
                                  <a:pt x="2430780" y="1296924"/>
                                </a:lnTo>
                                <a:lnTo>
                                  <a:pt x="2385822" y="1251966"/>
                                </a:lnTo>
                                <a:close/>
                              </a:path>
                              <a:path w="3211195" h="1341120">
                                <a:moveTo>
                                  <a:pt x="2430780" y="1207008"/>
                                </a:moveTo>
                                <a:lnTo>
                                  <a:pt x="2340864" y="1207008"/>
                                </a:lnTo>
                                <a:lnTo>
                                  <a:pt x="2385822" y="1251966"/>
                                </a:lnTo>
                                <a:lnTo>
                                  <a:pt x="2430780" y="1207008"/>
                                </a:lnTo>
                                <a:close/>
                              </a:path>
                              <a:path w="3211195" h="1341120">
                                <a:moveTo>
                                  <a:pt x="3166872" y="1296924"/>
                                </a:moveTo>
                                <a:lnTo>
                                  <a:pt x="3122676" y="1341120"/>
                                </a:lnTo>
                                <a:lnTo>
                                  <a:pt x="3211068" y="1341120"/>
                                </a:lnTo>
                                <a:lnTo>
                                  <a:pt x="3166872" y="1296924"/>
                                </a:lnTo>
                                <a:close/>
                              </a:path>
                              <a:path w="3211195" h="1341120">
                                <a:moveTo>
                                  <a:pt x="3211068" y="1252727"/>
                                </a:moveTo>
                                <a:lnTo>
                                  <a:pt x="3122676" y="1252727"/>
                                </a:lnTo>
                                <a:lnTo>
                                  <a:pt x="3166872" y="1296924"/>
                                </a:lnTo>
                                <a:lnTo>
                                  <a:pt x="3211068" y="1252727"/>
                                </a:lnTo>
                                <a:close/>
                              </a:path>
                            </a:pathLst>
                          </a:custGeom>
                          <a:solidFill>
                            <a:srgbClr val="8063A1"/>
                          </a:solidFill>
                        </wps:spPr>
                        <wps:bodyPr wrap="square" lIns="0" tIns="0" rIns="0" bIns="0" rtlCol="0">
                          <a:prstTxWarp prst="textNoShape">
                            <a:avLst/>
                          </a:prstTxWarp>
                          <a:noAutofit/>
                        </wps:bodyPr>
                      </wps:wsp>
                      <wps:wsp>
                        <wps:cNvPr id="50" name="Graphic 50"/>
                        <wps:cNvSpPr/>
                        <wps:spPr>
                          <a:xfrm>
                            <a:off x="385572" y="534923"/>
                            <a:ext cx="3211195" cy="1341120"/>
                          </a:xfrm>
                          <a:custGeom>
                            <a:avLst/>
                            <a:gdLst/>
                            <a:ahLst/>
                            <a:cxnLst/>
                            <a:rect l="l" t="t" r="r" b="b"/>
                            <a:pathLst>
                              <a:path w="3211195" h="1341120">
                                <a:moveTo>
                                  <a:pt x="88392" y="527304"/>
                                </a:moveTo>
                                <a:lnTo>
                                  <a:pt x="0" y="437388"/>
                                </a:lnTo>
                              </a:path>
                              <a:path w="3211195" h="1341120">
                                <a:moveTo>
                                  <a:pt x="0" y="527304"/>
                                </a:moveTo>
                                <a:lnTo>
                                  <a:pt x="88392" y="437388"/>
                                </a:lnTo>
                              </a:path>
                              <a:path w="3211195" h="1341120">
                                <a:moveTo>
                                  <a:pt x="870204" y="88392"/>
                                </a:moveTo>
                                <a:lnTo>
                                  <a:pt x="780288" y="0"/>
                                </a:lnTo>
                              </a:path>
                              <a:path w="3211195" h="1341120">
                                <a:moveTo>
                                  <a:pt x="780288" y="88392"/>
                                </a:moveTo>
                                <a:lnTo>
                                  <a:pt x="870204" y="0"/>
                                </a:lnTo>
                              </a:path>
                              <a:path w="3211195" h="1341120">
                                <a:moveTo>
                                  <a:pt x="1650492" y="481584"/>
                                </a:moveTo>
                                <a:lnTo>
                                  <a:pt x="1560576" y="393192"/>
                                </a:lnTo>
                              </a:path>
                              <a:path w="3211195" h="1341120">
                                <a:moveTo>
                                  <a:pt x="1560576" y="481584"/>
                                </a:moveTo>
                                <a:lnTo>
                                  <a:pt x="1650492" y="393192"/>
                                </a:lnTo>
                              </a:path>
                              <a:path w="3211195" h="1341120">
                                <a:moveTo>
                                  <a:pt x="2430780" y="1296924"/>
                                </a:moveTo>
                                <a:lnTo>
                                  <a:pt x="2340864" y="1207008"/>
                                </a:lnTo>
                              </a:path>
                              <a:path w="3211195" h="1341120">
                                <a:moveTo>
                                  <a:pt x="2340864" y="1296924"/>
                                </a:moveTo>
                                <a:lnTo>
                                  <a:pt x="2430780" y="1207008"/>
                                </a:lnTo>
                              </a:path>
                              <a:path w="3211195" h="1341120">
                                <a:moveTo>
                                  <a:pt x="3211068" y="1341120"/>
                                </a:moveTo>
                                <a:lnTo>
                                  <a:pt x="3122676" y="1252727"/>
                                </a:lnTo>
                              </a:path>
                              <a:path w="3211195" h="1341120">
                                <a:moveTo>
                                  <a:pt x="3122676" y="1341120"/>
                                </a:moveTo>
                                <a:lnTo>
                                  <a:pt x="3211068" y="1252727"/>
                                </a:lnTo>
                              </a:path>
                            </a:pathLst>
                          </a:custGeom>
                          <a:ln w="9144">
                            <a:solidFill>
                              <a:srgbClr val="7C5F9F"/>
                            </a:solidFill>
                            <a:prstDash val="solid"/>
                          </a:ln>
                        </wps:spPr>
                        <wps:bodyPr wrap="square" lIns="0" tIns="0" rIns="0" bIns="0" rtlCol="0">
                          <a:prstTxWarp prst="textNoShape">
                            <a:avLst/>
                          </a:prstTxWarp>
                          <a:noAutofit/>
                        </wps:bodyPr>
                      </wps:wsp>
                      <wps:wsp>
                        <wps:cNvPr id="51" name="Graphic 51"/>
                        <wps:cNvSpPr/>
                        <wps:spPr>
                          <a:xfrm>
                            <a:off x="429768" y="987552"/>
                            <a:ext cx="3121660" cy="1127760"/>
                          </a:xfrm>
                          <a:custGeom>
                            <a:avLst/>
                            <a:gdLst/>
                            <a:ahLst/>
                            <a:cxnLst/>
                            <a:rect l="l" t="t" r="r" b="b"/>
                            <a:pathLst>
                              <a:path w="3121660" h="1127760">
                                <a:moveTo>
                                  <a:pt x="0" y="0"/>
                                </a:moveTo>
                                <a:lnTo>
                                  <a:pt x="780288" y="149352"/>
                                </a:lnTo>
                                <a:lnTo>
                                  <a:pt x="1560576" y="1095756"/>
                                </a:lnTo>
                                <a:lnTo>
                                  <a:pt x="2340864" y="1056132"/>
                                </a:lnTo>
                                <a:lnTo>
                                  <a:pt x="3121152" y="1127760"/>
                                </a:lnTo>
                              </a:path>
                            </a:pathLst>
                          </a:custGeom>
                          <a:ln w="27431">
                            <a:solidFill>
                              <a:srgbClr val="46AAC5"/>
                            </a:solidFill>
                            <a:prstDash val="solid"/>
                          </a:ln>
                        </wps:spPr>
                        <wps:bodyPr wrap="square" lIns="0" tIns="0" rIns="0" bIns="0" rtlCol="0">
                          <a:prstTxWarp prst="textNoShape">
                            <a:avLst/>
                          </a:prstTxWarp>
                          <a:noAutofit/>
                        </wps:bodyPr>
                      </wps:wsp>
                      <wps:wsp>
                        <wps:cNvPr id="52" name="Graphic 52"/>
                        <wps:cNvSpPr/>
                        <wps:spPr>
                          <a:xfrm>
                            <a:off x="385572" y="941832"/>
                            <a:ext cx="3167380" cy="1219200"/>
                          </a:xfrm>
                          <a:custGeom>
                            <a:avLst/>
                            <a:gdLst/>
                            <a:ahLst/>
                            <a:cxnLst/>
                            <a:rect l="l" t="t" r="r" b="b"/>
                            <a:pathLst>
                              <a:path w="3167380" h="1219200">
                                <a:moveTo>
                                  <a:pt x="44195" y="44196"/>
                                </a:moveTo>
                                <a:lnTo>
                                  <a:pt x="0" y="88391"/>
                                </a:lnTo>
                                <a:lnTo>
                                  <a:pt x="44195" y="88391"/>
                                </a:lnTo>
                                <a:lnTo>
                                  <a:pt x="44195" y="44196"/>
                                </a:lnTo>
                                <a:close/>
                              </a:path>
                              <a:path w="3167380" h="1219200">
                                <a:moveTo>
                                  <a:pt x="44195" y="0"/>
                                </a:moveTo>
                                <a:lnTo>
                                  <a:pt x="0" y="0"/>
                                </a:lnTo>
                                <a:lnTo>
                                  <a:pt x="44196" y="44196"/>
                                </a:lnTo>
                                <a:lnTo>
                                  <a:pt x="44195" y="0"/>
                                </a:lnTo>
                                <a:close/>
                              </a:path>
                              <a:path w="3167380" h="1219200">
                                <a:moveTo>
                                  <a:pt x="824483" y="194297"/>
                                </a:moveTo>
                                <a:lnTo>
                                  <a:pt x="780288" y="237743"/>
                                </a:lnTo>
                                <a:lnTo>
                                  <a:pt x="824483" y="237743"/>
                                </a:lnTo>
                                <a:lnTo>
                                  <a:pt x="824483" y="194297"/>
                                </a:lnTo>
                                <a:close/>
                              </a:path>
                              <a:path w="3167380" h="1219200">
                                <a:moveTo>
                                  <a:pt x="824483" y="192798"/>
                                </a:moveTo>
                                <a:lnTo>
                                  <a:pt x="824483" y="194297"/>
                                </a:lnTo>
                                <a:lnTo>
                                  <a:pt x="825245" y="193548"/>
                                </a:lnTo>
                                <a:lnTo>
                                  <a:pt x="824483" y="192798"/>
                                </a:lnTo>
                                <a:close/>
                              </a:path>
                              <a:path w="3167380" h="1219200">
                                <a:moveTo>
                                  <a:pt x="824483" y="149351"/>
                                </a:moveTo>
                                <a:lnTo>
                                  <a:pt x="780288" y="149351"/>
                                </a:lnTo>
                                <a:lnTo>
                                  <a:pt x="824483" y="192798"/>
                                </a:lnTo>
                                <a:lnTo>
                                  <a:pt x="824483" y="149351"/>
                                </a:lnTo>
                                <a:close/>
                              </a:path>
                              <a:path w="3167380" h="1219200">
                                <a:moveTo>
                                  <a:pt x="1605533" y="1143000"/>
                                </a:moveTo>
                                <a:lnTo>
                                  <a:pt x="1560576" y="1187196"/>
                                </a:lnTo>
                                <a:lnTo>
                                  <a:pt x="1606295" y="1187196"/>
                                </a:lnTo>
                                <a:lnTo>
                                  <a:pt x="1606295" y="1143749"/>
                                </a:lnTo>
                                <a:lnTo>
                                  <a:pt x="1605533" y="1143000"/>
                                </a:lnTo>
                                <a:close/>
                              </a:path>
                              <a:path w="3167380" h="1219200">
                                <a:moveTo>
                                  <a:pt x="1606295" y="1098803"/>
                                </a:moveTo>
                                <a:lnTo>
                                  <a:pt x="1560576" y="1098803"/>
                                </a:lnTo>
                                <a:lnTo>
                                  <a:pt x="1605533" y="1143000"/>
                                </a:lnTo>
                                <a:lnTo>
                                  <a:pt x="1606295" y="1142250"/>
                                </a:lnTo>
                                <a:lnTo>
                                  <a:pt x="1606295" y="1098803"/>
                                </a:lnTo>
                                <a:close/>
                              </a:path>
                              <a:path w="3167380" h="1219200">
                                <a:moveTo>
                                  <a:pt x="2385822" y="1103376"/>
                                </a:moveTo>
                                <a:lnTo>
                                  <a:pt x="2340864" y="1147572"/>
                                </a:lnTo>
                                <a:lnTo>
                                  <a:pt x="2386584" y="1147572"/>
                                </a:lnTo>
                                <a:lnTo>
                                  <a:pt x="2386584" y="1104125"/>
                                </a:lnTo>
                                <a:lnTo>
                                  <a:pt x="2385822" y="1103376"/>
                                </a:lnTo>
                                <a:close/>
                              </a:path>
                              <a:path w="3167380" h="1219200">
                                <a:moveTo>
                                  <a:pt x="2386584" y="1059179"/>
                                </a:moveTo>
                                <a:lnTo>
                                  <a:pt x="2340864" y="1059179"/>
                                </a:lnTo>
                                <a:lnTo>
                                  <a:pt x="2385822" y="1103376"/>
                                </a:lnTo>
                                <a:lnTo>
                                  <a:pt x="2386584" y="1102626"/>
                                </a:lnTo>
                                <a:lnTo>
                                  <a:pt x="2386584" y="1059179"/>
                                </a:lnTo>
                                <a:close/>
                              </a:path>
                              <a:path w="3167380" h="1219200">
                                <a:moveTo>
                                  <a:pt x="3166872" y="1175003"/>
                                </a:moveTo>
                                <a:lnTo>
                                  <a:pt x="3122676" y="1219200"/>
                                </a:lnTo>
                                <a:lnTo>
                                  <a:pt x="3166872" y="1219200"/>
                                </a:lnTo>
                                <a:lnTo>
                                  <a:pt x="3166872" y="1175003"/>
                                </a:lnTo>
                                <a:close/>
                              </a:path>
                              <a:path w="3167380" h="1219200">
                                <a:moveTo>
                                  <a:pt x="3166872" y="1130807"/>
                                </a:moveTo>
                                <a:lnTo>
                                  <a:pt x="3122676" y="1130807"/>
                                </a:lnTo>
                                <a:lnTo>
                                  <a:pt x="3166872" y="1175003"/>
                                </a:lnTo>
                                <a:lnTo>
                                  <a:pt x="3166872" y="1130807"/>
                                </a:lnTo>
                                <a:close/>
                              </a:path>
                            </a:pathLst>
                          </a:custGeom>
                          <a:solidFill>
                            <a:srgbClr val="4AACC5"/>
                          </a:solidFill>
                        </wps:spPr>
                        <wps:bodyPr wrap="square" lIns="0" tIns="0" rIns="0" bIns="0" rtlCol="0">
                          <a:prstTxWarp prst="textNoShape">
                            <a:avLst/>
                          </a:prstTxWarp>
                          <a:noAutofit/>
                        </wps:bodyPr>
                      </wps:wsp>
                      <wps:wsp>
                        <wps:cNvPr id="53" name="Graphic 53"/>
                        <wps:cNvSpPr/>
                        <wps:spPr>
                          <a:xfrm>
                            <a:off x="385572" y="941832"/>
                            <a:ext cx="3211195" cy="1219200"/>
                          </a:xfrm>
                          <a:custGeom>
                            <a:avLst/>
                            <a:gdLst/>
                            <a:ahLst/>
                            <a:cxnLst/>
                            <a:rect l="l" t="t" r="r" b="b"/>
                            <a:pathLst>
                              <a:path w="3211195" h="1219200">
                                <a:moveTo>
                                  <a:pt x="88392" y="88391"/>
                                </a:moveTo>
                                <a:lnTo>
                                  <a:pt x="0" y="0"/>
                                </a:lnTo>
                              </a:path>
                              <a:path w="3211195" h="1219200">
                                <a:moveTo>
                                  <a:pt x="44195" y="0"/>
                                </a:moveTo>
                                <a:lnTo>
                                  <a:pt x="44195" y="88391"/>
                                </a:lnTo>
                              </a:path>
                              <a:path w="3211195" h="1219200">
                                <a:moveTo>
                                  <a:pt x="0" y="88391"/>
                                </a:moveTo>
                                <a:lnTo>
                                  <a:pt x="88392" y="0"/>
                                </a:lnTo>
                              </a:path>
                              <a:path w="3211195" h="1219200">
                                <a:moveTo>
                                  <a:pt x="870204" y="237743"/>
                                </a:moveTo>
                                <a:lnTo>
                                  <a:pt x="780288" y="149351"/>
                                </a:lnTo>
                              </a:path>
                              <a:path w="3211195" h="1219200">
                                <a:moveTo>
                                  <a:pt x="824483" y="149351"/>
                                </a:moveTo>
                                <a:lnTo>
                                  <a:pt x="824483" y="237743"/>
                                </a:lnTo>
                              </a:path>
                              <a:path w="3211195" h="1219200">
                                <a:moveTo>
                                  <a:pt x="780288" y="237743"/>
                                </a:moveTo>
                                <a:lnTo>
                                  <a:pt x="870204" y="149351"/>
                                </a:lnTo>
                              </a:path>
                              <a:path w="3211195" h="1219200">
                                <a:moveTo>
                                  <a:pt x="1650492" y="1187196"/>
                                </a:moveTo>
                                <a:lnTo>
                                  <a:pt x="1560576" y="1098803"/>
                                </a:lnTo>
                              </a:path>
                              <a:path w="3211195" h="1219200">
                                <a:moveTo>
                                  <a:pt x="1606295" y="1098803"/>
                                </a:moveTo>
                                <a:lnTo>
                                  <a:pt x="1606295" y="1187196"/>
                                </a:lnTo>
                              </a:path>
                              <a:path w="3211195" h="1219200">
                                <a:moveTo>
                                  <a:pt x="1560576" y="1187196"/>
                                </a:moveTo>
                                <a:lnTo>
                                  <a:pt x="1650492" y="1098803"/>
                                </a:lnTo>
                              </a:path>
                              <a:path w="3211195" h="1219200">
                                <a:moveTo>
                                  <a:pt x="2430780" y="1147572"/>
                                </a:moveTo>
                                <a:lnTo>
                                  <a:pt x="2340864" y="1059179"/>
                                </a:lnTo>
                              </a:path>
                              <a:path w="3211195" h="1219200">
                                <a:moveTo>
                                  <a:pt x="2386584" y="1059179"/>
                                </a:moveTo>
                                <a:lnTo>
                                  <a:pt x="2386584" y="1147572"/>
                                </a:lnTo>
                              </a:path>
                              <a:path w="3211195" h="1219200">
                                <a:moveTo>
                                  <a:pt x="2340864" y="1147572"/>
                                </a:moveTo>
                                <a:lnTo>
                                  <a:pt x="2430780" y="1059179"/>
                                </a:lnTo>
                              </a:path>
                              <a:path w="3211195" h="1219200">
                                <a:moveTo>
                                  <a:pt x="3211068" y="1219200"/>
                                </a:moveTo>
                                <a:lnTo>
                                  <a:pt x="3122676" y="1130807"/>
                                </a:lnTo>
                              </a:path>
                              <a:path w="3211195" h="1219200">
                                <a:moveTo>
                                  <a:pt x="3166872" y="1130807"/>
                                </a:moveTo>
                                <a:lnTo>
                                  <a:pt x="3166872" y="1219200"/>
                                </a:lnTo>
                              </a:path>
                              <a:path w="3211195" h="1219200">
                                <a:moveTo>
                                  <a:pt x="3122676" y="1219200"/>
                                </a:moveTo>
                                <a:lnTo>
                                  <a:pt x="3211068" y="1130807"/>
                                </a:lnTo>
                              </a:path>
                            </a:pathLst>
                          </a:custGeom>
                          <a:ln w="9144">
                            <a:solidFill>
                              <a:srgbClr val="46AAC5"/>
                            </a:solidFill>
                            <a:prstDash val="solid"/>
                          </a:ln>
                        </wps:spPr>
                        <wps:bodyPr wrap="square" lIns="0" tIns="0" rIns="0" bIns="0" rtlCol="0">
                          <a:prstTxWarp prst="textNoShape">
                            <a:avLst/>
                          </a:prstTxWarp>
                          <a:noAutofit/>
                        </wps:bodyPr>
                      </wps:wsp>
                      <pic:pic>
                        <pic:nvPicPr>
                          <pic:cNvPr id="54" name="Image 54"/>
                          <pic:cNvPicPr/>
                        </pic:nvPicPr>
                        <pic:blipFill>
                          <a:blip r:embed="rId14" cstate="print"/>
                          <a:stretch>
                            <a:fillRect/>
                          </a:stretch>
                        </pic:blipFill>
                        <pic:spPr>
                          <a:xfrm>
                            <a:off x="3756659" y="548640"/>
                            <a:ext cx="243839" cy="85344"/>
                          </a:xfrm>
                          <a:prstGeom prst="rect">
                            <a:avLst/>
                          </a:prstGeom>
                        </pic:spPr>
                      </pic:pic>
                      <wps:wsp>
                        <wps:cNvPr id="55" name="Graphic 55"/>
                        <wps:cNvSpPr/>
                        <wps:spPr>
                          <a:xfrm>
                            <a:off x="3756659" y="821436"/>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56" name="Graphic 56"/>
                        <wps:cNvSpPr/>
                        <wps:spPr>
                          <a:xfrm>
                            <a:off x="3840479" y="7833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57" name="Graphic 57"/>
                        <wps:cNvSpPr/>
                        <wps:spPr>
                          <a:xfrm>
                            <a:off x="3840479" y="7833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pic:pic>
                        <pic:nvPicPr>
                          <pic:cNvPr id="58" name="Image 58"/>
                          <pic:cNvPicPr/>
                        </pic:nvPicPr>
                        <pic:blipFill>
                          <a:blip r:embed="rId15" cstate="print"/>
                          <a:stretch>
                            <a:fillRect/>
                          </a:stretch>
                        </pic:blipFill>
                        <pic:spPr>
                          <a:xfrm>
                            <a:off x="3756659" y="1007363"/>
                            <a:ext cx="243839" cy="85344"/>
                          </a:xfrm>
                          <a:prstGeom prst="rect">
                            <a:avLst/>
                          </a:prstGeom>
                        </pic:spPr>
                      </pic:pic>
                      <pic:pic>
                        <pic:nvPicPr>
                          <pic:cNvPr id="59" name="Image 59"/>
                          <pic:cNvPicPr/>
                        </pic:nvPicPr>
                        <pic:blipFill>
                          <a:blip r:embed="rId16" cstate="print"/>
                          <a:stretch>
                            <a:fillRect/>
                          </a:stretch>
                        </pic:blipFill>
                        <pic:spPr>
                          <a:xfrm>
                            <a:off x="3756659" y="1237488"/>
                            <a:ext cx="243839" cy="85344"/>
                          </a:xfrm>
                          <a:prstGeom prst="rect">
                            <a:avLst/>
                          </a:prstGeom>
                        </pic:spPr>
                      </pic:pic>
                      <pic:pic>
                        <pic:nvPicPr>
                          <pic:cNvPr id="60" name="Image 60"/>
                          <pic:cNvPicPr/>
                        </pic:nvPicPr>
                        <pic:blipFill>
                          <a:blip r:embed="rId17" cstate="print"/>
                          <a:stretch>
                            <a:fillRect/>
                          </a:stretch>
                        </pic:blipFill>
                        <pic:spPr>
                          <a:xfrm>
                            <a:off x="3756659" y="1467611"/>
                            <a:ext cx="243839" cy="85344"/>
                          </a:xfrm>
                          <a:prstGeom prst="rect">
                            <a:avLst/>
                          </a:prstGeom>
                        </pic:spPr>
                      </pic:pic>
                      <wps:wsp>
                        <wps:cNvPr id="61" name="Textbox 61"/>
                        <wps:cNvSpPr txBox="1"/>
                        <wps:spPr>
                          <a:xfrm>
                            <a:off x="3525011" y="190119"/>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2" name="Textbox 62"/>
                        <wps:cNvSpPr txBox="1"/>
                        <wps:spPr>
                          <a:xfrm>
                            <a:off x="1183258" y="373634"/>
                            <a:ext cx="66675" cy="222250"/>
                          </a:xfrm>
                          <a:prstGeom prst="rect">
                            <a:avLst/>
                          </a:prstGeom>
                        </wps:spPr>
                        <wps:txbx>
                          <w:txbxContent>
                            <w:p>
                              <w:pPr>
                                <w:spacing w:line="160" w:lineRule="exact" w:before="0"/>
                                <w:ind w:left="0" w:right="0" w:firstLine="0"/>
                                <w:jc w:val="left"/>
                                <w:rPr>
                                  <w:rFonts w:ascii="Calibri"/>
                                  <w:sz w:val="16"/>
                                </w:rPr>
                              </w:pPr>
                              <w:r>
                                <w:rPr>
                                  <w:rFonts w:ascii="Calibri"/>
                                  <w:spacing w:val="-10"/>
                                  <w:sz w:val="16"/>
                                </w:rPr>
                                <w:t>b</w:t>
                              </w:r>
                            </w:p>
                            <w:p>
                              <w:pPr>
                                <w:spacing w:line="189"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3" name="Textbox 63"/>
                        <wps:cNvSpPr txBox="1"/>
                        <wps:spPr>
                          <a:xfrm>
                            <a:off x="1963801" y="435737"/>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4" name="Textbox 64"/>
                        <wps:cNvSpPr txBox="1"/>
                        <wps:spPr>
                          <a:xfrm>
                            <a:off x="2744470" y="522986"/>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5" name="Textbox 65"/>
                        <wps:cNvSpPr txBox="1"/>
                        <wps:spPr>
                          <a:xfrm>
                            <a:off x="402970" y="781176"/>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6" name="Textbox 66"/>
                        <wps:cNvSpPr txBox="1"/>
                        <wps:spPr>
                          <a:xfrm>
                            <a:off x="402970" y="836549"/>
                            <a:ext cx="66675" cy="189230"/>
                          </a:xfrm>
                          <a:prstGeom prst="rect">
                            <a:avLst/>
                          </a:prstGeom>
                        </wps:spPr>
                        <wps:txbx>
                          <w:txbxContent>
                            <w:p>
                              <w:pPr>
                                <w:spacing w:line="168" w:lineRule="auto" w:before="14"/>
                                <w:ind w:left="0" w:right="10" w:firstLine="0"/>
                                <w:jc w:val="left"/>
                                <w:rPr>
                                  <w:rFonts w:ascii="Calibri"/>
                                  <w:sz w:val="16"/>
                                </w:rPr>
                              </w:pPr>
                              <w:r>
                                <w:rPr>
                                  <w:rFonts w:ascii="Calibri"/>
                                  <w:spacing w:val="-10"/>
                                  <w:sz w:val="16"/>
                                </w:rPr>
                                <w:t>b</w:t>
                              </w:r>
                              <w:r>
                                <w:rPr>
                                  <w:rFonts w:ascii="Calibri"/>
                                  <w:spacing w:val="40"/>
                                  <w:sz w:val="16"/>
                                </w:rPr>
                                <w:t> </w:t>
                              </w:r>
                              <w:r>
                                <w:rPr>
                                  <w:rFonts w:ascii="Calibri"/>
                                  <w:spacing w:val="-10"/>
                                  <w:sz w:val="16"/>
                                </w:rPr>
                                <w:t>b</w:t>
                              </w:r>
                            </w:p>
                          </w:txbxContent>
                        </wps:txbx>
                        <wps:bodyPr wrap="square" lIns="0" tIns="0" rIns="0" bIns="0" rtlCol="0">
                          <a:noAutofit/>
                        </wps:bodyPr>
                      </wps:wsp>
                      <wps:wsp>
                        <wps:cNvPr id="67" name="Textbox 67"/>
                        <wps:cNvSpPr txBox="1"/>
                        <wps:spPr>
                          <a:xfrm>
                            <a:off x="1963801" y="766826"/>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8" name="Textbox 68"/>
                        <wps:cNvSpPr txBox="1"/>
                        <wps:spPr>
                          <a:xfrm>
                            <a:off x="1183258" y="930147"/>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69" name="Textbox 69"/>
                        <wps:cNvSpPr txBox="1"/>
                        <wps:spPr>
                          <a:xfrm>
                            <a:off x="1082675" y="1588261"/>
                            <a:ext cx="267970" cy="102235"/>
                          </a:xfrm>
                          <a:prstGeom prst="rect">
                            <a:avLst/>
                          </a:prstGeom>
                        </wps:spPr>
                        <wps:txbx>
                          <w:txbxContent>
                            <w:p>
                              <w:pPr>
                                <w:spacing w:line="161" w:lineRule="exact" w:before="0"/>
                                <w:ind w:left="0" w:right="0" w:firstLine="0"/>
                                <w:jc w:val="left"/>
                                <w:rPr>
                                  <w:rFonts w:ascii="Calibri"/>
                                  <w:sz w:val="16"/>
                                </w:rPr>
                              </w:pPr>
                              <w:r>
                                <w:rPr>
                                  <w:rFonts w:ascii="Calibri"/>
                                  <w:spacing w:val="-2"/>
                                  <w:sz w:val="16"/>
                                </w:rPr>
                                <w:t>b##**</w:t>
                              </w:r>
                            </w:p>
                          </w:txbxContent>
                        </wps:txbx>
                        <wps:bodyPr wrap="square" lIns="0" tIns="0" rIns="0" bIns="0" rtlCol="0">
                          <a:noAutofit/>
                        </wps:bodyPr>
                      </wps:wsp>
                      <wps:wsp>
                        <wps:cNvPr id="70" name="Textbox 70"/>
                        <wps:cNvSpPr txBox="1"/>
                        <wps:spPr>
                          <a:xfrm>
                            <a:off x="2643885" y="1580641"/>
                            <a:ext cx="267970" cy="102235"/>
                          </a:xfrm>
                          <a:prstGeom prst="rect">
                            <a:avLst/>
                          </a:prstGeom>
                        </wps:spPr>
                        <wps:txbx>
                          <w:txbxContent>
                            <w:p>
                              <w:pPr>
                                <w:spacing w:line="161" w:lineRule="exact" w:before="0"/>
                                <w:ind w:left="0" w:right="0" w:firstLine="0"/>
                                <w:jc w:val="left"/>
                                <w:rPr>
                                  <w:rFonts w:ascii="Calibri"/>
                                  <w:sz w:val="16"/>
                                </w:rPr>
                              </w:pPr>
                              <w:r>
                                <w:rPr>
                                  <w:rFonts w:ascii="Calibri"/>
                                  <w:spacing w:val="-2"/>
                                  <w:sz w:val="16"/>
                                </w:rPr>
                                <w:t>b##**</w:t>
                              </w:r>
                            </w:p>
                          </w:txbxContent>
                        </wps:txbx>
                        <wps:bodyPr wrap="square" lIns="0" tIns="0" rIns="0" bIns="0" rtlCol="0">
                          <a:noAutofit/>
                        </wps:bodyPr>
                      </wps:wsp>
                      <wps:wsp>
                        <wps:cNvPr id="71" name="Textbox 71"/>
                        <wps:cNvSpPr txBox="1"/>
                        <wps:spPr>
                          <a:xfrm>
                            <a:off x="3424428" y="1625472"/>
                            <a:ext cx="267970" cy="102235"/>
                          </a:xfrm>
                          <a:prstGeom prst="rect">
                            <a:avLst/>
                          </a:prstGeom>
                        </wps:spPr>
                        <wps:txbx>
                          <w:txbxContent>
                            <w:p>
                              <w:pPr>
                                <w:spacing w:line="161" w:lineRule="exact" w:before="0"/>
                                <w:ind w:left="0" w:right="0" w:firstLine="0"/>
                                <w:jc w:val="left"/>
                                <w:rPr>
                                  <w:rFonts w:ascii="Calibri"/>
                                  <w:sz w:val="16"/>
                                </w:rPr>
                              </w:pPr>
                              <w:r>
                                <w:rPr>
                                  <w:rFonts w:ascii="Calibri"/>
                                  <w:spacing w:val="-2"/>
                                  <w:sz w:val="16"/>
                                </w:rPr>
                                <w:t>b##**</w:t>
                              </w:r>
                            </w:p>
                          </w:txbxContent>
                        </wps:txbx>
                        <wps:bodyPr wrap="square" lIns="0" tIns="0" rIns="0" bIns="0" rtlCol="0">
                          <a:noAutofit/>
                        </wps:bodyPr>
                      </wps:wsp>
                      <wps:wsp>
                        <wps:cNvPr id="72" name="Textbox 72"/>
                        <wps:cNvSpPr txBox="1"/>
                        <wps:spPr>
                          <a:xfrm>
                            <a:off x="1863217" y="1831213"/>
                            <a:ext cx="267970" cy="236220"/>
                          </a:xfrm>
                          <a:prstGeom prst="rect">
                            <a:avLst/>
                          </a:prstGeom>
                        </wps:spPr>
                        <wps:txbx>
                          <w:txbxContent>
                            <w:p>
                              <w:pPr>
                                <w:spacing w:line="164" w:lineRule="exact" w:before="0"/>
                                <w:ind w:left="0" w:right="0" w:firstLine="0"/>
                                <w:jc w:val="left"/>
                                <w:rPr>
                                  <w:rFonts w:ascii="Calibri"/>
                                  <w:sz w:val="16"/>
                                </w:rPr>
                              </w:pPr>
                              <w:r>
                                <w:rPr>
                                  <w:rFonts w:ascii="Calibri"/>
                                  <w:spacing w:val="-2"/>
                                  <w:sz w:val="16"/>
                                </w:rPr>
                                <w:t>b##**</w:t>
                              </w:r>
                            </w:p>
                            <w:p>
                              <w:pPr>
                                <w:spacing w:line="193" w:lineRule="exact" w:before="16"/>
                                <w:ind w:left="0" w:right="0" w:firstLine="0"/>
                                <w:jc w:val="left"/>
                                <w:rPr>
                                  <w:rFonts w:ascii="Calibri"/>
                                  <w:sz w:val="16"/>
                                </w:rPr>
                              </w:pPr>
                              <w:r>
                                <w:rPr>
                                  <w:rFonts w:ascii="Calibri"/>
                                  <w:spacing w:val="-2"/>
                                  <w:sz w:val="16"/>
                                </w:rPr>
                                <w:t>b##**</w:t>
                              </w:r>
                            </w:p>
                          </w:txbxContent>
                        </wps:txbx>
                        <wps:bodyPr wrap="square" lIns="0" tIns="0" rIns="0" bIns="0" rtlCol="0">
                          <a:noAutofit/>
                        </wps:bodyPr>
                      </wps:wsp>
                      <wps:wsp>
                        <wps:cNvPr id="73" name="Textbox 73"/>
                        <wps:cNvSpPr txBox="1"/>
                        <wps:spPr>
                          <a:xfrm>
                            <a:off x="2643885" y="1892680"/>
                            <a:ext cx="267970" cy="276225"/>
                          </a:xfrm>
                          <a:prstGeom prst="rect">
                            <a:avLst/>
                          </a:prstGeom>
                        </wps:spPr>
                        <wps:txbx>
                          <w:txbxContent>
                            <w:p>
                              <w:pPr>
                                <w:spacing w:line="164" w:lineRule="exact" w:before="0"/>
                                <w:ind w:left="0" w:right="0" w:firstLine="0"/>
                                <w:jc w:val="left"/>
                                <w:rPr>
                                  <w:rFonts w:ascii="Calibri"/>
                                  <w:sz w:val="16"/>
                                </w:rPr>
                              </w:pPr>
                              <w:r>
                                <w:rPr>
                                  <w:rFonts w:ascii="Calibri"/>
                                  <w:spacing w:val="-2"/>
                                  <w:sz w:val="16"/>
                                </w:rPr>
                                <w:t>b##**</w:t>
                              </w:r>
                            </w:p>
                            <w:p>
                              <w:pPr>
                                <w:spacing w:line="193" w:lineRule="exact" w:before="79"/>
                                <w:ind w:left="0" w:right="0" w:firstLine="0"/>
                                <w:jc w:val="left"/>
                                <w:rPr>
                                  <w:rFonts w:ascii="Calibri"/>
                                  <w:sz w:val="16"/>
                                </w:rPr>
                              </w:pPr>
                              <w:r>
                                <w:rPr>
                                  <w:rFonts w:ascii="Calibri"/>
                                  <w:spacing w:val="-2"/>
                                  <w:sz w:val="16"/>
                                </w:rPr>
                                <w:t>b##**</w:t>
                              </w:r>
                            </w:p>
                          </w:txbxContent>
                        </wps:txbx>
                        <wps:bodyPr wrap="square" lIns="0" tIns="0" rIns="0" bIns="0" rtlCol="0">
                          <a:noAutofit/>
                        </wps:bodyPr>
                      </wps:wsp>
                      <wps:wsp>
                        <wps:cNvPr id="74" name="Textbox 74"/>
                        <wps:cNvSpPr txBox="1"/>
                        <wps:spPr>
                          <a:xfrm>
                            <a:off x="3424428" y="1863217"/>
                            <a:ext cx="267970" cy="213995"/>
                          </a:xfrm>
                          <a:prstGeom prst="rect">
                            <a:avLst/>
                          </a:prstGeom>
                        </wps:spPr>
                        <wps:txbx>
                          <w:txbxContent>
                            <w:p>
                              <w:pPr>
                                <w:spacing w:line="154" w:lineRule="exact" w:before="0"/>
                                <w:ind w:left="0" w:right="0" w:firstLine="0"/>
                                <w:jc w:val="left"/>
                                <w:rPr>
                                  <w:rFonts w:ascii="Calibri"/>
                                  <w:sz w:val="16"/>
                                </w:rPr>
                              </w:pPr>
                              <w:r>
                                <w:rPr>
                                  <w:rFonts w:ascii="Calibri"/>
                                  <w:spacing w:val="-2"/>
                                  <w:sz w:val="16"/>
                                </w:rPr>
                                <w:t>b##**</w:t>
                              </w:r>
                            </w:p>
                            <w:p>
                              <w:pPr>
                                <w:spacing w:line="183" w:lineRule="exact" w:before="0"/>
                                <w:ind w:left="0" w:right="0" w:firstLine="0"/>
                                <w:jc w:val="left"/>
                                <w:rPr>
                                  <w:rFonts w:ascii="Calibri"/>
                                  <w:sz w:val="16"/>
                                </w:rPr>
                              </w:pPr>
                              <w:r>
                                <w:rPr>
                                  <w:rFonts w:ascii="Calibri"/>
                                  <w:spacing w:val="-2"/>
                                  <w:sz w:val="16"/>
                                </w:rPr>
                                <w:t>b##**</w:t>
                              </w:r>
                            </w:p>
                          </w:txbxContent>
                        </wps:txbx>
                        <wps:bodyPr wrap="square" lIns="0" tIns="0" rIns="0" bIns="0" rtlCol="0">
                          <a:noAutofit/>
                        </wps:bodyPr>
                      </wps:wsp>
                    </wpg:wgp>
                  </a:graphicData>
                </a:graphic>
              </wp:anchor>
            </w:drawing>
          </mc:Choice>
          <mc:Fallback>
            <w:pict>
              <v:group style="position:absolute;margin-left:138.360001pt;margin-top:8.8pt;width:315pt;height:216.85pt;mso-position-horizontal-relative:page;mso-position-vertical-relative:paragraph;z-index:15738368" id="docshapegroup22" coordorigin="2767,176" coordsize="6300,4337">
                <v:shape style="position:absolute;left:2767;top:183;width:6207;height:4323" id="docshape23" coordorigin="2767,183" coordsize="6207,4323" path="m2830,4506l2830,183m2767,4506l2830,4506m2767,3889l2830,3889m2767,3270l2830,3270m2767,2653l2830,2653m2767,2036l2830,2036m2767,1419l2830,1419m2767,800l2830,800m2767,183l2830,183m2830,4506l8974,4506e" filled="false" stroked="true" strokeweight=".72pt" strokecolor="#858585">
                  <v:path arrowok="t"/>
                  <v:stroke dashstyle="solid"/>
                </v:shape>
                <v:shape style="position:absolute;left:3399;top:614;width:5006;height:3501" id="docshape24" coordorigin="3399,614" coordsize="5006,3501" path="m3444,4115l3444,4115,3444,4056m3399,4056l3489,4056m4673,4097l4673,4097,4673,4036m4628,4036l4718,4036m5902,4097l5902,4097,5902,4036m5857,4036l5947,4036m7131,3989l7131,3989,7131,3911m7086,3911l7176,3911m8360,4055l8360,4055,8360,3988m8315,3988l8405,3988m3444,1683l3444,1748m3399,1683l3489,1683m4673,1074l4673,1167m4628,1074l4718,1074m5902,1021l5902,1117m5857,1021l5947,1021m7131,1165l7131,1254m7086,1165l7176,1165m8360,614l8360,730m8315,614l8405,614m3444,1887l3444,1954m4673,2901l4673,2901,4673,2821m4628,2821l4718,2821m5902,3333l5902,3333,5902,3274m5857,3274l5947,3274m7131,3635l7131,3635,7131,3592m7086,3592l7176,3592m8360,3281l8360,3281,8360,3220m8315,3220l8405,3220m3444,1642l3444,1748m3399,1642l3489,1642m4673,1089l4673,1089,4673,918m4628,918l4718,918m5902,1708l5902,1708,5902,1568m5857,1568l5947,1568m7131,2989l7131,2989,7131,2913m7086,2913l7176,2913m8360,3060l8360,3060,8360,2987m8315,2987l8405,2987m3444,1730l3444,1730,3444,1591m3399,1591l3489,1591m4673,1965l4673,1965,4673,1838m4628,1838l4718,1838m5902,3459l5902,3459,5902,3406m5857,3406l5947,3406m7131,3396l7131,3396,7131,3340m7086,3340l7176,3340m8360,3508l8360,3508,8360,3458m8315,3458l8405,3458e" filled="false" stroked="true" strokeweight="1pt" strokecolor="#000000">
                  <v:path arrowok="t"/>
                  <v:stroke dashstyle="solid"/>
                </v:shape>
                <v:shape style="position:absolute;left:3444;top:3989;width:4916;height:125" id="docshape25" coordorigin="3444,3990" coordsize="4916,125" path="m3444,4114l4673,4098,5902,4098,7130,3990,8359,4057e" filled="false" stroked="true" strokeweight="2.16pt" strokecolor="#497dba">
                  <v:path arrowok="t"/>
                  <v:stroke dashstyle="solid"/>
                </v:shape>
                <v:shape style="position:absolute;left:3367;top:4036;width:155;height:155" type="#_x0000_t75" id="docshape26" stroked="false">
                  <v:imagedata r:id="rId7" o:title=""/>
                </v:shape>
                <v:shape style="position:absolute;left:4596;top:4019;width:155;height:155" type="#_x0000_t75" id="docshape27" stroked="false">
                  <v:imagedata r:id="rId8" o:title=""/>
                </v:shape>
                <v:shape style="position:absolute;left:5825;top:4019;width:155;height:155" type="#_x0000_t75" id="docshape28" stroked="false">
                  <v:imagedata r:id="rId8" o:title=""/>
                </v:shape>
                <v:shape style="position:absolute;left:7054;top:3910;width:155;height:155" type="#_x0000_t75" id="docshape29" stroked="false">
                  <v:imagedata r:id="rId9" o:title=""/>
                </v:shape>
                <v:shape style="position:absolute;left:8284;top:3977;width:155;height:155" type="#_x0000_t75" id="docshape30" stroked="false">
                  <v:imagedata r:id="rId10" o:title=""/>
                </v:shape>
                <v:shape style="position:absolute;left:3444;top:800;width:4916;height:1018" id="docshape31" coordorigin="3444,800" coordsize="4916,1018" path="m3444,1818l4673,1237,5902,1186,7130,1323,8359,800e" filled="false" stroked="true" strokeweight="2.16pt" strokecolor="#bd4a47">
                  <v:path arrowok="t"/>
                  <v:stroke dashstyle="solid"/>
                </v:shape>
                <v:rect style="position:absolute;left:3374;top:1748;width:140;height:140" id="docshape32" filled="true" fillcolor="#c0504d" stroked="false">
                  <v:fill type="solid"/>
                </v:rect>
                <v:rect style="position:absolute;left:3374;top:1748;width:140;height:140" id="docshape33" filled="false" stroked="true" strokeweight=".72pt" strokecolor="#bd4a47">
                  <v:stroke dashstyle="solid"/>
                </v:rect>
                <v:rect style="position:absolute;left:4603;top:1167;width:142;height:140" id="docshape34" filled="true" fillcolor="#c0504d" stroked="false">
                  <v:fill type="solid"/>
                </v:rect>
                <v:rect style="position:absolute;left:4603;top:1167;width:142;height:140" id="docshape35" filled="false" stroked="true" strokeweight=".72pt" strokecolor="#bd4a47">
                  <v:stroke dashstyle="solid"/>
                </v:rect>
                <v:rect style="position:absolute;left:5832;top:1116;width:142;height:140" id="docshape36" filled="true" fillcolor="#c0504d" stroked="false">
                  <v:fill type="solid"/>
                </v:rect>
                <v:rect style="position:absolute;left:5832;top:1116;width:142;height:140" id="docshape37" filled="false" stroked="true" strokeweight=".72pt" strokecolor="#bd4a47">
                  <v:stroke dashstyle="solid"/>
                </v:rect>
                <v:rect style="position:absolute;left:7060;top:1253;width:142;height:140" id="docshape38" filled="true" fillcolor="#c0504d" stroked="false">
                  <v:fill type="solid"/>
                </v:rect>
                <v:rect style="position:absolute;left:7060;top:1253;width:142;height:140" id="docshape39" filled="false" stroked="true" strokeweight=".72pt" strokecolor="#bd4a47">
                  <v:stroke dashstyle="solid"/>
                </v:rect>
                <v:rect style="position:absolute;left:8292;top:730;width:140;height:140" id="docshape40" filled="true" fillcolor="#c0504d" stroked="false">
                  <v:fill type="solid"/>
                </v:rect>
                <v:rect style="position:absolute;left:8292;top:730;width:140;height:140" id="docshape41" filled="false" stroked="true" strokeweight=".72pt" strokecolor="#bd4a47">
                  <v:stroke dashstyle="solid"/>
                </v:rect>
                <v:shape style="position:absolute;left:3444;top:1954;width:4916;height:1680" id="docshape42" coordorigin="3444,1954" coordsize="4916,1680" path="m3444,1954l4673,2900,5902,3332,7130,3634,8359,3279e" filled="false" stroked="true" strokeweight="2.16pt" strokecolor="#97b853">
                  <v:path arrowok="t"/>
                  <v:stroke dashstyle="solid"/>
                </v:shape>
                <v:shape style="position:absolute;left:3367;top:1877;width:155;height:155" type="#_x0000_t75" id="docshape43" stroked="false">
                  <v:imagedata r:id="rId11" o:title=""/>
                </v:shape>
                <v:shape style="position:absolute;left:4596;top:2825;width:155;height:155" type="#_x0000_t75" id="docshape44" stroked="false">
                  <v:imagedata r:id="rId12" o:title=""/>
                </v:shape>
                <v:shape style="position:absolute;left:5825;top:3256;width:155;height:155" type="#_x0000_t75" id="docshape45" stroked="false">
                  <v:imagedata r:id="rId13" o:title=""/>
                </v:shape>
                <v:shape style="position:absolute;left:7054;top:3559;width:155;height:155" type="#_x0000_t75" id="docshape46" stroked="false">
                  <v:imagedata r:id="rId13" o:title=""/>
                </v:shape>
                <v:shape style="position:absolute;left:8284;top:3204;width:155;height:155" type="#_x0000_t75" id="docshape47" stroked="false">
                  <v:imagedata r:id="rId13" o:title=""/>
                </v:shape>
                <v:shape style="position:absolute;left:3444;top:1088;width:4916;height:1973" id="docshape48" coordorigin="3444,1088" coordsize="4916,1973" path="m3444,1779l4673,1088,5902,1707,7130,2991,8359,3061e" filled="false" stroked="true" strokeweight="2.16pt" strokecolor="#7c5f9f">
                  <v:path arrowok="t"/>
                  <v:stroke dashstyle="solid"/>
                </v:shape>
                <v:shape style="position:absolute;left:3374;top:1018;width:5057;height:2112" id="docshape49" coordorigin="3374,1018" coordsize="5057,2112" path="m3444,1778l3374,1849,3514,1849,3444,1778xm3514,1707l3374,1707,3444,1778,3514,1707xm4674,1088l4603,1158,4745,1158,4674,1088xm4745,1018l4603,1018,4674,1088,4745,1018xm5903,1707l5832,1777,5974,1777,5903,1707xm5974,1638l5832,1638,5903,1707,5974,1638xm7132,2990l7061,3061,7202,3061,7132,2990xm7202,2919l7061,2919,7132,2990,7202,2919xm8362,3061l8292,3130,8431,3130,8362,3061xm8431,2991l8292,2991,8362,3061,8431,2991xe" filled="true" fillcolor="#8063a1" stroked="false">
                  <v:path arrowok="t"/>
                  <v:fill type="solid"/>
                </v:shape>
                <v:shape style="position:absolute;left:3374;top:1018;width:5057;height:2112" id="docshape50" coordorigin="3374,1018" coordsize="5057,2112" path="m3514,1849l3374,1707m3374,1849l3514,1707m4745,1158l4603,1018m4603,1158l4745,1018m5974,1777l5832,1638m5832,1777l5974,1638m7202,3061l7061,2919m7061,3061l7202,2919m8431,3130l8292,2991m8292,3130l8431,2991e" filled="false" stroked="true" strokeweight=".72pt" strokecolor="#7c5f9f">
                  <v:path arrowok="t"/>
                  <v:stroke dashstyle="solid"/>
                </v:shape>
                <v:shape style="position:absolute;left:3444;top:1731;width:4916;height:1776" id="docshape51" coordorigin="3444,1731" coordsize="4916,1776" path="m3444,1731l4673,1966,5902,3457,7130,3394,8359,3507e" filled="false" stroked="true" strokeweight="2.16pt" strokecolor="#46aac5">
                  <v:path arrowok="t"/>
                  <v:stroke dashstyle="solid"/>
                </v:shape>
                <v:shape style="position:absolute;left:3374;top:1659;width:4988;height:1920" id="docshape52" coordorigin="3374,1659" coordsize="4988,1920" path="m3444,1729l3374,1798,3444,1798,3444,1729xm3444,1659l3374,1659,3444,1729,3444,1659xm4673,1965l4603,2034,4673,2034,4673,1965xm4673,1963l4673,1965,4674,1964,4673,1963xm4673,1894l4603,1894,4673,1963,4673,1894xm5903,3459l5832,3529,5904,3529,5904,3460,5903,3459xm5904,3390l5832,3390,5903,3459,5904,3458,5904,3390xm7132,3397l7061,3466,7133,3466,7133,3398,7132,3397xm7133,3327l7061,3327,7132,3397,7133,3396,7133,3327xm8362,3510l8292,3579,8362,3579,8362,3510xm8362,3440l8292,3440,8362,3510,8362,3440xe" filled="true" fillcolor="#4aacc5" stroked="false">
                  <v:path arrowok="t"/>
                  <v:fill type="solid"/>
                </v:shape>
                <v:shape style="position:absolute;left:3374;top:1659;width:5057;height:1920" id="docshape53" coordorigin="3374,1659" coordsize="5057,1920" path="m3514,1798l3374,1659m3444,1659l3444,1798m3374,1798l3514,1659m4745,2034l4603,1894m4673,1894l4673,2034m4603,2034l4745,1894m5974,3529l5832,3390m5904,3390l5904,3529m5832,3529l5974,3390m7202,3466l7061,3327m7133,3327l7133,3466m7061,3466l7202,3327m8431,3579l8292,3440m8362,3440l8362,3579m8292,3579l8431,3440e" filled="false" stroked="true" strokeweight=".72pt" strokecolor="#46aac5">
                  <v:path arrowok="t"/>
                  <v:stroke dashstyle="solid"/>
                </v:shape>
                <v:shape style="position:absolute;left:8683;top:1040;width:384;height:135" type="#_x0000_t75" id="docshape54" stroked="false">
                  <v:imagedata r:id="rId14" o:title=""/>
                </v:shape>
                <v:line style="position:absolute" from="8683,1470" to="9067,1470" stroked="true" strokeweight="1.92pt" strokecolor="#bd4a47">
                  <v:stroke dashstyle="solid"/>
                </v:line>
                <v:rect style="position:absolute;left:8815;top:1409;width:120;height:120" id="docshape55" filled="true" fillcolor="#c0504d" stroked="false">
                  <v:fill type="solid"/>
                </v:rect>
                <v:rect style="position:absolute;left:8815;top:1409;width:120;height:120" id="docshape56" filled="false" stroked="true" strokeweight=".72pt" strokecolor="#bd4a47">
                  <v:stroke dashstyle="solid"/>
                </v:rect>
                <v:shape style="position:absolute;left:8683;top:1762;width:384;height:135" type="#_x0000_t75" id="docshape57" stroked="false">
                  <v:imagedata r:id="rId15" o:title=""/>
                </v:shape>
                <v:shape style="position:absolute;left:8683;top:2124;width:384;height:135" type="#_x0000_t75" id="docshape58" stroked="false">
                  <v:imagedata r:id="rId16" o:title=""/>
                </v:shape>
                <v:shape style="position:absolute;left:8683;top:2487;width:384;height:135" type="#_x0000_t75" id="docshape59" stroked="false">
                  <v:imagedata r:id="rId17" o:title=""/>
                </v:shape>
                <v:shape style="position:absolute;left:8318;top:475;width:105;height:161" type="#_x0000_t202" id="docshape60"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4630;top:764;width:105;height:350" type="#_x0000_t202" id="docshape61" filled="false" stroked="false">
                  <v:textbox inset="0,0,0,0">
                    <w:txbxContent>
                      <w:p>
                        <w:pPr>
                          <w:spacing w:line="160" w:lineRule="exact" w:before="0"/>
                          <w:ind w:left="0" w:right="0" w:firstLine="0"/>
                          <w:jc w:val="left"/>
                          <w:rPr>
                            <w:rFonts w:ascii="Calibri"/>
                            <w:sz w:val="16"/>
                          </w:rPr>
                        </w:pPr>
                        <w:r>
                          <w:rPr>
                            <w:rFonts w:ascii="Calibri"/>
                            <w:spacing w:val="-10"/>
                            <w:sz w:val="16"/>
                          </w:rPr>
                          <w:t>b</w:t>
                        </w:r>
                      </w:p>
                      <w:p>
                        <w:pPr>
                          <w:spacing w:line="189" w:lineRule="exact" w:before="0"/>
                          <w:ind w:left="0" w:right="0" w:firstLine="0"/>
                          <w:jc w:val="left"/>
                          <w:rPr>
                            <w:rFonts w:ascii="Calibri"/>
                            <w:sz w:val="16"/>
                          </w:rPr>
                        </w:pPr>
                        <w:r>
                          <w:rPr>
                            <w:rFonts w:ascii="Calibri"/>
                            <w:spacing w:val="-10"/>
                            <w:sz w:val="16"/>
                          </w:rPr>
                          <w:t>b</w:t>
                        </w:r>
                      </w:p>
                    </w:txbxContent>
                  </v:textbox>
                  <w10:wrap type="none"/>
                </v:shape>
                <v:shape style="position:absolute;left:5859;top:862;width:105;height:161" type="#_x0000_t202" id="docshape62"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7089;top:999;width:105;height:161" type="#_x0000_t202" id="docshape63"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3401;top:1406;width:105;height:161" type="#_x0000_t202" id="docshape64"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3401;top:1493;width:105;height:298" type="#_x0000_t202" id="docshape65" filled="false" stroked="false">
                  <v:textbox inset="0,0,0,0">
                    <w:txbxContent>
                      <w:p>
                        <w:pPr>
                          <w:spacing w:line="168" w:lineRule="auto" w:before="14"/>
                          <w:ind w:left="0" w:right="10" w:firstLine="0"/>
                          <w:jc w:val="left"/>
                          <w:rPr>
                            <w:rFonts w:ascii="Calibri"/>
                            <w:sz w:val="16"/>
                          </w:rPr>
                        </w:pPr>
                        <w:r>
                          <w:rPr>
                            <w:rFonts w:ascii="Calibri"/>
                            <w:spacing w:val="-10"/>
                            <w:sz w:val="16"/>
                          </w:rPr>
                          <w:t>b</w:t>
                        </w:r>
                        <w:r>
                          <w:rPr>
                            <w:rFonts w:ascii="Calibri"/>
                            <w:spacing w:val="40"/>
                            <w:sz w:val="16"/>
                          </w:rPr>
                          <w:t> </w:t>
                        </w:r>
                        <w:r>
                          <w:rPr>
                            <w:rFonts w:ascii="Calibri"/>
                            <w:spacing w:val="-10"/>
                            <w:sz w:val="16"/>
                          </w:rPr>
                          <w:t>b</w:t>
                        </w:r>
                      </w:p>
                    </w:txbxContent>
                  </v:textbox>
                  <w10:wrap type="none"/>
                </v:shape>
                <v:shape style="position:absolute;left:5859;top:1383;width:105;height:161" type="#_x0000_t202" id="docshape66"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4630;top:1640;width:105;height:161" type="#_x0000_t202" id="docshape67"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4472;top:2677;width:422;height:161" type="#_x0000_t202" id="docshape68" filled="false" stroked="false">
                  <v:textbox inset="0,0,0,0">
                    <w:txbxContent>
                      <w:p>
                        <w:pPr>
                          <w:spacing w:line="161" w:lineRule="exact" w:before="0"/>
                          <w:ind w:left="0" w:right="0" w:firstLine="0"/>
                          <w:jc w:val="left"/>
                          <w:rPr>
                            <w:rFonts w:ascii="Calibri"/>
                            <w:sz w:val="16"/>
                          </w:rPr>
                        </w:pPr>
                        <w:r>
                          <w:rPr>
                            <w:rFonts w:ascii="Calibri"/>
                            <w:spacing w:val="-2"/>
                            <w:sz w:val="16"/>
                          </w:rPr>
                          <w:t>b##**</w:t>
                        </w:r>
                      </w:p>
                    </w:txbxContent>
                  </v:textbox>
                  <w10:wrap type="none"/>
                </v:shape>
                <v:shape style="position:absolute;left:6930;top:2665;width:422;height:161" type="#_x0000_t202" id="docshape69" filled="false" stroked="false">
                  <v:textbox inset="0,0,0,0">
                    <w:txbxContent>
                      <w:p>
                        <w:pPr>
                          <w:spacing w:line="161" w:lineRule="exact" w:before="0"/>
                          <w:ind w:left="0" w:right="0" w:firstLine="0"/>
                          <w:jc w:val="left"/>
                          <w:rPr>
                            <w:rFonts w:ascii="Calibri"/>
                            <w:sz w:val="16"/>
                          </w:rPr>
                        </w:pPr>
                        <w:r>
                          <w:rPr>
                            <w:rFonts w:ascii="Calibri"/>
                            <w:spacing w:val="-2"/>
                            <w:sz w:val="16"/>
                          </w:rPr>
                          <w:t>b##**</w:t>
                        </w:r>
                      </w:p>
                    </w:txbxContent>
                  </v:textbox>
                  <w10:wrap type="none"/>
                </v:shape>
                <v:shape style="position:absolute;left:8160;top:2735;width:422;height:161" type="#_x0000_t202" id="docshape70" filled="false" stroked="false">
                  <v:textbox inset="0,0,0,0">
                    <w:txbxContent>
                      <w:p>
                        <w:pPr>
                          <w:spacing w:line="161" w:lineRule="exact" w:before="0"/>
                          <w:ind w:left="0" w:right="0" w:firstLine="0"/>
                          <w:jc w:val="left"/>
                          <w:rPr>
                            <w:rFonts w:ascii="Calibri"/>
                            <w:sz w:val="16"/>
                          </w:rPr>
                        </w:pPr>
                        <w:r>
                          <w:rPr>
                            <w:rFonts w:ascii="Calibri"/>
                            <w:spacing w:val="-2"/>
                            <w:sz w:val="16"/>
                          </w:rPr>
                          <w:t>b##**</w:t>
                        </w:r>
                      </w:p>
                    </w:txbxContent>
                  </v:textbox>
                  <w10:wrap type="none"/>
                </v:shape>
                <v:shape style="position:absolute;left:5701;top:3059;width:422;height:372" type="#_x0000_t202" id="docshape71" filled="false" stroked="false">
                  <v:textbox inset="0,0,0,0">
                    <w:txbxContent>
                      <w:p>
                        <w:pPr>
                          <w:spacing w:line="164" w:lineRule="exact" w:before="0"/>
                          <w:ind w:left="0" w:right="0" w:firstLine="0"/>
                          <w:jc w:val="left"/>
                          <w:rPr>
                            <w:rFonts w:ascii="Calibri"/>
                            <w:sz w:val="16"/>
                          </w:rPr>
                        </w:pPr>
                        <w:r>
                          <w:rPr>
                            <w:rFonts w:ascii="Calibri"/>
                            <w:spacing w:val="-2"/>
                            <w:sz w:val="16"/>
                          </w:rPr>
                          <w:t>b##**</w:t>
                        </w:r>
                      </w:p>
                      <w:p>
                        <w:pPr>
                          <w:spacing w:line="193" w:lineRule="exact" w:before="16"/>
                          <w:ind w:left="0" w:right="0" w:firstLine="0"/>
                          <w:jc w:val="left"/>
                          <w:rPr>
                            <w:rFonts w:ascii="Calibri"/>
                            <w:sz w:val="16"/>
                          </w:rPr>
                        </w:pPr>
                        <w:r>
                          <w:rPr>
                            <w:rFonts w:ascii="Calibri"/>
                            <w:spacing w:val="-2"/>
                            <w:sz w:val="16"/>
                          </w:rPr>
                          <w:t>b##**</w:t>
                        </w:r>
                      </w:p>
                    </w:txbxContent>
                  </v:textbox>
                  <w10:wrap type="none"/>
                </v:shape>
                <v:shape style="position:absolute;left:6930;top:3156;width:422;height:435" type="#_x0000_t202" id="docshape72" filled="false" stroked="false">
                  <v:textbox inset="0,0,0,0">
                    <w:txbxContent>
                      <w:p>
                        <w:pPr>
                          <w:spacing w:line="164" w:lineRule="exact" w:before="0"/>
                          <w:ind w:left="0" w:right="0" w:firstLine="0"/>
                          <w:jc w:val="left"/>
                          <w:rPr>
                            <w:rFonts w:ascii="Calibri"/>
                            <w:sz w:val="16"/>
                          </w:rPr>
                        </w:pPr>
                        <w:r>
                          <w:rPr>
                            <w:rFonts w:ascii="Calibri"/>
                            <w:spacing w:val="-2"/>
                            <w:sz w:val="16"/>
                          </w:rPr>
                          <w:t>b##**</w:t>
                        </w:r>
                      </w:p>
                      <w:p>
                        <w:pPr>
                          <w:spacing w:line="193" w:lineRule="exact" w:before="79"/>
                          <w:ind w:left="0" w:right="0" w:firstLine="0"/>
                          <w:jc w:val="left"/>
                          <w:rPr>
                            <w:rFonts w:ascii="Calibri"/>
                            <w:sz w:val="16"/>
                          </w:rPr>
                        </w:pPr>
                        <w:r>
                          <w:rPr>
                            <w:rFonts w:ascii="Calibri"/>
                            <w:spacing w:val="-2"/>
                            <w:sz w:val="16"/>
                          </w:rPr>
                          <w:t>b##**</w:t>
                        </w:r>
                      </w:p>
                    </w:txbxContent>
                  </v:textbox>
                  <w10:wrap type="none"/>
                </v:shape>
                <v:shape style="position:absolute;left:8160;top:3110;width:422;height:337" type="#_x0000_t202" id="docshape73" filled="false" stroked="false">
                  <v:textbox inset="0,0,0,0">
                    <w:txbxContent>
                      <w:p>
                        <w:pPr>
                          <w:spacing w:line="154" w:lineRule="exact" w:before="0"/>
                          <w:ind w:left="0" w:right="0" w:firstLine="0"/>
                          <w:jc w:val="left"/>
                          <w:rPr>
                            <w:rFonts w:ascii="Calibri"/>
                            <w:sz w:val="16"/>
                          </w:rPr>
                        </w:pPr>
                        <w:r>
                          <w:rPr>
                            <w:rFonts w:ascii="Calibri"/>
                            <w:spacing w:val="-2"/>
                            <w:sz w:val="16"/>
                          </w:rPr>
                          <w:t>b##**</w:t>
                        </w:r>
                      </w:p>
                      <w:p>
                        <w:pPr>
                          <w:spacing w:line="183" w:lineRule="exact" w:before="0"/>
                          <w:ind w:left="0" w:right="0" w:firstLine="0"/>
                          <w:jc w:val="left"/>
                          <w:rPr>
                            <w:rFonts w:ascii="Calibri"/>
                            <w:sz w:val="16"/>
                          </w:rPr>
                        </w:pPr>
                        <w:r>
                          <w:rPr>
                            <w:rFonts w:ascii="Calibri"/>
                            <w:spacing w:val="-2"/>
                            <w:sz w:val="16"/>
                          </w:rPr>
                          <w:t>b##**</w:t>
                        </w:r>
                      </w:p>
                    </w:txbxContent>
                  </v:textbox>
                  <w10:wrap type="none"/>
                </v:shape>
                <w10:wrap type="none"/>
              </v:group>
            </w:pict>
          </mc:Fallback>
        </mc:AlternateContent>
      </w:r>
      <w:r>
        <w:rPr>
          <w:rFonts w:ascii="Calibri"/>
          <w:spacing w:val="-5"/>
          <w:sz w:val="20"/>
        </w:rPr>
        <w:t>700</w:t>
      </w:r>
    </w:p>
    <w:p>
      <w:pPr>
        <w:pStyle w:val="BodyText"/>
        <w:spacing w:before="70"/>
        <w:rPr>
          <w:rFonts w:ascii="Calibri"/>
          <w:sz w:val="20"/>
        </w:rPr>
      </w:pPr>
    </w:p>
    <w:p>
      <w:pPr>
        <w:spacing w:after="0"/>
        <w:rPr>
          <w:rFonts w:ascii="Calibri"/>
          <w:sz w:val="20"/>
        </w:rPr>
        <w:sectPr>
          <w:pgSz w:w="12240" w:h="15840"/>
          <w:pgMar w:header="0" w:footer="1015" w:top="1480" w:bottom="1200" w:left="1720" w:right="300"/>
        </w:sectPr>
      </w:pPr>
    </w:p>
    <w:p>
      <w:pPr>
        <w:spacing w:before="60"/>
        <w:ind w:left="621" w:right="0" w:firstLine="0"/>
        <w:jc w:val="left"/>
        <w:rPr>
          <w:rFonts w:ascii="Calibri"/>
          <w:sz w:val="20"/>
        </w:rPr>
      </w:pPr>
      <w:r>
        <w:rPr>
          <w:rFonts w:ascii="Calibri"/>
          <w:spacing w:val="-5"/>
          <w:sz w:val="20"/>
        </w:rPr>
        <w:t>600</w:t>
      </w:r>
    </w:p>
    <w:p>
      <w:pPr>
        <w:pStyle w:val="BodyText"/>
        <w:spacing w:before="129"/>
        <w:rPr>
          <w:rFonts w:ascii="Calibri"/>
          <w:sz w:val="20"/>
        </w:rPr>
      </w:pPr>
    </w:p>
    <w:p>
      <w:pPr>
        <w:spacing w:before="0"/>
        <w:ind w:left="621" w:right="0" w:firstLine="0"/>
        <w:jc w:val="left"/>
        <w:rPr>
          <w:rFonts w:ascii="Calibri"/>
          <w:sz w:val="20"/>
        </w:rPr>
      </w:pPr>
      <w:r>
        <w:rPr>
          <w:rFonts w:ascii="Calibri"/>
          <w:spacing w:val="-5"/>
          <w:sz w:val="20"/>
        </w:rPr>
        <w:t>500</w:t>
      </w:r>
    </w:p>
    <w:p>
      <w:pPr>
        <w:pStyle w:val="BodyText"/>
        <w:spacing w:before="129"/>
        <w:rPr>
          <w:rFonts w:ascii="Calibri"/>
          <w:sz w:val="20"/>
        </w:rPr>
      </w:pPr>
    </w:p>
    <w:p>
      <w:pPr>
        <w:spacing w:before="1"/>
        <w:ind w:left="621" w:right="0" w:firstLine="0"/>
        <w:jc w:val="left"/>
        <w:rPr>
          <w:rFonts w:ascii="Calibri"/>
          <w:sz w:val="20"/>
        </w:rPr>
      </w:pPr>
      <w:r>
        <w:rPr/>
        <mc:AlternateContent>
          <mc:Choice Requires="wps">
            <w:drawing>
              <wp:anchor distT="0" distB="0" distL="0" distR="0" allowOverlap="1" layoutInCell="1" locked="0" behindDoc="0" simplePos="0" relativeHeight="15738880">
                <wp:simplePos x="0" y="0"/>
                <wp:positionH relativeFrom="page">
                  <wp:posOffset>1312163</wp:posOffset>
                </wp:positionH>
                <wp:positionV relativeFrom="paragraph">
                  <wp:posOffset>-45872</wp:posOffset>
                </wp:positionV>
                <wp:extent cx="152400" cy="65913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2400" cy="659130"/>
                        </a:xfrm>
                        <a:prstGeom prst="rect">
                          <a:avLst/>
                        </a:prstGeom>
                      </wps:spPr>
                      <wps:txbx>
                        <w:txbxContent>
                          <w:p>
                            <w:pPr>
                              <w:spacing w:line="223" w:lineRule="exact" w:before="0"/>
                              <w:ind w:left="20" w:right="0" w:firstLine="0"/>
                              <w:jc w:val="left"/>
                              <w:rPr>
                                <w:rFonts w:ascii="Calibri"/>
                                <w:b/>
                                <w:sz w:val="20"/>
                              </w:rPr>
                            </w:pPr>
                            <w:r>
                              <w:rPr>
                                <w:rFonts w:ascii="Calibri"/>
                                <w:b/>
                                <w:sz w:val="20"/>
                              </w:rPr>
                              <w:t>FBG</w:t>
                            </w:r>
                            <w:r>
                              <w:rPr>
                                <w:rFonts w:ascii="Calibri"/>
                                <w:b/>
                                <w:spacing w:val="-6"/>
                                <w:sz w:val="20"/>
                              </w:rPr>
                              <w:t> </w:t>
                            </w:r>
                            <w:r>
                              <w:rPr>
                                <w:rFonts w:ascii="Calibri"/>
                                <w:b/>
                                <w:spacing w:val="-2"/>
                                <w:sz w:val="20"/>
                              </w:rPr>
                              <w:t>(mg/dl)</w:t>
                            </w:r>
                          </w:p>
                        </w:txbxContent>
                      </wps:txbx>
                      <wps:bodyPr wrap="square" lIns="0" tIns="0" rIns="0" bIns="0" rtlCol="0" vert="vert270">
                        <a:noAutofit/>
                      </wps:bodyPr>
                    </wps:wsp>
                  </a:graphicData>
                </a:graphic>
              </wp:anchor>
            </w:drawing>
          </mc:Choice>
          <mc:Fallback>
            <w:pict>
              <v:shape style="position:absolute;margin-left:103.32pt;margin-top:-3.612028pt;width:12pt;height:51.9pt;mso-position-horizontal-relative:page;mso-position-vertical-relative:paragraph;z-index:15738880" type="#_x0000_t202" id="docshape7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FBG</w:t>
                      </w:r>
                      <w:r>
                        <w:rPr>
                          <w:rFonts w:ascii="Calibri"/>
                          <w:b/>
                          <w:spacing w:val="-6"/>
                          <w:sz w:val="20"/>
                        </w:rPr>
                        <w:t> </w:t>
                      </w:r>
                      <w:r>
                        <w:rPr>
                          <w:rFonts w:ascii="Calibri"/>
                          <w:b/>
                          <w:spacing w:val="-2"/>
                          <w:sz w:val="20"/>
                        </w:rPr>
                        <w:t>(mg/dl)</w:t>
                      </w:r>
                    </w:p>
                  </w:txbxContent>
                </v:textbox>
                <w10:wrap type="none"/>
              </v:shape>
            </w:pict>
          </mc:Fallback>
        </mc:AlternateContent>
      </w:r>
      <w:r>
        <w:rPr>
          <w:rFonts w:ascii="Calibri"/>
          <w:spacing w:val="-5"/>
          <w:sz w:val="20"/>
        </w:rPr>
        <w:t>400</w:t>
      </w:r>
    </w:p>
    <w:p>
      <w:pPr>
        <w:pStyle w:val="BodyText"/>
        <w:spacing w:before="129"/>
        <w:rPr>
          <w:rFonts w:ascii="Calibri"/>
          <w:sz w:val="20"/>
        </w:rPr>
      </w:pPr>
    </w:p>
    <w:p>
      <w:pPr>
        <w:spacing w:before="1"/>
        <w:ind w:left="621" w:right="0" w:firstLine="0"/>
        <w:jc w:val="left"/>
        <w:rPr>
          <w:rFonts w:ascii="Calibri"/>
          <w:sz w:val="20"/>
        </w:rPr>
      </w:pPr>
      <w:r>
        <w:rPr>
          <w:rFonts w:ascii="Calibri"/>
          <w:spacing w:val="-5"/>
          <w:sz w:val="20"/>
        </w:rPr>
        <w:t>300</w:t>
      </w:r>
    </w:p>
    <w:p>
      <w:pPr>
        <w:pStyle w:val="BodyText"/>
        <w:spacing w:before="129"/>
        <w:rPr>
          <w:rFonts w:ascii="Calibri"/>
          <w:sz w:val="20"/>
        </w:rPr>
      </w:pPr>
    </w:p>
    <w:p>
      <w:pPr>
        <w:spacing w:before="0"/>
        <w:ind w:left="621" w:right="0" w:firstLine="0"/>
        <w:jc w:val="left"/>
        <w:rPr>
          <w:rFonts w:ascii="Calibri"/>
          <w:sz w:val="20"/>
        </w:rPr>
      </w:pPr>
      <w:r>
        <w:rPr>
          <w:rFonts w:ascii="Calibri"/>
          <w:spacing w:val="-5"/>
          <w:sz w:val="20"/>
        </w:rPr>
        <w:t>200</w:t>
      </w:r>
    </w:p>
    <w:p>
      <w:pPr>
        <w:spacing w:line="240" w:lineRule="auto" w:before="122"/>
        <w:rPr>
          <w:rFonts w:ascii="Calibri"/>
          <w:sz w:val="20"/>
        </w:rPr>
      </w:pPr>
      <w:r>
        <w:rPr/>
        <w:br w:type="column"/>
      </w:r>
      <w:r>
        <w:rPr>
          <w:rFonts w:ascii="Calibri"/>
          <w:sz w:val="20"/>
        </w:rPr>
      </w:r>
    </w:p>
    <w:p>
      <w:pPr>
        <w:spacing w:line="355" w:lineRule="auto" w:before="1"/>
        <w:ind w:left="621" w:right="1179" w:firstLine="0"/>
        <w:jc w:val="left"/>
        <w:rPr>
          <w:rFonts w:ascii="Calibri"/>
          <w:sz w:val="20"/>
        </w:rPr>
      </w:pPr>
      <w:r>
        <w:rPr>
          <w:rFonts w:ascii="Calibri"/>
          <w:sz w:val="20"/>
        </w:rPr>
        <w:t>non-diabetic</w:t>
      </w:r>
      <w:r>
        <w:rPr>
          <w:rFonts w:ascii="Calibri"/>
          <w:spacing w:val="-12"/>
          <w:sz w:val="20"/>
        </w:rPr>
        <w:t> </w:t>
      </w:r>
      <w:r>
        <w:rPr>
          <w:rFonts w:ascii="Calibri"/>
          <w:sz w:val="20"/>
        </w:rPr>
        <w:t>control Diabetic control </w:t>
      </w:r>
      <w:r>
        <w:rPr>
          <w:rFonts w:ascii="Calibri"/>
          <w:spacing w:val="-2"/>
          <w:sz w:val="20"/>
        </w:rPr>
        <w:t>Glim8pm+Nife8am Glim8pm+Nife8pm </w:t>
      </w:r>
      <w:r>
        <w:rPr>
          <w:rFonts w:ascii="Calibri"/>
          <w:sz w:val="20"/>
        </w:rPr>
        <w:t>Glimepiride 8pm</w:t>
      </w:r>
    </w:p>
    <w:p>
      <w:pPr>
        <w:spacing w:after="0" w:line="355" w:lineRule="auto"/>
        <w:jc w:val="left"/>
        <w:rPr>
          <w:rFonts w:ascii="Calibri"/>
          <w:sz w:val="20"/>
        </w:rPr>
        <w:sectPr>
          <w:type w:val="continuous"/>
          <w:pgSz w:w="12240" w:h="15840"/>
          <w:pgMar w:header="0" w:footer="1015" w:top="1360" w:bottom="1200" w:left="1720" w:right="300"/>
          <w:cols w:num="2" w:equalWidth="0">
            <w:col w:w="964" w:space="5803"/>
            <w:col w:w="3453"/>
          </w:cols>
        </w:sectPr>
      </w:pPr>
    </w:p>
    <w:p>
      <w:pPr>
        <w:pStyle w:val="BodyText"/>
        <w:spacing w:before="129"/>
        <w:rPr>
          <w:rFonts w:ascii="Calibri"/>
          <w:sz w:val="20"/>
        </w:rPr>
      </w:pPr>
    </w:p>
    <w:p>
      <w:pPr>
        <w:spacing w:before="1"/>
        <w:ind w:left="621" w:right="0" w:firstLine="0"/>
        <w:jc w:val="left"/>
        <w:rPr>
          <w:rFonts w:ascii="Calibri"/>
          <w:sz w:val="20"/>
        </w:rPr>
      </w:pPr>
      <w:r>
        <w:rPr>
          <w:rFonts w:ascii="Calibri"/>
          <w:spacing w:val="-5"/>
          <w:sz w:val="20"/>
        </w:rPr>
        <w:t>100</w:t>
      </w:r>
    </w:p>
    <w:p>
      <w:pPr>
        <w:pStyle w:val="BodyText"/>
        <w:spacing w:before="129"/>
        <w:rPr>
          <w:rFonts w:ascii="Calibri"/>
          <w:sz w:val="20"/>
        </w:rPr>
      </w:pPr>
    </w:p>
    <w:p>
      <w:pPr>
        <w:spacing w:before="0"/>
        <w:ind w:left="823" w:right="0" w:firstLine="0"/>
        <w:jc w:val="left"/>
        <w:rPr>
          <w:rFonts w:ascii="Calibri"/>
          <w:sz w:val="20"/>
        </w:rPr>
      </w:pPr>
      <w:r>
        <w:rPr>
          <w:rFonts w:ascii="Calibri"/>
          <w:spacing w:val="-10"/>
          <w:sz w:val="20"/>
        </w:rPr>
        <w:t>0</w:t>
      </w:r>
    </w:p>
    <w:p>
      <w:pPr>
        <w:tabs>
          <w:tab w:pos="1229" w:val="left" w:leader="none"/>
          <w:tab w:pos="2458" w:val="left" w:leader="none"/>
          <w:tab w:pos="3636" w:val="left" w:leader="none"/>
          <w:tab w:pos="4866" w:val="left" w:leader="none"/>
        </w:tabs>
        <w:spacing w:before="75"/>
        <w:ind w:left="0" w:right="1802" w:firstLine="0"/>
        <w:jc w:val="center"/>
        <w:rPr>
          <w:rFonts w:ascii="Calibri"/>
          <w:sz w:val="20"/>
        </w:rPr>
      </w:pPr>
      <w:r>
        <w:rPr>
          <w:rFonts w:ascii="Calibri"/>
          <w:sz w:val="20"/>
        </w:rPr>
        <w:t>day</w:t>
      </w:r>
      <w:r>
        <w:rPr>
          <w:rFonts w:ascii="Calibri"/>
          <w:spacing w:val="-6"/>
          <w:sz w:val="20"/>
        </w:rPr>
        <w:t> </w:t>
      </w:r>
      <w:r>
        <w:rPr>
          <w:rFonts w:ascii="Calibri"/>
          <w:spacing w:val="-10"/>
          <w:sz w:val="20"/>
        </w:rPr>
        <w:t>0</w:t>
      </w:r>
      <w:r>
        <w:rPr>
          <w:rFonts w:ascii="Calibri"/>
          <w:sz w:val="20"/>
        </w:rPr>
        <w:tab/>
        <w:t>day</w:t>
      </w:r>
      <w:r>
        <w:rPr>
          <w:rFonts w:ascii="Calibri"/>
          <w:spacing w:val="-6"/>
          <w:sz w:val="20"/>
        </w:rPr>
        <w:t> </w:t>
      </w:r>
      <w:r>
        <w:rPr>
          <w:rFonts w:ascii="Calibri"/>
          <w:spacing w:val="-10"/>
          <w:sz w:val="20"/>
        </w:rPr>
        <w:t>3</w:t>
      </w:r>
      <w:r>
        <w:rPr>
          <w:rFonts w:ascii="Calibri"/>
          <w:sz w:val="20"/>
        </w:rPr>
        <w:tab/>
        <w:t>day</w:t>
      </w:r>
      <w:r>
        <w:rPr>
          <w:rFonts w:ascii="Calibri"/>
          <w:spacing w:val="-6"/>
          <w:sz w:val="20"/>
        </w:rPr>
        <w:t> </w:t>
      </w:r>
      <w:r>
        <w:rPr>
          <w:rFonts w:ascii="Calibri"/>
          <w:spacing w:val="-10"/>
          <w:sz w:val="20"/>
        </w:rPr>
        <w:t>7</w:t>
      </w:r>
      <w:r>
        <w:rPr>
          <w:rFonts w:ascii="Calibri"/>
          <w:sz w:val="20"/>
        </w:rPr>
        <w:tab/>
        <w:t>day</w:t>
      </w:r>
      <w:r>
        <w:rPr>
          <w:rFonts w:ascii="Calibri"/>
          <w:spacing w:val="-6"/>
          <w:sz w:val="20"/>
        </w:rPr>
        <w:t> </w:t>
      </w:r>
      <w:r>
        <w:rPr>
          <w:rFonts w:ascii="Calibri"/>
          <w:spacing w:val="-5"/>
          <w:sz w:val="20"/>
        </w:rPr>
        <w:t>14</w:t>
      </w:r>
      <w:r>
        <w:rPr>
          <w:rFonts w:ascii="Calibri"/>
          <w:sz w:val="20"/>
        </w:rPr>
        <w:tab/>
        <w:t>day</w:t>
      </w:r>
      <w:r>
        <w:rPr>
          <w:rFonts w:ascii="Calibri"/>
          <w:spacing w:val="-6"/>
          <w:sz w:val="20"/>
        </w:rPr>
        <w:t> </w:t>
      </w:r>
      <w:r>
        <w:rPr>
          <w:rFonts w:ascii="Calibri"/>
          <w:spacing w:val="-5"/>
          <w:sz w:val="20"/>
        </w:rPr>
        <w:t>21</w:t>
      </w:r>
    </w:p>
    <w:p>
      <w:pPr>
        <w:spacing w:before="149"/>
        <w:ind w:left="944" w:right="2797" w:firstLine="0"/>
        <w:jc w:val="center"/>
        <w:rPr>
          <w:rFonts w:ascii="Calibri"/>
          <w:b/>
          <w:sz w:val="20"/>
        </w:rPr>
      </w:pPr>
      <w:r>
        <w:rPr>
          <w:rFonts w:ascii="Calibri"/>
          <w:b/>
          <w:spacing w:val="-4"/>
          <w:sz w:val="20"/>
        </w:rPr>
        <w:t>Time</w:t>
      </w:r>
    </w:p>
    <w:p>
      <w:pPr>
        <w:pStyle w:val="BodyText"/>
        <w:spacing w:before="232"/>
        <w:rPr>
          <w:rFonts w:ascii="Calibri"/>
          <w:b/>
        </w:rPr>
      </w:pPr>
    </w:p>
    <w:p>
      <w:pPr>
        <w:spacing w:line="480" w:lineRule="auto" w:before="0"/>
        <w:ind w:left="296" w:right="1141" w:firstLine="0"/>
        <w:jc w:val="both"/>
        <w:rPr>
          <w:b/>
          <w:sz w:val="24"/>
        </w:rPr>
      </w:pPr>
      <w:r>
        <w:rPr>
          <w:b/>
          <w:sz w:val="24"/>
        </w:rPr>
        <w:t>Figure 4.1 Effect of 21-day chronomodulated nifedipine administration on FBG in glimepiride-treated hyperglycaemic rats</w:t>
      </w:r>
    </w:p>
    <w:p>
      <w:pPr>
        <w:pStyle w:val="BodyText"/>
        <w:spacing w:line="360" w:lineRule="auto"/>
        <w:ind w:left="296" w:right="1136"/>
        <w:jc w:val="both"/>
      </w:pPr>
      <w:r>
        <w:rPr/>
        <w:t>Data are mean ± SEM, </w:t>
      </w:r>
      <w:r>
        <w:rPr>
          <w:sz w:val="16"/>
        </w:rPr>
        <w:t>b</w:t>
      </w:r>
      <w:r>
        <w:rPr/>
        <w:t>= </w:t>
      </w:r>
      <w:r>
        <w:rPr>
          <w:i/>
        </w:rPr>
        <w:t>p </w:t>
      </w:r>
      <w:r>
        <w:rPr/>
        <w:t>≤ 0.01 compared to non-diabetic control </w:t>
      </w:r>
      <w:r>
        <w:rPr>
          <w:vertAlign w:val="superscript"/>
        </w:rPr>
        <w:t>**</w:t>
      </w:r>
      <w:r>
        <w:rPr>
          <w:vertAlign w:val="baseline"/>
        </w:rPr>
        <w:t> = </w:t>
      </w:r>
      <w:r>
        <w:rPr>
          <w:i/>
          <w:vertAlign w:val="baseline"/>
        </w:rPr>
        <w:t>p </w:t>
      </w:r>
      <w:r>
        <w:rPr>
          <w:vertAlign w:val="baseline"/>
        </w:rPr>
        <w:t>≤ 0.01 compared to day zero</w:t>
      </w:r>
      <w:r>
        <w:rPr>
          <w:spacing w:val="40"/>
          <w:vertAlign w:val="baseline"/>
        </w:rPr>
        <w:t> </w:t>
      </w:r>
      <w:r>
        <w:rPr>
          <w:vertAlign w:val="superscript"/>
        </w:rPr>
        <w:t>##</w:t>
      </w:r>
      <w:r>
        <w:rPr>
          <w:vertAlign w:val="baseline"/>
        </w:rPr>
        <w:t> = </w:t>
      </w:r>
      <w:r>
        <w:rPr>
          <w:i/>
          <w:vertAlign w:val="baseline"/>
        </w:rPr>
        <w:t>p </w:t>
      </w:r>
      <w:r>
        <w:rPr>
          <w:vertAlign w:val="baseline"/>
        </w:rPr>
        <w:t>≤ 0.01 compared to diabetic control, split plot ANOVA and Bonferoni </w:t>
      </w:r>
      <w:r>
        <w:rPr>
          <w:i/>
          <w:vertAlign w:val="baseline"/>
        </w:rPr>
        <w:t>post hoc </w:t>
      </w:r>
      <w:r>
        <w:rPr>
          <w:vertAlign w:val="baseline"/>
        </w:rPr>
        <w:t>test, n = 5-8, Glim8pm+Nife8am = treated with glimepiride at 8 pm</w:t>
      </w:r>
      <w:r>
        <w:rPr>
          <w:spacing w:val="40"/>
          <w:vertAlign w:val="baseline"/>
        </w:rPr>
        <w:t> </w:t>
      </w:r>
      <w:r>
        <w:rPr>
          <w:vertAlign w:val="baseline"/>
        </w:rPr>
        <w:t>and nifedipine at 8 am; Glim8pm+Nife8pm = treated with glimepiride at 8 pm and nifedipine at 8 pm</w:t>
      </w:r>
    </w:p>
    <w:p>
      <w:pPr>
        <w:spacing w:after="0" w:line="360" w:lineRule="auto"/>
        <w:jc w:val="both"/>
        <w:sectPr>
          <w:type w:val="continuous"/>
          <w:pgSz w:w="12240" w:h="15840"/>
          <w:pgMar w:header="0" w:footer="1015" w:top="1360" w:bottom="1200" w:left="1720" w:right="300"/>
        </w:sectPr>
      </w:pPr>
    </w:p>
    <w:p>
      <w:pPr>
        <w:pStyle w:val="Heading2"/>
        <w:numPr>
          <w:ilvl w:val="2"/>
          <w:numId w:val="16"/>
        </w:numPr>
        <w:tabs>
          <w:tab w:pos="1016" w:val="left" w:leader="none"/>
        </w:tabs>
        <w:spacing w:line="240" w:lineRule="auto" w:before="76" w:after="0"/>
        <w:ind w:left="1016" w:right="0" w:hanging="720"/>
        <w:jc w:val="both"/>
      </w:pPr>
      <w:bookmarkStart w:name="_TOC_250020" w:id="61"/>
      <w:r>
        <w:rPr/>
        <w:t>Random</w:t>
      </w:r>
      <w:r>
        <w:rPr>
          <w:spacing w:val="-4"/>
        </w:rPr>
        <w:t> </w:t>
      </w:r>
      <w:r>
        <w:rPr/>
        <w:t>blood</w:t>
      </w:r>
      <w:r>
        <w:rPr>
          <w:spacing w:val="2"/>
        </w:rPr>
        <w:t> </w:t>
      </w:r>
      <w:bookmarkEnd w:id="61"/>
      <w:r>
        <w:rPr>
          <w:spacing w:val="-2"/>
        </w:rPr>
        <w:t>glucose</w:t>
      </w:r>
    </w:p>
    <w:p>
      <w:pPr>
        <w:pStyle w:val="BodyText"/>
        <w:spacing w:line="480" w:lineRule="auto" w:before="272"/>
        <w:ind w:left="296" w:right="1135"/>
        <w:jc w:val="both"/>
      </w:pPr>
      <w:r>
        <w:rPr/>
        <w:t>Treatment with glimepiride alone at 8 pm resulted in reduction in the random blood</w:t>
      </w:r>
      <w:r>
        <w:rPr>
          <w:spacing w:val="40"/>
        </w:rPr>
        <w:t> </w:t>
      </w:r>
      <w:r>
        <w:rPr/>
        <w:t>glucose levels that was only significant (</w:t>
      </w:r>
      <w:r>
        <w:rPr>
          <w:i/>
        </w:rPr>
        <w:t>p</w:t>
      </w:r>
      <w:r>
        <w:rPr/>
        <w:t>&lt;0.05) on day 20 when compared to the initial values. Concurrent administration of glimepiride and nifedipine at 8 pm led to a delay in reduction of random blood glucose, although significant (</w:t>
      </w:r>
      <w:r>
        <w:rPr>
          <w:i/>
        </w:rPr>
        <w:t>p</w:t>
      </w:r>
      <w:r>
        <w:rPr/>
        <w:t>&lt;0.05) reduction in the random blood glucose was observed on day</w:t>
      </w:r>
      <w:r>
        <w:rPr>
          <w:spacing w:val="-1"/>
        </w:rPr>
        <w:t> </w:t>
      </w:r>
      <w:r>
        <w:rPr/>
        <w:t>20 when compared to initial levels. On the other hand, administration of</w:t>
      </w:r>
      <w:r>
        <w:rPr>
          <w:spacing w:val="-1"/>
        </w:rPr>
        <w:t> </w:t>
      </w:r>
      <w:r>
        <w:rPr/>
        <w:t>glimepiride</w:t>
      </w:r>
      <w:r>
        <w:rPr>
          <w:spacing w:val="-1"/>
        </w:rPr>
        <w:t> </w:t>
      </w:r>
      <w:r>
        <w:rPr/>
        <w:t>at 8 pm along</w:t>
      </w:r>
      <w:r>
        <w:rPr>
          <w:spacing w:val="-2"/>
        </w:rPr>
        <w:t> </w:t>
      </w:r>
      <w:r>
        <w:rPr/>
        <w:t>with nifedipine</w:t>
      </w:r>
      <w:r>
        <w:rPr>
          <w:spacing w:val="-1"/>
        </w:rPr>
        <w:t> </w:t>
      </w:r>
      <w:r>
        <w:rPr/>
        <w:t>at 8 am resulted in reduction in random blood glucose level which was only significant (</w:t>
      </w:r>
      <w:r>
        <w:rPr>
          <w:i/>
        </w:rPr>
        <w:t>p</w:t>
      </w:r>
      <w:r>
        <w:rPr/>
        <w:t>&lt;0.01) on day 20 in a manner similar to that of glimepiride alone at 8 pm as shown in figure 4.2.</w:t>
      </w:r>
    </w:p>
    <w:p>
      <w:pPr>
        <w:spacing w:after="0" w:line="480" w:lineRule="auto"/>
        <w:jc w:val="both"/>
        <w:sectPr>
          <w:pgSz w:w="12240" w:h="15840"/>
          <w:pgMar w:header="0" w:footer="1015" w:top="1360" w:bottom="1200" w:left="1720" w:right="300"/>
        </w:sectPr>
      </w:pPr>
    </w:p>
    <w:p>
      <w:pPr>
        <w:spacing w:before="48"/>
        <w:ind w:left="941" w:right="0" w:firstLine="0"/>
        <w:jc w:val="left"/>
        <w:rPr>
          <w:rFonts w:ascii="Calibri"/>
          <w:sz w:val="20"/>
        </w:rPr>
      </w:pPr>
      <w:r>
        <w:rPr/>
        <mc:AlternateContent>
          <mc:Choice Requires="wps">
            <w:drawing>
              <wp:anchor distT="0" distB="0" distL="0" distR="0" allowOverlap="1" layoutInCell="1" locked="0" behindDoc="0" simplePos="0" relativeHeight="15739392">
                <wp:simplePos x="0" y="0"/>
                <wp:positionH relativeFrom="page">
                  <wp:posOffset>1959864</wp:posOffset>
                </wp:positionH>
                <wp:positionV relativeFrom="paragraph">
                  <wp:posOffset>111760</wp:posOffset>
                </wp:positionV>
                <wp:extent cx="4058920" cy="313690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4058920" cy="3136900"/>
                          <a:chExt cx="4058920" cy="3136900"/>
                        </a:xfrm>
                      </wpg:grpSpPr>
                      <wps:wsp>
                        <wps:cNvPr id="77" name="Graphic 77"/>
                        <wps:cNvSpPr/>
                        <wps:spPr>
                          <a:xfrm>
                            <a:off x="0" y="4572"/>
                            <a:ext cx="3794760" cy="3127375"/>
                          </a:xfrm>
                          <a:custGeom>
                            <a:avLst/>
                            <a:gdLst/>
                            <a:ahLst/>
                            <a:cxnLst/>
                            <a:rect l="l" t="t" r="r" b="b"/>
                            <a:pathLst>
                              <a:path w="3794760" h="3127375">
                                <a:moveTo>
                                  <a:pt x="39624" y="3127248"/>
                                </a:moveTo>
                                <a:lnTo>
                                  <a:pt x="39624" y="0"/>
                                </a:lnTo>
                              </a:path>
                              <a:path w="3794760" h="3127375">
                                <a:moveTo>
                                  <a:pt x="0" y="3127248"/>
                                </a:moveTo>
                                <a:lnTo>
                                  <a:pt x="39624" y="3127248"/>
                                </a:lnTo>
                              </a:path>
                              <a:path w="3794760" h="3127375">
                                <a:moveTo>
                                  <a:pt x="0" y="2680716"/>
                                </a:moveTo>
                                <a:lnTo>
                                  <a:pt x="39624" y="2680716"/>
                                </a:lnTo>
                              </a:path>
                              <a:path w="3794760" h="3127375">
                                <a:moveTo>
                                  <a:pt x="0" y="2234184"/>
                                </a:moveTo>
                                <a:lnTo>
                                  <a:pt x="39624" y="2234184"/>
                                </a:lnTo>
                              </a:path>
                              <a:path w="3794760" h="3127375">
                                <a:moveTo>
                                  <a:pt x="0" y="1787652"/>
                                </a:moveTo>
                                <a:lnTo>
                                  <a:pt x="39624" y="1787652"/>
                                </a:lnTo>
                              </a:path>
                              <a:path w="3794760" h="3127375">
                                <a:moveTo>
                                  <a:pt x="0" y="1339596"/>
                                </a:moveTo>
                                <a:lnTo>
                                  <a:pt x="39624" y="1339596"/>
                                </a:lnTo>
                              </a:path>
                              <a:path w="3794760" h="3127375">
                                <a:moveTo>
                                  <a:pt x="0" y="893064"/>
                                </a:moveTo>
                                <a:lnTo>
                                  <a:pt x="39624" y="893064"/>
                                </a:lnTo>
                              </a:path>
                              <a:path w="3794760" h="3127375">
                                <a:moveTo>
                                  <a:pt x="0" y="446532"/>
                                </a:moveTo>
                                <a:lnTo>
                                  <a:pt x="39624" y="446532"/>
                                </a:lnTo>
                              </a:path>
                              <a:path w="3794760" h="3127375">
                                <a:moveTo>
                                  <a:pt x="0" y="0"/>
                                </a:moveTo>
                                <a:lnTo>
                                  <a:pt x="39624" y="0"/>
                                </a:lnTo>
                              </a:path>
                              <a:path w="3794760" h="3127375">
                                <a:moveTo>
                                  <a:pt x="39624" y="3127248"/>
                                </a:moveTo>
                                <a:lnTo>
                                  <a:pt x="3794760" y="3127248"/>
                                </a:lnTo>
                              </a:path>
                            </a:pathLst>
                          </a:custGeom>
                          <a:ln w="9144">
                            <a:solidFill>
                              <a:srgbClr val="858585"/>
                            </a:solidFill>
                            <a:prstDash val="solid"/>
                          </a:ln>
                        </wps:spPr>
                        <wps:bodyPr wrap="square" lIns="0" tIns="0" rIns="0" bIns="0" rtlCol="0">
                          <a:prstTxWarp prst="textNoShape">
                            <a:avLst/>
                          </a:prstTxWarp>
                          <a:noAutofit/>
                        </wps:bodyPr>
                      </wps:wsp>
                      <wps:wsp>
                        <wps:cNvPr id="78" name="Graphic 78"/>
                        <wps:cNvSpPr/>
                        <wps:spPr>
                          <a:xfrm>
                            <a:off x="387095" y="575691"/>
                            <a:ext cx="3060700" cy="2131060"/>
                          </a:xfrm>
                          <a:custGeom>
                            <a:avLst/>
                            <a:gdLst/>
                            <a:ahLst/>
                            <a:cxnLst/>
                            <a:rect l="l" t="t" r="r" b="b"/>
                            <a:pathLst>
                              <a:path w="3060700" h="2131060">
                                <a:moveTo>
                                  <a:pt x="28575" y="2130806"/>
                                </a:moveTo>
                                <a:lnTo>
                                  <a:pt x="28575" y="2130806"/>
                                </a:lnTo>
                                <a:lnTo>
                                  <a:pt x="28575" y="2067052"/>
                                </a:lnTo>
                              </a:path>
                              <a:path w="3060700" h="2131060">
                                <a:moveTo>
                                  <a:pt x="0" y="2067052"/>
                                </a:moveTo>
                                <a:lnTo>
                                  <a:pt x="57150" y="2067052"/>
                                </a:lnTo>
                              </a:path>
                              <a:path w="3060700" h="2131060">
                                <a:moveTo>
                                  <a:pt x="779398" y="2120138"/>
                                </a:moveTo>
                                <a:lnTo>
                                  <a:pt x="779398" y="2120138"/>
                                </a:lnTo>
                                <a:lnTo>
                                  <a:pt x="779398" y="2054733"/>
                                </a:lnTo>
                              </a:path>
                              <a:path w="3060700" h="2131060">
                                <a:moveTo>
                                  <a:pt x="750823" y="2054733"/>
                                </a:moveTo>
                                <a:lnTo>
                                  <a:pt x="807973" y="2054733"/>
                                </a:lnTo>
                              </a:path>
                              <a:path w="3060700" h="2131060">
                                <a:moveTo>
                                  <a:pt x="1530223" y="2116454"/>
                                </a:moveTo>
                                <a:lnTo>
                                  <a:pt x="1530223" y="2116454"/>
                                </a:lnTo>
                                <a:lnTo>
                                  <a:pt x="1530223" y="2050541"/>
                                </a:lnTo>
                              </a:path>
                              <a:path w="3060700" h="2131060">
                                <a:moveTo>
                                  <a:pt x="1501648" y="2050541"/>
                                </a:moveTo>
                                <a:lnTo>
                                  <a:pt x="1558798" y="2050541"/>
                                </a:lnTo>
                              </a:path>
                              <a:path w="3060700" h="2131060">
                                <a:moveTo>
                                  <a:pt x="2281047" y="2117471"/>
                                </a:moveTo>
                                <a:lnTo>
                                  <a:pt x="2281047" y="2117471"/>
                                </a:lnTo>
                                <a:lnTo>
                                  <a:pt x="2281047" y="2051558"/>
                                </a:lnTo>
                              </a:path>
                              <a:path w="3060700" h="2131060">
                                <a:moveTo>
                                  <a:pt x="2252472" y="2051558"/>
                                </a:moveTo>
                                <a:lnTo>
                                  <a:pt x="2309622" y="2051558"/>
                                </a:lnTo>
                              </a:path>
                              <a:path w="3060700" h="2131060">
                                <a:moveTo>
                                  <a:pt x="3031870" y="2117471"/>
                                </a:moveTo>
                                <a:lnTo>
                                  <a:pt x="3031870" y="2117471"/>
                                </a:lnTo>
                                <a:lnTo>
                                  <a:pt x="3031870" y="2051558"/>
                                </a:lnTo>
                              </a:path>
                              <a:path w="3060700" h="2131060">
                                <a:moveTo>
                                  <a:pt x="3003295" y="2051558"/>
                                </a:moveTo>
                                <a:lnTo>
                                  <a:pt x="3060445" y="2051558"/>
                                </a:lnTo>
                              </a:path>
                              <a:path w="3060700" h="2131060">
                                <a:moveTo>
                                  <a:pt x="28575" y="6476"/>
                                </a:moveTo>
                                <a:lnTo>
                                  <a:pt x="28575" y="82676"/>
                                </a:lnTo>
                              </a:path>
                              <a:path w="3060700" h="2131060">
                                <a:moveTo>
                                  <a:pt x="0" y="6476"/>
                                </a:moveTo>
                                <a:lnTo>
                                  <a:pt x="57150" y="6476"/>
                                </a:lnTo>
                              </a:path>
                              <a:path w="3060700" h="2131060">
                                <a:moveTo>
                                  <a:pt x="779398" y="219582"/>
                                </a:moveTo>
                                <a:lnTo>
                                  <a:pt x="779398" y="286892"/>
                                </a:lnTo>
                              </a:path>
                              <a:path w="3060700" h="2131060">
                                <a:moveTo>
                                  <a:pt x="750823" y="219582"/>
                                </a:moveTo>
                                <a:lnTo>
                                  <a:pt x="807973" y="219582"/>
                                </a:lnTo>
                              </a:path>
                              <a:path w="3060700" h="2131060">
                                <a:moveTo>
                                  <a:pt x="1530223" y="214883"/>
                                </a:moveTo>
                                <a:lnTo>
                                  <a:pt x="1530223" y="282321"/>
                                </a:lnTo>
                              </a:path>
                              <a:path w="3060700" h="2131060">
                                <a:moveTo>
                                  <a:pt x="1501648" y="214883"/>
                                </a:moveTo>
                                <a:lnTo>
                                  <a:pt x="1558798" y="214883"/>
                                </a:lnTo>
                              </a:path>
                              <a:path w="3060700" h="2131060">
                                <a:moveTo>
                                  <a:pt x="2281047" y="211074"/>
                                </a:moveTo>
                                <a:lnTo>
                                  <a:pt x="2281047" y="277749"/>
                                </a:lnTo>
                              </a:path>
                              <a:path w="3060700" h="2131060">
                                <a:moveTo>
                                  <a:pt x="2252472" y="211074"/>
                                </a:moveTo>
                                <a:lnTo>
                                  <a:pt x="2309622" y="211074"/>
                                </a:lnTo>
                              </a:path>
                              <a:path w="3060700" h="2131060">
                                <a:moveTo>
                                  <a:pt x="3031870" y="0"/>
                                </a:moveTo>
                                <a:lnTo>
                                  <a:pt x="3031870" y="76580"/>
                                </a:lnTo>
                              </a:path>
                              <a:path w="3060700" h="2131060">
                                <a:moveTo>
                                  <a:pt x="3003295" y="0"/>
                                </a:moveTo>
                                <a:lnTo>
                                  <a:pt x="3060445" y="0"/>
                                </a:lnTo>
                              </a:path>
                              <a:path w="3060700" h="2131060">
                                <a:moveTo>
                                  <a:pt x="28575" y="859917"/>
                                </a:moveTo>
                                <a:lnTo>
                                  <a:pt x="28575" y="859917"/>
                                </a:lnTo>
                                <a:lnTo>
                                  <a:pt x="28575" y="775080"/>
                                </a:lnTo>
                              </a:path>
                              <a:path w="3060700" h="2131060">
                                <a:moveTo>
                                  <a:pt x="0" y="775080"/>
                                </a:moveTo>
                                <a:lnTo>
                                  <a:pt x="57150" y="775080"/>
                                </a:lnTo>
                              </a:path>
                              <a:path w="3060700" h="2131060">
                                <a:moveTo>
                                  <a:pt x="779398" y="694563"/>
                                </a:moveTo>
                                <a:lnTo>
                                  <a:pt x="779398" y="694563"/>
                                </a:lnTo>
                                <a:lnTo>
                                  <a:pt x="779398" y="601472"/>
                                </a:lnTo>
                              </a:path>
                              <a:path w="3060700" h="2131060">
                                <a:moveTo>
                                  <a:pt x="750823" y="601472"/>
                                </a:moveTo>
                                <a:lnTo>
                                  <a:pt x="807973" y="601472"/>
                                </a:lnTo>
                              </a:path>
                              <a:path w="3060700" h="2131060">
                                <a:moveTo>
                                  <a:pt x="1530223" y="905891"/>
                                </a:moveTo>
                                <a:lnTo>
                                  <a:pt x="1530223" y="905891"/>
                                </a:lnTo>
                                <a:lnTo>
                                  <a:pt x="1530223" y="823468"/>
                                </a:lnTo>
                              </a:path>
                              <a:path w="3060700" h="2131060">
                                <a:moveTo>
                                  <a:pt x="1501648" y="823468"/>
                                </a:moveTo>
                                <a:lnTo>
                                  <a:pt x="1558798" y="823468"/>
                                </a:lnTo>
                              </a:path>
                              <a:path w="3060700" h="2131060">
                                <a:moveTo>
                                  <a:pt x="2281047" y="1212977"/>
                                </a:moveTo>
                                <a:lnTo>
                                  <a:pt x="2281047" y="1212977"/>
                                </a:lnTo>
                                <a:lnTo>
                                  <a:pt x="2281047" y="1145794"/>
                                </a:lnTo>
                              </a:path>
                              <a:path w="3060700" h="2131060">
                                <a:moveTo>
                                  <a:pt x="2252472" y="1145794"/>
                                </a:moveTo>
                                <a:lnTo>
                                  <a:pt x="2309622" y="1145794"/>
                                </a:lnTo>
                              </a:path>
                              <a:path w="3060700" h="2131060">
                                <a:moveTo>
                                  <a:pt x="3031870" y="1393063"/>
                                </a:moveTo>
                                <a:lnTo>
                                  <a:pt x="3031870" y="1393063"/>
                                </a:lnTo>
                                <a:lnTo>
                                  <a:pt x="3031870" y="1334897"/>
                                </a:lnTo>
                              </a:path>
                              <a:path w="3060700" h="2131060">
                                <a:moveTo>
                                  <a:pt x="3003295" y="1334897"/>
                                </a:moveTo>
                                <a:lnTo>
                                  <a:pt x="3060445" y="1334897"/>
                                </a:lnTo>
                              </a:path>
                              <a:path w="3060700" h="2131060">
                                <a:moveTo>
                                  <a:pt x="28575" y="172593"/>
                                </a:moveTo>
                                <a:lnTo>
                                  <a:pt x="28575" y="265556"/>
                                </a:lnTo>
                              </a:path>
                              <a:path w="3060700" h="2131060">
                                <a:moveTo>
                                  <a:pt x="779398" y="131572"/>
                                </a:moveTo>
                                <a:lnTo>
                                  <a:pt x="779398" y="131572"/>
                                </a:lnTo>
                                <a:lnTo>
                                  <a:pt x="779398" y="10287"/>
                                </a:lnTo>
                              </a:path>
                              <a:path w="3060700" h="2131060">
                                <a:moveTo>
                                  <a:pt x="750823" y="10287"/>
                                </a:moveTo>
                                <a:lnTo>
                                  <a:pt x="807973" y="10287"/>
                                </a:lnTo>
                              </a:path>
                              <a:path w="3060700" h="2131060">
                                <a:moveTo>
                                  <a:pt x="1530223" y="141350"/>
                                </a:moveTo>
                                <a:lnTo>
                                  <a:pt x="1530223" y="141350"/>
                                </a:lnTo>
                                <a:lnTo>
                                  <a:pt x="1530223" y="20574"/>
                                </a:lnTo>
                              </a:path>
                              <a:path w="3060700" h="2131060">
                                <a:moveTo>
                                  <a:pt x="1501648" y="20574"/>
                                </a:moveTo>
                                <a:lnTo>
                                  <a:pt x="1558798" y="20574"/>
                                </a:lnTo>
                              </a:path>
                              <a:path w="3060700" h="2131060">
                                <a:moveTo>
                                  <a:pt x="2281047" y="602488"/>
                                </a:moveTo>
                                <a:lnTo>
                                  <a:pt x="2281047" y="602488"/>
                                </a:lnTo>
                                <a:lnTo>
                                  <a:pt x="2281047" y="504825"/>
                                </a:lnTo>
                              </a:path>
                              <a:path w="3060700" h="2131060">
                                <a:moveTo>
                                  <a:pt x="2252472" y="504825"/>
                                </a:moveTo>
                                <a:lnTo>
                                  <a:pt x="2309622" y="504825"/>
                                </a:lnTo>
                              </a:path>
                              <a:path w="3060700" h="2131060">
                                <a:moveTo>
                                  <a:pt x="3031870" y="856360"/>
                                </a:moveTo>
                                <a:lnTo>
                                  <a:pt x="3031870" y="856360"/>
                                </a:lnTo>
                                <a:lnTo>
                                  <a:pt x="3031870" y="771398"/>
                                </a:lnTo>
                              </a:path>
                              <a:path w="3060700" h="2131060">
                                <a:moveTo>
                                  <a:pt x="3003295" y="771398"/>
                                </a:moveTo>
                                <a:lnTo>
                                  <a:pt x="3060445" y="771398"/>
                                </a:lnTo>
                              </a:path>
                              <a:path w="3060700" h="2131060">
                                <a:moveTo>
                                  <a:pt x="28575" y="972566"/>
                                </a:moveTo>
                                <a:lnTo>
                                  <a:pt x="28575" y="972566"/>
                                </a:lnTo>
                                <a:lnTo>
                                  <a:pt x="28575" y="893318"/>
                                </a:lnTo>
                              </a:path>
                              <a:path w="3060700" h="2131060">
                                <a:moveTo>
                                  <a:pt x="0" y="893318"/>
                                </a:moveTo>
                                <a:lnTo>
                                  <a:pt x="57150" y="893318"/>
                                </a:lnTo>
                              </a:path>
                              <a:path w="3060700" h="2131060">
                                <a:moveTo>
                                  <a:pt x="779398" y="883666"/>
                                </a:moveTo>
                                <a:lnTo>
                                  <a:pt x="779398" y="883666"/>
                                </a:lnTo>
                                <a:lnTo>
                                  <a:pt x="779398" y="799973"/>
                                </a:lnTo>
                              </a:path>
                              <a:path w="3060700" h="2131060">
                                <a:moveTo>
                                  <a:pt x="750823" y="799973"/>
                                </a:moveTo>
                                <a:lnTo>
                                  <a:pt x="807973" y="799973"/>
                                </a:lnTo>
                              </a:path>
                              <a:path w="3060700" h="2131060">
                                <a:moveTo>
                                  <a:pt x="1530223" y="957326"/>
                                </a:moveTo>
                                <a:lnTo>
                                  <a:pt x="1530223" y="957326"/>
                                </a:lnTo>
                                <a:lnTo>
                                  <a:pt x="1530223" y="877443"/>
                                </a:lnTo>
                              </a:path>
                              <a:path w="3060700" h="2131060">
                                <a:moveTo>
                                  <a:pt x="1501648" y="877443"/>
                                </a:moveTo>
                                <a:lnTo>
                                  <a:pt x="1558798" y="877443"/>
                                </a:lnTo>
                              </a:path>
                              <a:path w="3060700" h="2131060">
                                <a:moveTo>
                                  <a:pt x="2281047" y="1127125"/>
                                </a:moveTo>
                                <a:lnTo>
                                  <a:pt x="2281047" y="1127125"/>
                                </a:lnTo>
                                <a:lnTo>
                                  <a:pt x="2281047" y="1055751"/>
                                </a:lnTo>
                              </a:path>
                              <a:path w="3060700" h="2131060">
                                <a:moveTo>
                                  <a:pt x="2252472" y="1055751"/>
                                </a:moveTo>
                                <a:lnTo>
                                  <a:pt x="2309622" y="1055751"/>
                                </a:lnTo>
                              </a:path>
                              <a:path w="3060700" h="2131060">
                                <a:moveTo>
                                  <a:pt x="3031870" y="1201293"/>
                                </a:moveTo>
                                <a:lnTo>
                                  <a:pt x="3031870" y="1201293"/>
                                </a:lnTo>
                                <a:lnTo>
                                  <a:pt x="3031870" y="1133602"/>
                                </a:lnTo>
                              </a:path>
                              <a:path w="3060700" h="2131060">
                                <a:moveTo>
                                  <a:pt x="3003295" y="1133602"/>
                                </a:moveTo>
                                <a:lnTo>
                                  <a:pt x="3060445" y="1133602"/>
                                </a:lnTo>
                              </a:path>
                            </a:pathLst>
                          </a:custGeom>
                          <a:ln w="12700">
                            <a:solidFill>
                              <a:srgbClr val="000000"/>
                            </a:solidFill>
                            <a:prstDash val="solid"/>
                          </a:ln>
                        </wps:spPr>
                        <wps:bodyPr wrap="square" lIns="0" tIns="0" rIns="0" bIns="0" rtlCol="0">
                          <a:prstTxWarp prst="textNoShape">
                            <a:avLst/>
                          </a:prstTxWarp>
                          <a:noAutofit/>
                        </wps:bodyPr>
                      </wps:wsp>
                      <wps:wsp>
                        <wps:cNvPr id="79" name="Graphic 79"/>
                        <wps:cNvSpPr/>
                        <wps:spPr>
                          <a:xfrm>
                            <a:off x="416051" y="2692907"/>
                            <a:ext cx="3002280" cy="13970"/>
                          </a:xfrm>
                          <a:custGeom>
                            <a:avLst/>
                            <a:gdLst/>
                            <a:ahLst/>
                            <a:cxnLst/>
                            <a:rect l="l" t="t" r="r" b="b"/>
                            <a:pathLst>
                              <a:path w="3002280" h="13970">
                                <a:moveTo>
                                  <a:pt x="0" y="13716"/>
                                </a:moveTo>
                                <a:lnTo>
                                  <a:pt x="751332" y="3048"/>
                                </a:lnTo>
                                <a:lnTo>
                                  <a:pt x="1501139" y="0"/>
                                </a:lnTo>
                                <a:lnTo>
                                  <a:pt x="2252472" y="1524"/>
                                </a:lnTo>
                                <a:lnTo>
                                  <a:pt x="3002280" y="1524"/>
                                </a:lnTo>
                              </a:path>
                            </a:pathLst>
                          </a:custGeom>
                          <a:ln w="27431">
                            <a:solidFill>
                              <a:srgbClr val="497DBA"/>
                            </a:solidFill>
                            <a:prstDash val="solid"/>
                          </a:ln>
                        </wps:spPr>
                        <wps:bodyPr wrap="square" lIns="0" tIns="0" rIns="0" bIns="0" rtlCol="0">
                          <a:prstTxWarp prst="textNoShape">
                            <a:avLst/>
                          </a:prstTxWarp>
                          <a:noAutofit/>
                        </wps:bodyPr>
                      </wps:wsp>
                      <pic:pic>
                        <pic:nvPicPr>
                          <pic:cNvPr id="80" name="Image 80"/>
                          <pic:cNvPicPr/>
                        </pic:nvPicPr>
                        <pic:blipFill>
                          <a:blip r:embed="rId18" cstate="print"/>
                          <a:stretch>
                            <a:fillRect/>
                          </a:stretch>
                        </pic:blipFill>
                        <pic:spPr>
                          <a:xfrm>
                            <a:off x="367284" y="2656967"/>
                            <a:ext cx="98044" cy="98425"/>
                          </a:xfrm>
                          <a:prstGeom prst="rect">
                            <a:avLst/>
                          </a:prstGeom>
                        </pic:spPr>
                      </pic:pic>
                      <pic:pic>
                        <pic:nvPicPr>
                          <pic:cNvPr id="81" name="Image 81"/>
                          <pic:cNvPicPr/>
                        </pic:nvPicPr>
                        <pic:blipFill>
                          <a:blip r:embed="rId19" cstate="print"/>
                          <a:stretch>
                            <a:fillRect/>
                          </a:stretch>
                        </pic:blipFill>
                        <pic:spPr>
                          <a:xfrm>
                            <a:off x="1118108" y="2646172"/>
                            <a:ext cx="98044" cy="98425"/>
                          </a:xfrm>
                          <a:prstGeom prst="rect">
                            <a:avLst/>
                          </a:prstGeom>
                        </pic:spPr>
                      </pic:pic>
                      <pic:pic>
                        <pic:nvPicPr>
                          <pic:cNvPr id="82" name="Image 82"/>
                          <pic:cNvPicPr/>
                        </pic:nvPicPr>
                        <pic:blipFill>
                          <a:blip r:embed="rId20" cstate="print"/>
                          <a:stretch>
                            <a:fillRect/>
                          </a:stretch>
                        </pic:blipFill>
                        <pic:spPr>
                          <a:xfrm>
                            <a:off x="1868932" y="2642616"/>
                            <a:ext cx="98044" cy="98425"/>
                          </a:xfrm>
                          <a:prstGeom prst="rect">
                            <a:avLst/>
                          </a:prstGeom>
                        </pic:spPr>
                      </pic:pic>
                      <pic:pic>
                        <pic:nvPicPr>
                          <pic:cNvPr id="83" name="Image 83"/>
                          <pic:cNvPicPr/>
                        </pic:nvPicPr>
                        <pic:blipFill>
                          <a:blip r:embed="rId21" cstate="print"/>
                          <a:stretch>
                            <a:fillRect/>
                          </a:stretch>
                        </pic:blipFill>
                        <pic:spPr>
                          <a:xfrm>
                            <a:off x="2619755" y="2643504"/>
                            <a:ext cx="98044" cy="98425"/>
                          </a:xfrm>
                          <a:prstGeom prst="rect">
                            <a:avLst/>
                          </a:prstGeom>
                        </pic:spPr>
                      </pic:pic>
                      <pic:pic>
                        <pic:nvPicPr>
                          <pic:cNvPr id="84" name="Image 84"/>
                          <pic:cNvPicPr/>
                        </pic:nvPicPr>
                        <pic:blipFill>
                          <a:blip r:embed="rId19" cstate="print"/>
                          <a:stretch>
                            <a:fillRect/>
                          </a:stretch>
                        </pic:blipFill>
                        <pic:spPr>
                          <a:xfrm>
                            <a:off x="3370579" y="2643504"/>
                            <a:ext cx="98044" cy="98425"/>
                          </a:xfrm>
                          <a:prstGeom prst="rect">
                            <a:avLst/>
                          </a:prstGeom>
                        </pic:spPr>
                      </pic:pic>
                      <wps:wsp>
                        <wps:cNvPr id="85" name="Graphic 85"/>
                        <wps:cNvSpPr/>
                        <wps:spPr>
                          <a:xfrm>
                            <a:off x="416051" y="697991"/>
                            <a:ext cx="3002280" cy="208915"/>
                          </a:xfrm>
                          <a:custGeom>
                            <a:avLst/>
                            <a:gdLst/>
                            <a:ahLst/>
                            <a:cxnLst/>
                            <a:rect l="l" t="t" r="r" b="b"/>
                            <a:pathLst>
                              <a:path w="3002280" h="208915">
                                <a:moveTo>
                                  <a:pt x="0" y="6096"/>
                                </a:moveTo>
                                <a:lnTo>
                                  <a:pt x="751332" y="208788"/>
                                </a:lnTo>
                                <a:lnTo>
                                  <a:pt x="1501139" y="204216"/>
                                </a:lnTo>
                                <a:lnTo>
                                  <a:pt x="2252472" y="201168"/>
                                </a:lnTo>
                                <a:lnTo>
                                  <a:pt x="3002280" y="0"/>
                                </a:lnTo>
                              </a:path>
                            </a:pathLst>
                          </a:custGeom>
                          <a:ln w="27432">
                            <a:solidFill>
                              <a:srgbClr val="BD4A47"/>
                            </a:solidFill>
                            <a:prstDash val="solid"/>
                          </a:ln>
                        </wps:spPr>
                        <wps:bodyPr wrap="square" lIns="0" tIns="0" rIns="0" bIns="0" rtlCol="0">
                          <a:prstTxWarp prst="textNoShape">
                            <a:avLst/>
                          </a:prstTxWarp>
                          <a:noAutofit/>
                        </wps:bodyPr>
                      </wps:wsp>
                      <wps:wsp>
                        <wps:cNvPr id="86" name="Graphic 86"/>
                        <wps:cNvSpPr/>
                        <wps:spPr>
                          <a:xfrm>
                            <a:off x="371856" y="658368"/>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87" name="Graphic 87"/>
                        <wps:cNvSpPr/>
                        <wps:spPr>
                          <a:xfrm>
                            <a:off x="371856" y="658368"/>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88" name="Graphic 88"/>
                        <wps:cNvSpPr/>
                        <wps:spPr>
                          <a:xfrm>
                            <a:off x="1123188" y="86258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89" name="Graphic 89"/>
                        <wps:cNvSpPr/>
                        <wps:spPr>
                          <a:xfrm>
                            <a:off x="1123188" y="86258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0" name="Graphic 90"/>
                        <wps:cNvSpPr/>
                        <wps:spPr>
                          <a:xfrm>
                            <a:off x="1872995" y="858011"/>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91" name="Graphic 91"/>
                        <wps:cNvSpPr/>
                        <wps:spPr>
                          <a:xfrm>
                            <a:off x="1872995" y="858011"/>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2" name="Graphic 92"/>
                        <wps:cNvSpPr/>
                        <wps:spPr>
                          <a:xfrm>
                            <a:off x="2624327" y="853439"/>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93" name="Graphic 93"/>
                        <wps:cNvSpPr/>
                        <wps:spPr>
                          <a:xfrm>
                            <a:off x="2624327" y="853439"/>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94" name="Graphic 94"/>
                        <wps:cNvSpPr/>
                        <wps:spPr>
                          <a:xfrm>
                            <a:off x="3375659" y="65227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95" name="Graphic 95"/>
                        <wps:cNvSpPr/>
                        <wps:spPr>
                          <a:xfrm>
                            <a:off x="3375659" y="65227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96" name="Graphic 96"/>
                        <wps:cNvSpPr/>
                        <wps:spPr>
                          <a:xfrm>
                            <a:off x="416051" y="1271016"/>
                            <a:ext cx="3002280" cy="698500"/>
                          </a:xfrm>
                          <a:custGeom>
                            <a:avLst/>
                            <a:gdLst/>
                            <a:ahLst/>
                            <a:cxnLst/>
                            <a:rect l="l" t="t" r="r" b="b"/>
                            <a:pathLst>
                              <a:path w="3002280" h="698500">
                                <a:moveTo>
                                  <a:pt x="0" y="164592"/>
                                </a:moveTo>
                                <a:lnTo>
                                  <a:pt x="751332" y="0"/>
                                </a:lnTo>
                                <a:lnTo>
                                  <a:pt x="1501139" y="211835"/>
                                </a:lnTo>
                                <a:lnTo>
                                  <a:pt x="2252472" y="518159"/>
                                </a:lnTo>
                                <a:lnTo>
                                  <a:pt x="3002280" y="697992"/>
                                </a:lnTo>
                              </a:path>
                            </a:pathLst>
                          </a:custGeom>
                          <a:ln w="27432">
                            <a:solidFill>
                              <a:srgbClr val="97B853"/>
                            </a:solidFill>
                            <a:prstDash val="solid"/>
                          </a:ln>
                        </wps:spPr>
                        <wps:bodyPr wrap="square" lIns="0" tIns="0" rIns="0" bIns="0" rtlCol="0">
                          <a:prstTxWarp prst="textNoShape">
                            <a:avLst/>
                          </a:prstTxWarp>
                          <a:noAutofit/>
                        </wps:bodyPr>
                      </wps:wsp>
                      <pic:pic>
                        <pic:nvPicPr>
                          <pic:cNvPr id="97" name="Image 97"/>
                          <pic:cNvPicPr/>
                        </pic:nvPicPr>
                        <pic:blipFill>
                          <a:blip r:embed="rId13" cstate="print"/>
                          <a:stretch>
                            <a:fillRect/>
                          </a:stretch>
                        </pic:blipFill>
                        <pic:spPr>
                          <a:xfrm>
                            <a:off x="367284" y="1386205"/>
                            <a:ext cx="98044" cy="98044"/>
                          </a:xfrm>
                          <a:prstGeom prst="rect">
                            <a:avLst/>
                          </a:prstGeom>
                        </pic:spPr>
                      </pic:pic>
                      <pic:pic>
                        <pic:nvPicPr>
                          <pic:cNvPr id="98" name="Image 98"/>
                          <pic:cNvPicPr/>
                        </pic:nvPicPr>
                        <pic:blipFill>
                          <a:blip r:embed="rId22" cstate="print"/>
                          <a:stretch>
                            <a:fillRect/>
                          </a:stretch>
                        </pic:blipFill>
                        <pic:spPr>
                          <a:xfrm>
                            <a:off x="1118108" y="1220724"/>
                            <a:ext cx="98044" cy="98044"/>
                          </a:xfrm>
                          <a:prstGeom prst="rect">
                            <a:avLst/>
                          </a:prstGeom>
                        </pic:spPr>
                      </pic:pic>
                      <pic:pic>
                        <pic:nvPicPr>
                          <pic:cNvPr id="99" name="Image 99"/>
                          <pic:cNvPicPr/>
                        </pic:nvPicPr>
                        <pic:blipFill>
                          <a:blip r:embed="rId23" cstate="print"/>
                          <a:stretch>
                            <a:fillRect/>
                          </a:stretch>
                        </pic:blipFill>
                        <pic:spPr>
                          <a:xfrm>
                            <a:off x="1868932" y="1432178"/>
                            <a:ext cx="98044" cy="98171"/>
                          </a:xfrm>
                          <a:prstGeom prst="rect">
                            <a:avLst/>
                          </a:prstGeom>
                        </pic:spPr>
                      </pic:pic>
                      <pic:pic>
                        <pic:nvPicPr>
                          <pic:cNvPr id="100" name="Image 100"/>
                          <pic:cNvPicPr/>
                        </pic:nvPicPr>
                        <pic:blipFill>
                          <a:blip r:embed="rId12" cstate="print"/>
                          <a:stretch>
                            <a:fillRect/>
                          </a:stretch>
                        </pic:blipFill>
                        <pic:spPr>
                          <a:xfrm>
                            <a:off x="2619755" y="1739392"/>
                            <a:ext cx="98044" cy="98171"/>
                          </a:xfrm>
                          <a:prstGeom prst="rect">
                            <a:avLst/>
                          </a:prstGeom>
                        </pic:spPr>
                      </pic:pic>
                      <pic:pic>
                        <pic:nvPicPr>
                          <pic:cNvPr id="101" name="Image 101"/>
                          <pic:cNvPicPr/>
                        </pic:nvPicPr>
                        <pic:blipFill>
                          <a:blip r:embed="rId11" cstate="print"/>
                          <a:stretch>
                            <a:fillRect/>
                          </a:stretch>
                        </pic:blipFill>
                        <pic:spPr>
                          <a:xfrm>
                            <a:off x="3370579" y="1919732"/>
                            <a:ext cx="98044" cy="98044"/>
                          </a:xfrm>
                          <a:prstGeom prst="rect">
                            <a:avLst/>
                          </a:prstGeom>
                        </pic:spPr>
                      </pic:pic>
                      <wps:wsp>
                        <wps:cNvPr id="102" name="Graphic 102"/>
                        <wps:cNvSpPr/>
                        <wps:spPr>
                          <a:xfrm>
                            <a:off x="416051" y="707136"/>
                            <a:ext cx="3002280" cy="725805"/>
                          </a:xfrm>
                          <a:custGeom>
                            <a:avLst/>
                            <a:gdLst/>
                            <a:ahLst/>
                            <a:cxnLst/>
                            <a:rect l="l" t="t" r="r" b="b"/>
                            <a:pathLst>
                              <a:path w="3002280" h="725805">
                                <a:moveTo>
                                  <a:pt x="0" y="134111"/>
                                </a:moveTo>
                                <a:lnTo>
                                  <a:pt x="751332" y="0"/>
                                </a:lnTo>
                                <a:lnTo>
                                  <a:pt x="1501139" y="9144"/>
                                </a:lnTo>
                                <a:lnTo>
                                  <a:pt x="2252472" y="470915"/>
                                </a:lnTo>
                                <a:lnTo>
                                  <a:pt x="3002280" y="725424"/>
                                </a:lnTo>
                              </a:path>
                            </a:pathLst>
                          </a:custGeom>
                          <a:ln w="27432">
                            <a:solidFill>
                              <a:srgbClr val="7C5F9F"/>
                            </a:solidFill>
                            <a:prstDash val="solid"/>
                          </a:ln>
                        </wps:spPr>
                        <wps:bodyPr wrap="square" lIns="0" tIns="0" rIns="0" bIns="0" rtlCol="0">
                          <a:prstTxWarp prst="textNoShape">
                            <a:avLst/>
                          </a:prstTxWarp>
                          <a:noAutofit/>
                        </wps:bodyPr>
                      </wps:wsp>
                      <wps:wsp>
                        <wps:cNvPr id="103" name="Graphic 103"/>
                        <wps:cNvSpPr/>
                        <wps:spPr>
                          <a:xfrm>
                            <a:off x="371856" y="662940"/>
                            <a:ext cx="3092450" cy="814069"/>
                          </a:xfrm>
                          <a:custGeom>
                            <a:avLst/>
                            <a:gdLst/>
                            <a:ahLst/>
                            <a:cxnLst/>
                            <a:rect l="l" t="t" r="r" b="b"/>
                            <a:pathLst>
                              <a:path w="3092450" h="814069">
                                <a:moveTo>
                                  <a:pt x="44195" y="178307"/>
                                </a:moveTo>
                                <a:lnTo>
                                  <a:pt x="0" y="222503"/>
                                </a:lnTo>
                                <a:lnTo>
                                  <a:pt x="88392" y="222503"/>
                                </a:lnTo>
                                <a:lnTo>
                                  <a:pt x="44195" y="178307"/>
                                </a:lnTo>
                                <a:close/>
                              </a:path>
                              <a:path w="3092450" h="814069">
                                <a:moveTo>
                                  <a:pt x="88392" y="134111"/>
                                </a:moveTo>
                                <a:lnTo>
                                  <a:pt x="0" y="134111"/>
                                </a:lnTo>
                                <a:lnTo>
                                  <a:pt x="44195" y="178307"/>
                                </a:lnTo>
                                <a:lnTo>
                                  <a:pt x="88392" y="134111"/>
                                </a:lnTo>
                                <a:close/>
                              </a:path>
                              <a:path w="3092450" h="814069">
                                <a:moveTo>
                                  <a:pt x="795528" y="44196"/>
                                </a:moveTo>
                                <a:lnTo>
                                  <a:pt x="751332" y="88392"/>
                                </a:lnTo>
                                <a:lnTo>
                                  <a:pt x="839724" y="88392"/>
                                </a:lnTo>
                                <a:lnTo>
                                  <a:pt x="795528" y="44196"/>
                                </a:lnTo>
                                <a:close/>
                              </a:path>
                              <a:path w="3092450" h="814069">
                                <a:moveTo>
                                  <a:pt x="839724" y="0"/>
                                </a:moveTo>
                                <a:lnTo>
                                  <a:pt x="751332" y="0"/>
                                </a:lnTo>
                                <a:lnTo>
                                  <a:pt x="795528" y="44196"/>
                                </a:lnTo>
                                <a:lnTo>
                                  <a:pt x="839724" y="0"/>
                                </a:lnTo>
                                <a:close/>
                              </a:path>
                              <a:path w="3092450" h="814069">
                                <a:moveTo>
                                  <a:pt x="1546098" y="54101"/>
                                </a:moveTo>
                                <a:lnTo>
                                  <a:pt x="1501140" y="99059"/>
                                </a:lnTo>
                                <a:lnTo>
                                  <a:pt x="1591056" y="99059"/>
                                </a:lnTo>
                                <a:lnTo>
                                  <a:pt x="1546098" y="54101"/>
                                </a:lnTo>
                                <a:close/>
                              </a:path>
                              <a:path w="3092450" h="814069">
                                <a:moveTo>
                                  <a:pt x="1591056" y="9144"/>
                                </a:moveTo>
                                <a:lnTo>
                                  <a:pt x="1501140" y="9144"/>
                                </a:lnTo>
                                <a:lnTo>
                                  <a:pt x="1546098" y="54101"/>
                                </a:lnTo>
                                <a:lnTo>
                                  <a:pt x="1591056" y="9144"/>
                                </a:lnTo>
                                <a:close/>
                              </a:path>
                              <a:path w="3092450" h="814069">
                                <a:moveTo>
                                  <a:pt x="2296668" y="515111"/>
                                </a:moveTo>
                                <a:lnTo>
                                  <a:pt x="2252472" y="559307"/>
                                </a:lnTo>
                                <a:lnTo>
                                  <a:pt x="2340864" y="559307"/>
                                </a:lnTo>
                                <a:lnTo>
                                  <a:pt x="2296668" y="515111"/>
                                </a:lnTo>
                                <a:close/>
                              </a:path>
                              <a:path w="3092450" h="814069">
                                <a:moveTo>
                                  <a:pt x="2340864" y="470916"/>
                                </a:moveTo>
                                <a:lnTo>
                                  <a:pt x="2252472" y="470916"/>
                                </a:lnTo>
                                <a:lnTo>
                                  <a:pt x="2296668" y="515111"/>
                                </a:lnTo>
                                <a:lnTo>
                                  <a:pt x="2340864" y="470916"/>
                                </a:lnTo>
                                <a:close/>
                              </a:path>
                              <a:path w="3092450" h="814069">
                                <a:moveTo>
                                  <a:pt x="3048000" y="769620"/>
                                </a:moveTo>
                                <a:lnTo>
                                  <a:pt x="3003804" y="813816"/>
                                </a:lnTo>
                                <a:lnTo>
                                  <a:pt x="3092196" y="813816"/>
                                </a:lnTo>
                                <a:lnTo>
                                  <a:pt x="3048000" y="769620"/>
                                </a:lnTo>
                                <a:close/>
                              </a:path>
                              <a:path w="3092450" h="814069">
                                <a:moveTo>
                                  <a:pt x="3092196" y="725424"/>
                                </a:moveTo>
                                <a:lnTo>
                                  <a:pt x="3003804" y="725424"/>
                                </a:lnTo>
                                <a:lnTo>
                                  <a:pt x="3048000" y="769620"/>
                                </a:lnTo>
                                <a:lnTo>
                                  <a:pt x="3092196" y="725424"/>
                                </a:lnTo>
                                <a:close/>
                              </a:path>
                            </a:pathLst>
                          </a:custGeom>
                          <a:solidFill>
                            <a:srgbClr val="8063A1"/>
                          </a:solidFill>
                        </wps:spPr>
                        <wps:bodyPr wrap="square" lIns="0" tIns="0" rIns="0" bIns="0" rtlCol="0">
                          <a:prstTxWarp prst="textNoShape">
                            <a:avLst/>
                          </a:prstTxWarp>
                          <a:noAutofit/>
                        </wps:bodyPr>
                      </wps:wsp>
                      <wps:wsp>
                        <wps:cNvPr id="104" name="Graphic 104"/>
                        <wps:cNvSpPr/>
                        <wps:spPr>
                          <a:xfrm>
                            <a:off x="371856" y="662940"/>
                            <a:ext cx="3092450" cy="814069"/>
                          </a:xfrm>
                          <a:custGeom>
                            <a:avLst/>
                            <a:gdLst/>
                            <a:ahLst/>
                            <a:cxnLst/>
                            <a:rect l="l" t="t" r="r" b="b"/>
                            <a:pathLst>
                              <a:path w="3092450" h="814069">
                                <a:moveTo>
                                  <a:pt x="88392" y="222503"/>
                                </a:moveTo>
                                <a:lnTo>
                                  <a:pt x="0" y="134111"/>
                                </a:lnTo>
                              </a:path>
                              <a:path w="3092450" h="814069">
                                <a:moveTo>
                                  <a:pt x="0" y="222503"/>
                                </a:moveTo>
                                <a:lnTo>
                                  <a:pt x="88392" y="134111"/>
                                </a:lnTo>
                              </a:path>
                              <a:path w="3092450" h="814069">
                                <a:moveTo>
                                  <a:pt x="839724" y="88392"/>
                                </a:moveTo>
                                <a:lnTo>
                                  <a:pt x="751332" y="0"/>
                                </a:lnTo>
                              </a:path>
                              <a:path w="3092450" h="814069">
                                <a:moveTo>
                                  <a:pt x="751332" y="88392"/>
                                </a:moveTo>
                                <a:lnTo>
                                  <a:pt x="839724" y="0"/>
                                </a:lnTo>
                              </a:path>
                              <a:path w="3092450" h="814069">
                                <a:moveTo>
                                  <a:pt x="1591056" y="99059"/>
                                </a:moveTo>
                                <a:lnTo>
                                  <a:pt x="1501140" y="9144"/>
                                </a:lnTo>
                              </a:path>
                              <a:path w="3092450" h="814069">
                                <a:moveTo>
                                  <a:pt x="1501140" y="99059"/>
                                </a:moveTo>
                                <a:lnTo>
                                  <a:pt x="1591056" y="9144"/>
                                </a:lnTo>
                              </a:path>
                              <a:path w="3092450" h="814069">
                                <a:moveTo>
                                  <a:pt x="2340864" y="559307"/>
                                </a:moveTo>
                                <a:lnTo>
                                  <a:pt x="2252472" y="470916"/>
                                </a:lnTo>
                              </a:path>
                              <a:path w="3092450" h="814069">
                                <a:moveTo>
                                  <a:pt x="2252472" y="559307"/>
                                </a:moveTo>
                                <a:lnTo>
                                  <a:pt x="2340864" y="470916"/>
                                </a:lnTo>
                              </a:path>
                              <a:path w="3092450" h="814069">
                                <a:moveTo>
                                  <a:pt x="3092196" y="813816"/>
                                </a:moveTo>
                                <a:lnTo>
                                  <a:pt x="3003804" y="725424"/>
                                </a:lnTo>
                              </a:path>
                              <a:path w="3092450" h="814069">
                                <a:moveTo>
                                  <a:pt x="3003804" y="813816"/>
                                </a:moveTo>
                                <a:lnTo>
                                  <a:pt x="3092196" y="725424"/>
                                </a:lnTo>
                              </a:path>
                            </a:pathLst>
                          </a:custGeom>
                          <a:ln w="9144">
                            <a:solidFill>
                              <a:srgbClr val="7C5F9F"/>
                            </a:solidFill>
                            <a:prstDash val="solid"/>
                          </a:ln>
                        </wps:spPr>
                        <wps:bodyPr wrap="square" lIns="0" tIns="0" rIns="0" bIns="0" rtlCol="0">
                          <a:prstTxWarp prst="textNoShape">
                            <a:avLst/>
                          </a:prstTxWarp>
                          <a:noAutofit/>
                        </wps:bodyPr>
                      </wps:wsp>
                      <wps:wsp>
                        <wps:cNvPr id="105" name="Graphic 105"/>
                        <wps:cNvSpPr/>
                        <wps:spPr>
                          <a:xfrm>
                            <a:off x="416051" y="1459991"/>
                            <a:ext cx="3002280" cy="317500"/>
                          </a:xfrm>
                          <a:custGeom>
                            <a:avLst/>
                            <a:gdLst/>
                            <a:ahLst/>
                            <a:cxnLst/>
                            <a:rect l="l" t="t" r="r" b="b"/>
                            <a:pathLst>
                              <a:path w="3002280" h="317500">
                                <a:moveTo>
                                  <a:pt x="0" y="88392"/>
                                </a:moveTo>
                                <a:lnTo>
                                  <a:pt x="751332" y="0"/>
                                </a:lnTo>
                                <a:lnTo>
                                  <a:pt x="1501139" y="73151"/>
                                </a:lnTo>
                                <a:lnTo>
                                  <a:pt x="2252472" y="242316"/>
                                </a:lnTo>
                                <a:lnTo>
                                  <a:pt x="3002280" y="316992"/>
                                </a:lnTo>
                              </a:path>
                            </a:pathLst>
                          </a:custGeom>
                          <a:ln w="27432">
                            <a:solidFill>
                              <a:srgbClr val="46AAC5"/>
                            </a:solidFill>
                            <a:prstDash val="solid"/>
                          </a:ln>
                        </wps:spPr>
                        <wps:bodyPr wrap="square" lIns="0" tIns="0" rIns="0" bIns="0" rtlCol="0">
                          <a:prstTxWarp prst="textNoShape">
                            <a:avLst/>
                          </a:prstTxWarp>
                          <a:noAutofit/>
                        </wps:bodyPr>
                      </wps:wsp>
                      <wps:wsp>
                        <wps:cNvPr id="106" name="Graphic 106"/>
                        <wps:cNvSpPr/>
                        <wps:spPr>
                          <a:xfrm>
                            <a:off x="371856" y="1414272"/>
                            <a:ext cx="3048000" cy="407034"/>
                          </a:xfrm>
                          <a:custGeom>
                            <a:avLst/>
                            <a:gdLst/>
                            <a:ahLst/>
                            <a:cxnLst/>
                            <a:rect l="l" t="t" r="r" b="b"/>
                            <a:pathLst>
                              <a:path w="3048000" h="407034">
                                <a:moveTo>
                                  <a:pt x="44196" y="133350"/>
                                </a:moveTo>
                                <a:lnTo>
                                  <a:pt x="0" y="178308"/>
                                </a:lnTo>
                                <a:lnTo>
                                  <a:pt x="44196" y="178308"/>
                                </a:lnTo>
                                <a:lnTo>
                                  <a:pt x="44196" y="133350"/>
                                </a:lnTo>
                                <a:close/>
                              </a:path>
                              <a:path w="3048000" h="407034">
                                <a:moveTo>
                                  <a:pt x="44196" y="88392"/>
                                </a:moveTo>
                                <a:lnTo>
                                  <a:pt x="0" y="88392"/>
                                </a:lnTo>
                                <a:lnTo>
                                  <a:pt x="44196" y="133350"/>
                                </a:lnTo>
                                <a:lnTo>
                                  <a:pt x="44196" y="88392"/>
                                </a:lnTo>
                                <a:close/>
                              </a:path>
                              <a:path w="3048000" h="407034">
                                <a:moveTo>
                                  <a:pt x="795528" y="44196"/>
                                </a:moveTo>
                                <a:lnTo>
                                  <a:pt x="751332" y="88392"/>
                                </a:lnTo>
                                <a:lnTo>
                                  <a:pt x="795528" y="88392"/>
                                </a:lnTo>
                                <a:lnTo>
                                  <a:pt x="795528" y="44196"/>
                                </a:lnTo>
                                <a:close/>
                              </a:path>
                              <a:path w="3048000" h="407034">
                                <a:moveTo>
                                  <a:pt x="795528" y="0"/>
                                </a:moveTo>
                                <a:lnTo>
                                  <a:pt x="751332" y="0"/>
                                </a:lnTo>
                                <a:lnTo>
                                  <a:pt x="795528" y="44196"/>
                                </a:lnTo>
                                <a:lnTo>
                                  <a:pt x="795528" y="0"/>
                                </a:lnTo>
                                <a:close/>
                              </a:path>
                              <a:path w="3048000" h="407034">
                                <a:moveTo>
                                  <a:pt x="1546098" y="118110"/>
                                </a:moveTo>
                                <a:lnTo>
                                  <a:pt x="1501140" y="163068"/>
                                </a:lnTo>
                                <a:lnTo>
                                  <a:pt x="1546859" y="163068"/>
                                </a:lnTo>
                                <a:lnTo>
                                  <a:pt x="1546859" y="118872"/>
                                </a:lnTo>
                                <a:lnTo>
                                  <a:pt x="1546098" y="118110"/>
                                </a:lnTo>
                                <a:close/>
                              </a:path>
                              <a:path w="3048000" h="407034">
                                <a:moveTo>
                                  <a:pt x="1546859" y="73151"/>
                                </a:moveTo>
                                <a:lnTo>
                                  <a:pt x="1501140" y="73151"/>
                                </a:lnTo>
                                <a:lnTo>
                                  <a:pt x="1546098" y="118110"/>
                                </a:lnTo>
                                <a:lnTo>
                                  <a:pt x="1546859" y="117348"/>
                                </a:lnTo>
                                <a:lnTo>
                                  <a:pt x="1546859" y="73151"/>
                                </a:lnTo>
                                <a:close/>
                              </a:path>
                              <a:path w="3048000" h="407034">
                                <a:moveTo>
                                  <a:pt x="2296668" y="288036"/>
                                </a:moveTo>
                                <a:lnTo>
                                  <a:pt x="2252472" y="332232"/>
                                </a:lnTo>
                                <a:lnTo>
                                  <a:pt x="2296668" y="332232"/>
                                </a:lnTo>
                                <a:lnTo>
                                  <a:pt x="2296668" y="288036"/>
                                </a:lnTo>
                                <a:close/>
                              </a:path>
                              <a:path w="3048000" h="407034">
                                <a:moveTo>
                                  <a:pt x="2296668" y="243840"/>
                                </a:moveTo>
                                <a:lnTo>
                                  <a:pt x="2252472" y="243840"/>
                                </a:lnTo>
                                <a:lnTo>
                                  <a:pt x="2296668" y="288036"/>
                                </a:lnTo>
                                <a:lnTo>
                                  <a:pt x="2296668" y="243840"/>
                                </a:lnTo>
                                <a:close/>
                              </a:path>
                              <a:path w="3048000" h="407034">
                                <a:moveTo>
                                  <a:pt x="3048000" y="362712"/>
                                </a:moveTo>
                                <a:lnTo>
                                  <a:pt x="3003804" y="406908"/>
                                </a:lnTo>
                                <a:lnTo>
                                  <a:pt x="3048000" y="406908"/>
                                </a:lnTo>
                                <a:lnTo>
                                  <a:pt x="3048000" y="362712"/>
                                </a:lnTo>
                                <a:close/>
                              </a:path>
                              <a:path w="3048000" h="407034">
                                <a:moveTo>
                                  <a:pt x="3048000" y="318516"/>
                                </a:moveTo>
                                <a:lnTo>
                                  <a:pt x="3003804" y="318516"/>
                                </a:lnTo>
                                <a:lnTo>
                                  <a:pt x="3048000" y="362712"/>
                                </a:lnTo>
                                <a:lnTo>
                                  <a:pt x="3048000" y="318516"/>
                                </a:lnTo>
                                <a:close/>
                              </a:path>
                            </a:pathLst>
                          </a:custGeom>
                          <a:solidFill>
                            <a:srgbClr val="4AACC5"/>
                          </a:solidFill>
                        </wps:spPr>
                        <wps:bodyPr wrap="square" lIns="0" tIns="0" rIns="0" bIns="0" rtlCol="0">
                          <a:prstTxWarp prst="textNoShape">
                            <a:avLst/>
                          </a:prstTxWarp>
                          <a:noAutofit/>
                        </wps:bodyPr>
                      </wps:wsp>
                      <wps:wsp>
                        <wps:cNvPr id="107" name="Graphic 107"/>
                        <wps:cNvSpPr/>
                        <wps:spPr>
                          <a:xfrm>
                            <a:off x="371856" y="1414272"/>
                            <a:ext cx="3092450" cy="407034"/>
                          </a:xfrm>
                          <a:custGeom>
                            <a:avLst/>
                            <a:gdLst/>
                            <a:ahLst/>
                            <a:cxnLst/>
                            <a:rect l="l" t="t" r="r" b="b"/>
                            <a:pathLst>
                              <a:path w="3092450" h="407034">
                                <a:moveTo>
                                  <a:pt x="88392" y="178308"/>
                                </a:moveTo>
                                <a:lnTo>
                                  <a:pt x="0" y="88392"/>
                                </a:lnTo>
                              </a:path>
                              <a:path w="3092450" h="407034">
                                <a:moveTo>
                                  <a:pt x="44196" y="88392"/>
                                </a:moveTo>
                                <a:lnTo>
                                  <a:pt x="44196" y="178308"/>
                                </a:lnTo>
                              </a:path>
                              <a:path w="3092450" h="407034">
                                <a:moveTo>
                                  <a:pt x="0" y="178308"/>
                                </a:moveTo>
                                <a:lnTo>
                                  <a:pt x="88392" y="88392"/>
                                </a:lnTo>
                              </a:path>
                              <a:path w="3092450" h="407034">
                                <a:moveTo>
                                  <a:pt x="839724" y="88392"/>
                                </a:moveTo>
                                <a:lnTo>
                                  <a:pt x="751332" y="0"/>
                                </a:lnTo>
                              </a:path>
                              <a:path w="3092450" h="407034">
                                <a:moveTo>
                                  <a:pt x="795528" y="0"/>
                                </a:moveTo>
                                <a:lnTo>
                                  <a:pt x="795528" y="88392"/>
                                </a:lnTo>
                              </a:path>
                              <a:path w="3092450" h="407034">
                                <a:moveTo>
                                  <a:pt x="751332" y="88392"/>
                                </a:moveTo>
                                <a:lnTo>
                                  <a:pt x="839724" y="0"/>
                                </a:lnTo>
                              </a:path>
                              <a:path w="3092450" h="407034">
                                <a:moveTo>
                                  <a:pt x="1591056" y="163068"/>
                                </a:moveTo>
                                <a:lnTo>
                                  <a:pt x="1501140" y="73151"/>
                                </a:lnTo>
                              </a:path>
                              <a:path w="3092450" h="407034">
                                <a:moveTo>
                                  <a:pt x="1546859" y="73151"/>
                                </a:moveTo>
                                <a:lnTo>
                                  <a:pt x="1546859" y="163068"/>
                                </a:lnTo>
                              </a:path>
                              <a:path w="3092450" h="407034">
                                <a:moveTo>
                                  <a:pt x="1501140" y="163068"/>
                                </a:moveTo>
                                <a:lnTo>
                                  <a:pt x="1591056" y="73151"/>
                                </a:lnTo>
                              </a:path>
                              <a:path w="3092450" h="407034">
                                <a:moveTo>
                                  <a:pt x="2340864" y="332232"/>
                                </a:moveTo>
                                <a:lnTo>
                                  <a:pt x="2252472" y="243840"/>
                                </a:lnTo>
                              </a:path>
                              <a:path w="3092450" h="407034">
                                <a:moveTo>
                                  <a:pt x="2296668" y="243840"/>
                                </a:moveTo>
                                <a:lnTo>
                                  <a:pt x="2296668" y="332232"/>
                                </a:lnTo>
                              </a:path>
                              <a:path w="3092450" h="407034">
                                <a:moveTo>
                                  <a:pt x="2252472" y="332232"/>
                                </a:moveTo>
                                <a:lnTo>
                                  <a:pt x="2340864" y="243840"/>
                                </a:lnTo>
                              </a:path>
                              <a:path w="3092450" h="407034">
                                <a:moveTo>
                                  <a:pt x="3092196" y="406908"/>
                                </a:moveTo>
                                <a:lnTo>
                                  <a:pt x="3003804" y="318516"/>
                                </a:lnTo>
                              </a:path>
                              <a:path w="3092450" h="407034">
                                <a:moveTo>
                                  <a:pt x="3048000" y="318516"/>
                                </a:moveTo>
                                <a:lnTo>
                                  <a:pt x="3048000" y="406908"/>
                                </a:lnTo>
                              </a:path>
                              <a:path w="3092450" h="407034">
                                <a:moveTo>
                                  <a:pt x="3003804" y="406908"/>
                                </a:moveTo>
                                <a:lnTo>
                                  <a:pt x="3092196" y="318516"/>
                                </a:lnTo>
                              </a:path>
                            </a:pathLst>
                          </a:custGeom>
                          <a:ln w="9144">
                            <a:solidFill>
                              <a:srgbClr val="46AAC5"/>
                            </a:solidFill>
                            <a:prstDash val="solid"/>
                          </a:ln>
                        </wps:spPr>
                        <wps:bodyPr wrap="square" lIns="0" tIns="0" rIns="0" bIns="0" rtlCol="0">
                          <a:prstTxWarp prst="textNoShape">
                            <a:avLst/>
                          </a:prstTxWarp>
                          <a:noAutofit/>
                        </wps:bodyPr>
                      </wps:wsp>
                      <pic:pic>
                        <pic:nvPicPr>
                          <pic:cNvPr id="108" name="Image 108"/>
                          <pic:cNvPicPr/>
                        </pic:nvPicPr>
                        <pic:blipFill>
                          <a:blip r:embed="rId24" cstate="print"/>
                          <a:stretch>
                            <a:fillRect/>
                          </a:stretch>
                        </pic:blipFill>
                        <pic:spPr>
                          <a:xfrm>
                            <a:off x="3814571" y="1374647"/>
                            <a:ext cx="243839" cy="85344"/>
                          </a:xfrm>
                          <a:prstGeom prst="rect">
                            <a:avLst/>
                          </a:prstGeom>
                        </pic:spPr>
                      </pic:pic>
                      <wps:wsp>
                        <wps:cNvPr id="109" name="Graphic 109"/>
                        <wps:cNvSpPr/>
                        <wps:spPr>
                          <a:xfrm>
                            <a:off x="3814571" y="1647444"/>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pic:pic>
                        <pic:nvPicPr>
                          <pic:cNvPr id="110" name="Image 110"/>
                          <pic:cNvPicPr/>
                        </pic:nvPicPr>
                        <pic:blipFill>
                          <a:blip r:embed="rId25" cstate="print"/>
                          <a:stretch>
                            <a:fillRect/>
                          </a:stretch>
                        </pic:blipFill>
                        <pic:spPr>
                          <a:xfrm>
                            <a:off x="3814571" y="1833372"/>
                            <a:ext cx="243839" cy="85344"/>
                          </a:xfrm>
                          <a:prstGeom prst="rect">
                            <a:avLst/>
                          </a:prstGeom>
                        </pic:spPr>
                      </pic:pic>
                      <pic:pic>
                        <pic:nvPicPr>
                          <pic:cNvPr id="111" name="Image 111"/>
                          <pic:cNvPicPr/>
                        </pic:nvPicPr>
                        <pic:blipFill>
                          <a:blip r:embed="rId26" cstate="print"/>
                          <a:stretch>
                            <a:fillRect/>
                          </a:stretch>
                        </pic:blipFill>
                        <pic:spPr>
                          <a:xfrm>
                            <a:off x="3814571" y="2063495"/>
                            <a:ext cx="243839" cy="85344"/>
                          </a:xfrm>
                          <a:prstGeom prst="rect">
                            <a:avLst/>
                          </a:prstGeom>
                        </pic:spPr>
                      </pic:pic>
                      <pic:pic>
                        <pic:nvPicPr>
                          <pic:cNvPr id="112" name="Image 112"/>
                          <pic:cNvPicPr/>
                        </pic:nvPicPr>
                        <pic:blipFill>
                          <a:blip r:embed="rId27" cstate="print"/>
                          <a:stretch>
                            <a:fillRect/>
                          </a:stretch>
                        </pic:blipFill>
                        <pic:spPr>
                          <a:xfrm>
                            <a:off x="3814571" y="2293620"/>
                            <a:ext cx="243839" cy="85344"/>
                          </a:xfrm>
                          <a:prstGeom prst="rect">
                            <a:avLst/>
                          </a:prstGeom>
                        </pic:spPr>
                      </pic:pic>
                      <wps:wsp>
                        <wps:cNvPr id="113" name="Textbox 113"/>
                        <wps:cNvSpPr txBox="1"/>
                        <wps:spPr>
                          <a:xfrm>
                            <a:off x="388620" y="492505"/>
                            <a:ext cx="79375" cy="270510"/>
                          </a:xfrm>
                          <a:prstGeom prst="rect">
                            <a:avLst/>
                          </a:prstGeom>
                        </wps:spPr>
                        <wps:txbx>
                          <w:txbxContent>
                            <w:p>
                              <w:pPr>
                                <w:spacing w:line="164" w:lineRule="exact" w:before="0"/>
                                <w:ind w:left="20" w:right="0" w:firstLine="0"/>
                                <w:jc w:val="left"/>
                                <w:rPr>
                                  <w:rFonts w:ascii="Calibri"/>
                                  <w:sz w:val="16"/>
                                </w:rPr>
                              </w:pPr>
                              <w:r>
                                <w:rPr>
                                  <w:rFonts w:ascii="Calibri"/>
                                  <w:spacing w:val="-10"/>
                                  <w:sz w:val="16"/>
                                </w:rPr>
                                <w:t>b</w:t>
                              </w:r>
                            </w:p>
                            <w:p>
                              <w:pPr>
                                <w:spacing w:line="193" w:lineRule="exact" w:before="69"/>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4" name="Textbox 114"/>
                        <wps:cNvSpPr txBox="1"/>
                        <wps:spPr>
                          <a:xfrm>
                            <a:off x="1139697" y="501269"/>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5" name="Textbox 115"/>
                        <wps:cNvSpPr txBox="1"/>
                        <wps:spPr>
                          <a:xfrm>
                            <a:off x="1890648" y="511048"/>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6" name="Textbox 116"/>
                        <wps:cNvSpPr txBox="1"/>
                        <wps:spPr>
                          <a:xfrm>
                            <a:off x="3392423" y="497077"/>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7" name="Textbox 117"/>
                        <wps:cNvSpPr txBox="1"/>
                        <wps:spPr>
                          <a:xfrm>
                            <a:off x="1164971" y="708025"/>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8" name="Textbox 118"/>
                        <wps:cNvSpPr txBox="1"/>
                        <wps:spPr>
                          <a:xfrm>
                            <a:off x="1890648" y="712597"/>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19" name="Textbox 119"/>
                        <wps:cNvSpPr txBox="1"/>
                        <wps:spPr>
                          <a:xfrm>
                            <a:off x="2641726" y="685419"/>
                            <a:ext cx="66675" cy="418465"/>
                          </a:xfrm>
                          <a:prstGeom prst="rect">
                            <a:avLst/>
                          </a:prstGeom>
                        </wps:spPr>
                        <wps:txbx>
                          <w:txbxContent>
                            <w:p>
                              <w:pPr>
                                <w:spacing w:line="164" w:lineRule="exact" w:before="0"/>
                                <w:ind w:left="0" w:right="0" w:firstLine="0"/>
                                <w:jc w:val="left"/>
                                <w:rPr>
                                  <w:rFonts w:ascii="Calibri"/>
                                  <w:sz w:val="16"/>
                                </w:rPr>
                              </w:pPr>
                              <w:r>
                                <w:rPr>
                                  <w:rFonts w:ascii="Calibri"/>
                                  <w:spacing w:val="-10"/>
                                  <w:sz w:val="16"/>
                                </w:rPr>
                                <w:t>b</w:t>
                              </w:r>
                            </w:p>
                            <w:p>
                              <w:pPr>
                                <w:spacing w:line="240" w:lineRule="auto" w:before="107"/>
                                <w:rPr>
                                  <w:rFonts w:ascii="Calibri"/>
                                  <w:sz w:val="16"/>
                                </w:rPr>
                              </w:pPr>
                            </w:p>
                            <w:p>
                              <w:pPr>
                                <w:spacing w:line="193"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20" name="Textbox 120"/>
                        <wps:cNvSpPr txBox="1"/>
                        <wps:spPr>
                          <a:xfrm>
                            <a:off x="1139697" y="1081658"/>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21" name="Textbox 121"/>
                        <wps:cNvSpPr txBox="1"/>
                        <wps:spPr>
                          <a:xfrm>
                            <a:off x="388620" y="1234313"/>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22" name="Textbox 122"/>
                        <wps:cNvSpPr txBox="1"/>
                        <wps:spPr>
                          <a:xfrm>
                            <a:off x="1139697" y="1300480"/>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23" name="Textbox 123"/>
                        <wps:cNvSpPr txBox="1"/>
                        <wps:spPr>
                          <a:xfrm>
                            <a:off x="3317747" y="1284350"/>
                            <a:ext cx="217804" cy="102235"/>
                          </a:xfrm>
                          <a:prstGeom prst="rect">
                            <a:avLst/>
                          </a:prstGeom>
                        </wps:spPr>
                        <wps:txbx>
                          <w:txbxContent>
                            <w:p>
                              <w:pPr>
                                <w:spacing w:line="161" w:lineRule="exact" w:before="0"/>
                                <w:ind w:left="0" w:right="0" w:firstLine="0"/>
                                <w:jc w:val="left"/>
                                <w:rPr>
                                  <w:rFonts w:ascii="Calibri"/>
                                  <w:sz w:val="16"/>
                                </w:rPr>
                              </w:pPr>
                              <w:r>
                                <w:rPr>
                                  <w:rFonts w:ascii="Calibri"/>
                                  <w:spacing w:val="-4"/>
                                  <w:sz w:val="16"/>
                                </w:rPr>
                                <w:t>b##*</w:t>
                              </w:r>
                            </w:p>
                          </w:txbxContent>
                        </wps:txbx>
                        <wps:bodyPr wrap="square" lIns="0" tIns="0" rIns="0" bIns="0" rtlCol="0">
                          <a:noAutofit/>
                        </wps:bodyPr>
                      </wps:wsp>
                      <wps:wsp>
                        <wps:cNvPr id="124" name="Textbox 124"/>
                        <wps:cNvSpPr txBox="1"/>
                        <wps:spPr>
                          <a:xfrm>
                            <a:off x="388620" y="1432178"/>
                            <a:ext cx="66675" cy="102235"/>
                          </a:xfrm>
                          <a:prstGeom prst="rect">
                            <a:avLst/>
                          </a:prstGeom>
                        </wps:spPr>
                        <wps:txbx>
                          <w:txbxContent>
                            <w:p>
                              <w:pPr>
                                <w:spacing w:line="161" w:lineRule="exact" w:before="0"/>
                                <w:ind w:left="0" w:right="0" w:firstLine="0"/>
                                <w:jc w:val="left"/>
                                <w:rPr>
                                  <w:rFonts w:ascii="Calibri"/>
                                  <w:sz w:val="16"/>
                                </w:rPr>
                              </w:pPr>
                              <w:r>
                                <w:rPr>
                                  <w:rFonts w:ascii="Calibri"/>
                                  <w:spacing w:val="-10"/>
                                  <w:sz w:val="16"/>
                                </w:rPr>
                                <w:t>b</w:t>
                              </w:r>
                            </w:p>
                          </w:txbxContent>
                        </wps:txbx>
                        <wps:bodyPr wrap="square" lIns="0" tIns="0" rIns="0" bIns="0" rtlCol="0">
                          <a:noAutofit/>
                        </wps:bodyPr>
                      </wps:wsp>
                      <wps:wsp>
                        <wps:cNvPr id="125" name="Textbox 125"/>
                        <wps:cNvSpPr txBox="1"/>
                        <wps:spPr>
                          <a:xfrm>
                            <a:off x="1890648" y="1308735"/>
                            <a:ext cx="66675" cy="204470"/>
                          </a:xfrm>
                          <a:prstGeom prst="rect">
                            <a:avLst/>
                          </a:prstGeom>
                        </wps:spPr>
                        <wps:txbx>
                          <w:txbxContent>
                            <w:p>
                              <w:pPr>
                                <w:spacing w:line="196" w:lineRule="auto" w:before="0"/>
                                <w:ind w:left="0" w:right="10" w:firstLine="0"/>
                                <w:jc w:val="left"/>
                                <w:rPr>
                                  <w:rFonts w:ascii="Calibri"/>
                                  <w:sz w:val="16"/>
                                </w:rPr>
                              </w:pPr>
                              <w:r>
                                <w:rPr>
                                  <w:rFonts w:ascii="Calibri"/>
                                  <w:spacing w:val="-10"/>
                                  <w:sz w:val="16"/>
                                </w:rPr>
                                <w:t>b</w:t>
                              </w:r>
                              <w:r>
                                <w:rPr>
                                  <w:rFonts w:ascii="Calibri"/>
                                  <w:spacing w:val="40"/>
                                  <w:sz w:val="16"/>
                                </w:rPr>
                                <w:t> </w:t>
                              </w:r>
                              <w:r>
                                <w:rPr>
                                  <w:rFonts w:ascii="Calibri"/>
                                  <w:spacing w:val="-10"/>
                                  <w:sz w:val="16"/>
                                </w:rPr>
                                <w:t>b</w:t>
                              </w:r>
                            </w:p>
                          </w:txbxContent>
                        </wps:txbx>
                        <wps:bodyPr wrap="square" lIns="0" tIns="0" rIns="0" bIns="0" rtlCol="0">
                          <a:noAutofit/>
                        </wps:bodyPr>
                      </wps:wsp>
                      <wps:wsp>
                        <wps:cNvPr id="126" name="Textbox 126"/>
                        <wps:cNvSpPr txBox="1"/>
                        <wps:spPr>
                          <a:xfrm>
                            <a:off x="2591054" y="1528444"/>
                            <a:ext cx="180340" cy="205740"/>
                          </a:xfrm>
                          <a:prstGeom prst="rect">
                            <a:avLst/>
                          </a:prstGeom>
                        </wps:spPr>
                        <wps:txbx>
                          <w:txbxContent>
                            <w:p>
                              <w:pPr>
                                <w:spacing w:line="199" w:lineRule="auto" w:before="0"/>
                                <w:ind w:left="0" w:right="18" w:firstLine="20"/>
                                <w:jc w:val="left"/>
                                <w:rPr>
                                  <w:rFonts w:ascii="Calibri"/>
                                  <w:sz w:val="16"/>
                                </w:rPr>
                              </w:pPr>
                              <w:r>
                                <w:rPr>
                                  <w:rFonts w:ascii="Calibri"/>
                                  <w:spacing w:val="-4"/>
                                  <w:sz w:val="16"/>
                                </w:rPr>
                                <w:t>b##</w:t>
                              </w:r>
                              <w:r>
                                <w:rPr>
                                  <w:rFonts w:ascii="Calibri"/>
                                  <w:spacing w:val="40"/>
                                  <w:sz w:val="16"/>
                                </w:rPr>
                                <w:t> </w:t>
                              </w:r>
                              <w:r>
                                <w:rPr>
                                  <w:rFonts w:ascii="Calibri"/>
                                  <w:spacing w:val="-5"/>
                                  <w:sz w:val="16"/>
                                </w:rPr>
                                <w:t>b##</w:t>
                              </w:r>
                            </w:p>
                          </w:txbxContent>
                        </wps:txbx>
                        <wps:bodyPr wrap="square" lIns="0" tIns="0" rIns="0" bIns="0" rtlCol="0">
                          <a:noAutofit/>
                        </wps:bodyPr>
                      </wps:wsp>
                      <wps:wsp>
                        <wps:cNvPr id="127" name="Textbox 127"/>
                        <wps:cNvSpPr txBox="1"/>
                        <wps:spPr>
                          <a:xfrm>
                            <a:off x="3317747" y="1628139"/>
                            <a:ext cx="217804" cy="285750"/>
                          </a:xfrm>
                          <a:prstGeom prst="rect">
                            <a:avLst/>
                          </a:prstGeom>
                        </wps:spPr>
                        <wps:txbx>
                          <w:txbxContent>
                            <w:p>
                              <w:pPr>
                                <w:spacing w:line="164" w:lineRule="exact" w:before="0"/>
                                <w:ind w:left="0" w:right="0" w:firstLine="0"/>
                                <w:jc w:val="left"/>
                                <w:rPr>
                                  <w:rFonts w:ascii="Calibri"/>
                                  <w:sz w:val="16"/>
                                </w:rPr>
                              </w:pPr>
                              <w:r>
                                <w:rPr>
                                  <w:rFonts w:ascii="Calibri"/>
                                  <w:spacing w:val="-4"/>
                                  <w:sz w:val="16"/>
                                </w:rPr>
                                <w:t>b##*</w:t>
                              </w:r>
                            </w:p>
                            <w:p>
                              <w:pPr>
                                <w:spacing w:line="193" w:lineRule="exact" w:before="93"/>
                                <w:ind w:left="0" w:right="0" w:firstLine="0"/>
                                <w:jc w:val="left"/>
                                <w:rPr>
                                  <w:rFonts w:ascii="Calibri"/>
                                  <w:sz w:val="16"/>
                                </w:rPr>
                              </w:pPr>
                              <w:r>
                                <w:rPr>
                                  <w:rFonts w:ascii="Calibri"/>
                                  <w:spacing w:val="-4"/>
                                  <w:sz w:val="16"/>
                                </w:rPr>
                                <w:t>b##*</w:t>
                              </w:r>
                            </w:p>
                          </w:txbxContent>
                        </wps:txbx>
                        <wps:bodyPr wrap="square" lIns="0" tIns="0" rIns="0" bIns="0" rtlCol="0">
                          <a:noAutofit/>
                        </wps:bodyPr>
                      </wps:wsp>
                    </wpg:wgp>
                  </a:graphicData>
                </a:graphic>
              </wp:anchor>
            </w:drawing>
          </mc:Choice>
          <mc:Fallback>
            <w:pict>
              <v:group style="position:absolute;margin-left:154.320007pt;margin-top:8.8pt;width:319.6pt;height:247pt;mso-position-horizontal-relative:page;mso-position-vertical-relative:paragraph;z-index:15739392" id="docshapegroup75" coordorigin="3086,176" coordsize="6392,4940">
                <v:shape style="position:absolute;left:3086;top:183;width:5976;height:4925" id="docshape76" coordorigin="3086,183" coordsize="5976,4925" path="m3149,5108l3149,183m3086,5108l3149,5108m3086,4405l3149,4405m3086,3702l3149,3702m3086,2998l3149,2998m3086,2293l3149,2293m3086,1590l3149,1590m3086,886l3149,886m3086,183l3149,183m3149,5108l9062,5108e" filled="false" stroked="true" strokeweight=".72pt" strokecolor="#858585">
                  <v:path arrowok="t"/>
                  <v:stroke dashstyle="solid"/>
                </v:shape>
                <v:shape style="position:absolute;left:3696;top:1082;width:4820;height:3356" id="docshape77" coordorigin="3696,1083" coordsize="4820,3356" path="m3741,4438l3741,4438,3741,4338m3696,4338l3786,4338m4923,4421l4923,4421,4923,4318m4878,4318l4968,4318m6106,4416l6106,4416,6106,4312m6061,4312l6151,4312m7288,4417l7288,4417,7288,4313m7243,4313l7333,4313m8471,4417l8471,4417,8471,4313m8426,4313l8516,4313m3741,1093l3741,1213m3696,1093l3786,1093m4923,1428l4923,1534m4878,1428l4968,1428m6106,1421l6106,1527m6061,1421l6151,1421m7288,1415l7288,1520m7243,1415l7333,1415m8471,1083l8471,1203m8426,1083l8516,1083m3741,2437l3741,2437,3741,2303m3696,2303l3786,2303m4923,2176l4923,2176,4923,2030m4878,2030l4968,2030m6106,2509l6106,2509,6106,2379m6061,2379l6151,2379m7288,2993l7288,2993,7288,2887m7243,2887l7333,2887m8471,3276l8471,3276,8471,3185m8426,3185l8516,3185m3741,1354l3741,1501m4923,1290l4923,1290,4923,1099m4878,1099l4968,1099m6106,1305l6106,1305,6106,1115m6061,1115l6151,1115m7288,2031l7288,2031,7288,1878m7243,1878l7333,1878m8471,2431l8471,2431,8471,2297m8426,2297l8516,2297m3741,2614l3741,2614,3741,2489m3696,2489l3786,2489m4923,2474l4923,2474,4923,2342m4878,2342l4968,2342m6106,2590l6106,2590,6106,2464m6061,2464l6151,2464m7288,2858l7288,2858,7288,2745m7243,2745l7333,2745m8471,2974l8471,2974,8471,2868m8426,2868l8516,2868e" filled="false" stroked="true" strokeweight="1pt" strokecolor="#000000">
                  <v:path arrowok="t"/>
                  <v:stroke dashstyle="solid"/>
                </v:shape>
                <v:shape style="position:absolute;left:3741;top:4416;width:4728;height:22" id="docshape78" coordorigin="3742,4417" coordsize="4728,22" path="m3742,4438l4925,4422,6106,4417,7289,4419,8470,4419e" filled="false" stroked="true" strokeweight="2.16pt" strokecolor="#497dba">
                  <v:path arrowok="t"/>
                  <v:stroke dashstyle="solid"/>
                </v:shape>
                <v:shape style="position:absolute;left:3664;top:4360;width:155;height:155" type="#_x0000_t75" id="docshape79" stroked="false">
                  <v:imagedata r:id="rId18" o:title=""/>
                </v:shape>
                <v:shape style="position:absolute;left:4847;top:4343;width:155;height:155" type="#_x0000_t75" id="docshape80" stroked="false">
                  <v:imagedata r:id="rId19" o:title=""/>
                </v:shape>
                <v:shape style="position:absolute;left:6029;top:4337;width:155;height:155" type="#_x0000_t75" id="docshape81" stroked="false">
                  <v:imagedata r:id="rId20" o:title=""/>
                </v:shape>
                <v:shape style="position:absolute;left:7212;top:4339;width:155;height:155" type="#_x0000_t75" id="docshape82" stroked="false">
                  <v:imagedata r:id="rId21" o:title=""/>
                </v:shape>
                <v:shape style="position:absolute;left:8394;top:4339;width:155;height:155" type="#_x0000_t75" id="docshape83" stroked="false">
                  <v:imagedata r:id="rId19" o:title=""/>
                </v:shape>
                <v:shape style="position:absolute;left:3741;top:1275;width:4728;height:329" id="docshape84" coordorigin="3742,1275" coordsize="4728,329" path="m3742,1285l4925,1604,6106,1597,7289,1592,8470,1275e" filled="false" stroked="true" strokeweight="2.16pt" strokecolor="#bd4a47">
                  <v:path arrowok="t"/>
                  <v:stroke dashstyle="solid"/>
                </v:shape>
                <v:rect style="position:absolute;left:3672;top:1212;width:140;height:142" id="docshape85" filled="true" fillcolor="#c0504d" stroked="false">
                  <v:fill type="solid"/>
                </v:rect>
                <v:rect style="position:absolute;left:3672;top:1212;width:140;height:142" id="docshape86" filled="false" stroked="true" strokeweight=".72pt" strokecolor="#bd4a47">
                  <v:stroke dashstyle="solid"/>
                </v:rect>
                <v:rect style="position:absolute;left:4855;top:1534;width:140;height:140" id="docshape87" filled="true" fillcolor="#c0504d" stroked="false">
                  <v:fill type="solid"/>
                </v:rect>
                <v:rect style="position:absolute;left:4855;top:1534;width:140;height:140" id="docshape88" filled="false" stroked="true" strokeweight=".72pt" strokecolor="#bd4a47">
                  <v:stroke dashstyle="solid"/>
                </v:rect>
                <v:rect style="position:absolute;left:6036;top:1527;width:142;height:140" id="docshape89" filled="true" fillcolor="#c0504d" stroked="false">
                  <v:fill type="solid"/>
                </v:rect>
                <v:rect style="position:absolute;left:6036;top:1527;width:142;height:140" id="docshape90" filled="false" stroked="true" strokeweight=".72pt" strokecolor="#bd4a47">
                  <v:stroke dashstyle="solid"/>
                </v:rect>
                <v:rect style="position:absolute;left:7219;top:1520;width:140;height:142" id="docshape91" filled="true" fillcolor="#c0504d" stroked="false">
                  <v:fill type="solid"/>
                </v:rect>
                <v:rect style="position:absolute;left:7219;top:1520;width:140;height:142" id="docshape92" filled="false" stroked="true" strokeweight=".72pt" strokecolor="#bd4a47">
                  <v:stroke dashstyle="solid"/>
                </v:rect>
                <v:rect style="position:absolute;left:8402;top:1203;width:140;height:140" id="docshape93" filled="true" fillcolor="#c0504d" stroked="false">
                  <v:fill type="solid"/>
                </v:rect>
                <v:rect style="position:absolute;left:8402;top:1203;width:140;height:140" id="docshape94" filled="false" stroked="true" strokeweight=".72pt" strokecolor="#bd4a47">
                  <v:stroke dashstyle="solid"/>
                </v:rect>
                <v:shape style="position:absolute;left:3741;top:2177;width:4728;height:1100" id="docshape95" coordorigin="3742,2178" coordsize="4728,1100" path="m3742,2437l4925,2178,6106,2511,7289,2994,8470,3277e" filled="false" stroked="true" strokeweight="2.16pt" strokecolor="#97b853">
                  <v:path arrowok="t"/>
                  <v:stroke dashstyle="solid"/>
                </v:shape>
                <v:shape style="position:absolute;left:3664;top:2359;width:155;height:155" type="#_x0000_t75" id="docshape96" stroked="false">
                  <v:imagedata r:id="rId13" o:title=""/>
                </v:shape>
                <v:shape style="position:absolute;left:4847;top:2098;width:155;height:155" type="#_x0000_t75" id="docshape97" stroked="false">
                  <v:imagedata r:id="rId22" o:title=""/>
                </v:shape>
                <v:shape style="position:absolute;left:6029;top:2431;width:155;height:155" type="#_x0000_t75" id="docshape98" stroked="false">
                  <v:imagedata r:id="rId23" o:title=""/>
                </v:shape>
                <v:shape style="position:absolute;left:7212;top:2915;width:155;height:155" type="#_x0000_t75" id="docshape99" stroked="false">
                  <v:imagedata r:id="rId12" o:title=""/>
                </v:shape>
                <v:shape style="position:absolute;left:8394;top:3199;width:155;height:155" type="#_x0000_t75" id="docshape100" stroked="false">
                  <v:imagedata r:id="rId11" o:title=""/>
                </v:shape>
                <v:shape style="position:absolute;left:3741;top:1289;width:4728;height:1143" id="docshape101" coordorigin="3742,1290" coordsize="4728,1143" path="m3742,1501l4925,1290,6106,1304,7289,2031,8470,2432e" filled="false" stroked="true" strokeweight="2.16pt" strokecolor="#7c5f9f">
                  <v:path arrowok="t"/>
                  <v:stroke dashstyle="solid"/>
                </v:shape>
                <v:shape style="position:absolute;left:3672;top:1220;width:4870;height:1282" id="docshape102" coordorigin="3672,1220" coordsize="4870,1282" path="m3742,1501l3672,1570,3811,1570,3742,1501xm3811,1431l3672,1431,3742,1501,3811,1431xm4925,1290l4855,1359,4994,1359,4925,1290xm4994,1220l4855,1220,4925,1290,4994,1220xm6107,1305l6036,1376,6178,1376,6107,1305xm6178,1234l6036,1234,6107,1305,6178,1234xm7289,2031l7219,2101,7358,2101,7289,2031xm7358,1962l7219,1962,7289,2031,7358,1962xm8472,2432l8402,2502,8542,2502,8472,2432xm8542,2362l8402,2362,8472,2432,8542,2362xe" filled="true" fillcolor="#8063a1" stroked="false">
                  <v:path arrowok="t"/>
                  <v:fill type="solid"/>
                </v:shape>
                <v:shape style="position:absolute;left:3672;top:1220;width:4870;height:1282" id="docshape103" coordorigin="3672,1220" coordsize="4870,1282" path="m3811,1570l3672,1431m3672,1570l3811,1431m4994,1359l4855,1220m4855,1359l4994,1220m6178,1376l6036,1234m6036,1376l6178,1234m7358,2101l7219,1962m7219,2101l7358,1962m8542,2502l8402,2362m8402,2502l8542,2362e" filled="false" stroked="true" strokeweight=".72pt" strokecolor="#7c5f9f">
                  <v:path arrowok="t"/>
                  <v:stroke dashstyle="solid"/>
                </v:shape>
                <v:shape style="position:absolute;left:3741;top:2475;width:4728;height:500" id="docshape104" coordorigin="3742,2475" coordsize="4728,500" path="m3742,2614l4925,2475,6106,2590,7289,2857,8470,2974e" filled="false" stroked="true" strokeweight="2.16pt" strokecolor="#46aac5">
                  <v:path arrowok="t"/>
                  <v:stroke dashstyle="solid"/>
                </v:shape>
                <v:shape style="position:absolute;left:3672;top:2403;width:4800;height:641" id="docshape105" coordorigin="3672,2403" coordsize="4800,641" path="m3742,2613l3672,2684,3742,2684,3742,2613xm3742,2542l3672,2542,3742,2613,3742,2542xm4925,2473l4855,2542,4925,2542,4925,2473xm4925,2403l4855,2403,4925,2473,4925,2403xm6107,2589l6036,2660,6108,2660,6108,2590,6107,2589xm6108,2518l6036,2518,6107,2589,6108,2588,6108,2518xm7289,2857l7219,2926,7289,2926,7289,2857xm7289,2787l7219,2787,7289,2857,7289,2787xm8472,2974l8402,3044,8472,3044,8472,2974xm8472,2905l8402,2905,8472,2974,8472,2905xe" filled="true" fillcolor="#4aacc5" stroked="false">
                  <v:path arrowok="t"/>
                  <v:fill type="solid"/>
                </v:shape>
                <v:shape style="position:absolute;left:3672;top:2403;width:4870;height:641" id="docshape106" coordorigin="3672,2403" coordsize="4870,641" path="m3811,2684l3672,2542m3742,2542l3742,2684m3672,2684l3811,2542m4994,2542l4855,2403m4925,2403l4925,2542m4855,2542l4994,2403m6178,2660l6036,2518m6108,2518l6108,2660m6036,2660l6178,2518m7358,2926l7219,2787m7289,2787l7289,2926m7219,2926l7358,2787m8542,3044l8402,2905m8472,2905l8472,3044m8402,3044l8542,2905e" filled="false" stroked="true" strokeweight=".72pt" strokecolor="#46aac5">
                  <v:path arrowok="t"/>
                  <v:stroke dashstyle="solid"/>
                </v:shape>
                <v:shape style="position:absolute;left:9093;top:2340;width:384;height:135" type="#_x0000_t75" id="docshape107" stroked="false">
                  <v:imagedata r:id="rId24" o:title=""/>
                </v:shape>
                <v:line style="position:absolute" from="9094,2770" to="9478,2770" stroked="true" strokeweight="1.92pt" strokecolor="#bd4a47">
                  <v:stroke dashstyle="solid"/>
                </v:line>
                <v:shape style="position:absolute;left:9093;top:3063;width:384;height:135" type="#_x0000_t75" id="docshape108" stroked="false">
                  <v:imagedata r:id="rId25" o:title=""/>
                </v:shape>
                <v:shape style="position:absolute;left:9093;top:3425;width:384;height:135" type="#_x0000_t75" id="docshape109" stroked="false">
                  <v:imagedata r:id="rId26" o:title=""/>
                </v:shape>
                <v:shape style="position:absolute;left:9093;top:3788;width:384;height:135" type="#_x0000_t75" id="docshape110" stroked="false">
                  <v:imagedata r:id="rId27" o:title=""/>
                </v:shape>
                <v:shape style="position:absolute;left:3698;top:951;width:125;height:426" type="#_x0000_t202" id="docshape111" filled="false" stroked="false">
                  <v:textbox inset="0,0,0,0">
                    <w:txbxContent>
                      <w:p>
                        <w:pPr>
                          <w:spacing w:line="164" w:lineRule="exact" w:before="0"/>
                          <w:ind w:left="20" w:right="0" w:firstLine="0"/>
                          <w:jc w:val="left"/>
                          <w:rPr>
                            <w:rFonts w:ascii="Calibri"/>
                            <w:sz w:val="16"/>
                          </w:rPr>
                        </w:pPr>
                        <w:r>
                          <w:rPr>
                            <w:rFonts w:ascii="Calibri"/>
                            <w:spacing w:val="-10"/>
                            <w:sz w:val="16"/>
                          </w:rPr>
                          <w:t>b</w:t>
                        </w:r>
                      </w:p>
                      <w:p>
                        <w:pPr>
                          <w:spacing w:line="193" w:lineRule="exact" w:before="69"/>
                          <w:ind w:left="0" w:right="0" w:firstLine="0"/>
                          <w:jc w:val="left"/>
                          <w:rPr>
                            <w:rFonts w:ascii="Calibri"/>
                            <w:sz w:val="16"/>
                          </w:rPr>
                        </w:pPr>
                        <w:r>
                          <w:rPr>
                            <w:rFonts w:ascii="Calibri"/>
                            <w:spacing w:val="-10"/>
                            <w:sz w:val="16"/>
                          </w:rPr>
                          <w:t>b</w:t>
                        </w:r>
                      </w:p>
                    </w:txbxContent>
                  </v:textbox>
                  <w10:wrap type="none"/>
                </v:shape>
                <v:shape style="position:absolute;left:4881;top:965;width:105;height:161" type="#_x0000_t202" id="docshape112"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6063;top:980;width:105;height:161" type="#_x0000_t202" id="docshape113"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8428;top:958;width:105;height:161" type="#_x0000_t202" id="docshape114"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4921;top:1291;width:105;height:161" type="#_x0000_t202" id="docshape115"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6063;top:1298;width:105;height:161" type="#_x0000_t202" id="docshape116"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7246;top:1255;width:105;height:659" type="#_x0000_t202" id="docshape117" filled="false" stroked="false">
                  <v:textbox inset="0,0,0,0">
                    <w:txbxContent>
                      <w:p>
                        <w:pPr>
                          <w:spacing w:line="164" w:lineRule="exact" w:before="0"/>
                          <w:ind w:left="0" w:right="0" w:firstLine="0"/>
                          <w:jc w:val="left"/>
                          <w:rPr>
                            <w:rFonts w:ascii="Calibri"/>
                            <w:sz w:val="16"/>
                          </w:rPr>
                        </w:pPr>
                        <w:r>
                          <w:rPr>
                            <w:rFonts w:ascii="Calibri"/>
                            <w:spacing w:val="-10"/>
                            <w:sz w:val="16"/>
                          </w:rPr>
                          <w:t>b</w:t>
                        </w:r>
                      </w:p>
                      <w:p>
                        <w:pPr>
                          <w:spacing w:line="240" w:lineRule="auto" w:before="107"/>
                          <w:rPr>
                            <w:rFonts w:ascii="Calibri"/>
                            <w:sz w:val="16"/>
                          </w:rPr>
                        </w:pPr>
                      </w:p>
                      <w:p>
                        <w:pPr>
                          <w:spacing w:line="193" w:lineRule="exact" w:before="0"/>
                          <w:ind w:left="0" w:right="0" w:firstLine="0"/>
                          <w:jc w:val="left"/>
                          <w:rPr>
                            <w:rFonts w:ascii="Calibri"/>
                            <w:sz w:val="16"/>
                          </w:rPr>
                        </w:pPr>
                        <w:r>
                          <w:rPr>
                            <w:rFonts w:ascii="Calibri"/>
                            <w:spacing w:val="-10"/>
                            <w:sz w:val="16"/>
                          </w:rPr>
                          <w:t>b</w:t>
                        </w:r>
                      </w:p>
                    </w:txbxContent>
                  </v:textbox>
                  <w10:wrap type="none"/>
                </v:shape>
                <v:shape style="position:absolute;left:4881;top:1879;width:105;height:161" type="#_x0000_t202" id="docshape118"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3698;top:2119;width:105;height:161" type="#_x0000_t202" id="docshape119"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4881;top:2224;width:105;height:161" type="#_x0000_t202" id="docshape120"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8311;top:2198;width:343;height:161" type="#_x0000_t202" id="docshape121" filled="false" stroked="false">
                  <v:textbox inset="0,0,0,0">
                    <w:txbxContent>
                      <w:p>
                        <w:pPr>
                          <w:spacing w:line="161" w:lineRule="exact" w:before="0"/>
                          <w:ind w:left="0" w:right="0" w:firstLine="0"/>
                          <w:jc w:val="left"/>
                          <w:rPr>
                            <w:rFonts w:ascii="Calibri"/>
                            <w:sz w:val="16"/>
                          </w:rPr>
                        </w:pPr>
                        <w:r>
                          <w:rPr>
                            <w:rFonts w:ascii="Calibri"/>
                            <w:spacing w:val="-4"/>
                            <w:sz w:val="16"/>
                          </w:rPr>
                          <w:t>b##*</w:t>
                        </w:r>
                      </w:p>
                    </w:txbxContent>
                  </v:textbox>
                  <w10:wrap type="none"/>
                </v:shape>
                <v:shape style="position:absolute;left:3698;top:2431;width:105;height:161" type="#_x0000_t202" id="docshape122" filled="false" stroked="false">
                  <v:textbox inset="0,0,0,0">
                    <w:txbxContent>
                      <w:p>
                        <w:pPr>
                          <w:spacing w:line="161" w:lineRule="exact" w:before="0"/>
                          <w:ind w:left="0" w:right="0" w:firstLine="0"/>
                          <w:jc w:val="left"/>
                          <w:rPr>
                            <w:rFonts w:ascii="Calibri"/>
                            <w:sz w:val="16"/>
                          </w:rPr>
                        </w:pPr>
                        <w:r>
                          <w:rPr>
                            <w:rFonts w:ascii="Calibri"/>
                            <w:spacing w:val="-10"/>
                            <w:sz w:val="16"/>
                          </w:rPr>
                          <w:t>b</w:t>
                        </w:r>
                      </w:p>
                    </w:txbxContent>
                  </v:textbox>
                  <w10:wrap type="none"/>
                </v:shape>
                <v:shape style="position:absolute;left:6063;top:2237;width:105;height:322" type="#_x0000_t202" id="docshape123" filled="false" stroked="false">
                  <v:textbox inset="0,0,0,0">
                    <w:txbxContent>
                      <w:p>
                        <w:pPr>
                          <w:spacing w:line="196" w:lineRule="auto" w:before="0"/>
                          <w:ind w:left="0" w:right="10" w:firstLine="0"/>
                          <w:jc w:val="left"/>
                          <w:rPr>
                            <w:rFonts w:ascii="Calibri"/>
                            <w:sz w:val="16"/>
                          </w:rPr>
                        </w:pPr>
                        <w:r>
                          <w:rPr>
                            <w:rFonts w:ascii="Calibri"/>
                            <w:spacing w:val="-10"/>
                            <w:sz w:val="16"/>
                          </w:rPr>
                          <w:t>b</w:t>
                        </w:r>
                        <w:r>
                          <w:rPr>
                            <w:rFonts w:ascii="Calibri"/>
                            <w:spacing w:val="40"/>
                            <w:sz w:val="16"/>
                          </w:rPr>
                          <w:t> </w:t>
                        </w:r>
                        <w:r>
                          <w:rPr>
                            <w:rFonts w:ascii="Calibri"/>
                            <w:spacing w:val="-10"/>
                            <w:sz w:val="16"/>
                          </w:rPr>
                          <w:t>b</w:t>
                        </w:r>
                      </w:p>
                    </w:txbxContent>
                  </v:textbox>
                  <w10:wrap type="none"/>
                </v:shape>
                <v:shape style="position:absolute;left:7166;top:2583;width:284;height:324" type="#_x0000_t202" id="docshape124" filled="false" stroked="false">
                  <v:textbox inset="0,0,0,0">
                    <w:txbxContent>
                      <w:p>
                        <w:pPr>
                          <w:spacing w:line="199" w:lineRule="auto" w:before="0"/>
                          <w:ind w:left="0" w:right="18" w:firstLine="20"/>
                          <w:jc w:val="left"/>
                          <w:rPr>
                            <w:rFonts w:ascii="Calibri"/>
                            <w:sz w:val="16"/>
                          </w:rPr>
                        </w:pPr>
                        <w:r>
                          <w:rPr>
                            <w:rFonts w:ascii="Calibri"/>
                            <w:spacing w:val="-4"/>
                            <w:sz w:val="16"/>
                          </w:rPr>
                          <w:t>b##</w:t>
                        </w:r>
                        <w:r>
                          <w:rPr>
                            <w:rFonts w:ascii="Calibri"/>
                            <w:spacing w:val="40"/>
                            <w:sz w:val="16"/>
                          </w:rPr>
                          <w:t> </w:t>
                        </w:r>
                        <w:r>
                          <w:rPr>
                            <w:rFonts w:ascii="Calibri"/>
                            <w:spacing w:val="-5"/>
                            <w:sz w:val="16"/>
                          </w:rPr>
                          <w:t>b##</w:t>
                        </w:r>
                      </w:p>
                    </w:txbxContent>
                  </v:textbox>
                  <w10:wrap type="none"/>
                </v:shape>
                <v:shape style="position:absolute;left:8311;top:2740;width:343;height:450" type="#_x0000_t202" id="docshape125" filled="false" stroked="false">
                  <v:textbox inset="0,0,0,0">
                    <w:txbxContent>
                      <w:p>
                        <w:pPr>
                          <w:spacing w:line="164" w:lineRule="exact" w:before="0"/>
                          <w:ind w:left="0" w:right="0" w:firstLine="0"/>
                          <w:jc w:val="left"/>
                          <w:rPr>
                            <w:rFonts w:ascii="Calibri"/>
                            <w:sz w:val="16"/>
                          </w:rPr>
                        </w:pPr>
                        <w:r>
                          <w:rPr>
                            <w:rFonts w:ascii="Calibri"/>
                            <w:spacing w:val="-4"/>
                            <w:sz w:val="16"/>
                          </w:rPr>
                          <w:t>b##*</w:t>
                        </w:r>
                      </w:p>
                      <w:p>
                        <w:pPr>
                          <w:spacing w:line="193" w:lineRule="exact" w:before="93"/>
                          <w:ind w:left="0" w:right="0" w:firstLine="0"/>
                          <w:jc w:val="left"/>
                          <w:rPr>
                            <w:rFonts w:ascii="Calibri"/>
                            <w:sz w:val="16"/>
                          </w:rPr>
                        </w:pPr>
                        <w:r>
                          <w:rPr>
                            <w:rFonts w:ascii="Calibri"/>
                            <w:spacing w:val="-4"/>
                            <w:sz w:val="16"/>
                          </w:rPr>
                          <w:t>b##*</w:t>
                        </w:r>
                      </w:p>
                    </w:txbxContent>
                  </v:textbox>
                  <w10:wrap type="none"/>
                </v:shape>
                <w10:wrap type="none"/>
              </v:group>
            </w:pict>
          </mc:Fallback>
        </mc:AlternateContent>
      </w:r>
      <w:r>
        <w:rPr>
          <w:rFonts w:ascii="Calibri"/>
          <w:spacing w:val="-5"/>
          <w:sz w:val="20"/>
        </w:rPr>
        <w:t>700</w:t>
      </w:r>
    </w:p>
    <w:p>
      <w:pPr>
        <w:pStyle w:val="BodyText"/>
        <w:spacing w:before="215"/>
        <w:rPr>
          <w:rFonts w:ascii="Calibri"/>
          <w:sz w:val="20"/>
        </w:rPr>
      </w:pPr>
    </w:p>
    <w:p>
      <w:pPr>
        <w:spacing w:before="1"/>
        <w:ind w:left="941" w:right="0" w:firstLine="0"/>
        <w:jc w:val="left"/>
        <w:rPr>
          <w:rFonts w:ascii="Calibri"/>
          <w:sz w:val="20"/>
        </w:rPr>
      </w:pPr>
      <w:r>
        <w:rPr>
          <w:rFonts w:ascii="Calibri"/>
          <w:spacing w:val="-5"/>
          <w:sz w:val="20"/>
        </w:rPr>
        <w:t>600</w:t>
      </w:r>
    </w:p>
    <w:p>
      <w:pPr>
        <w:pStyle w:val="BodyText"/>
        <w:spacing w:before="215"/>
        <w:rPr>
          <w:rFonts w:ascii="Calibri"/>
          <w:sz w:val="20"/>
        </w:rPr>
      </w:pPr>
    </w:p>
    <w:p>
      <w:pPr>
        <w:spacing w:before="0"/>
        <w:ind w:left="941" w:right="0" w:firstLine="0"/>
        <w:jc w:val="left"/>
        <w:rPr>
          <w:rFonts w:ascii="Calibri"/>
          <w:sz w:val="20"/>
        </w:rPr>
      </w:pPr>
      <w:r>
        <w:rPr/>
        <mc:AlternateContent>
          <mc:Choice Requires="wps">
            <w:drawing>
              <wp:anchor distT="0" distB="0" distL="0" distR="0" allowOverlap="1" layoutInCell="1" locked="0" behindDoc="0" simplePos="0" relativeHeight="15739904">
                <wp:simplePos x="0" y="0"/>
                <wp:positionH relativeFrom="page">
                  <wp:posOffset>5853684</wp:posOffset>
                </wp:positionH>
                <wp:positionV relativeFrom="paragraph">
                  <wp:posOffset>792249</wp:posOffset>
                </wp:positionV>
                <wp:extent cx="85725" cy="8572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85725" cy="85725"/>
                          <a:chExt cx="85725" cy="85725"/>
                        </a:xfrm>
                      </wpg:grpSpPr>
                      <wps:wsp>
                        <wps:cNvPr id="129" name="Graphic 129"/>
                        <wps:cNvSpPr/>
                        <wps:spPr>
                          <a:xfrm>
                            <a:off x="4572" y="457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30" name="Graphic 130"/>
                        <wps:cNvSpPr/>
                        <wps:spPr>
                          <a:xfrm>
                            <a:off x="4572" y="457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0.920013pt;margin-top:62.381874pt;width:6.75pt;height:6.75pt;mso-position-horizontal-relative:page;mso-position-vertical-relative:paragraph;z-index:15739904" id="docshapegroup126" coordorigin="9218,1248" coordsize="135,135">
                <v:rect style="position:absolute;left:9225;top:1254;width:120;height:120" id="docshape127" filled="true" fillcolor="#c0504d" stroked="false">
                  <v:fill type="solid"/>
                </v:rect>
                <v:rect style="position:absolute;left:9225;top:1254;width:120;height:120" id="docshape128" filled="false" stroked="true" strokeweight=".72pt" strokecolor="#bd4a47">
                  <v:stroke dashstyle="solid"/>
                </v:rect>
                <w10:wrap type="none"/>
              </v:group>
            </w:pict>
          </mc:Fallback>
        </mc:AlternateContent>
      </w:r>
      <w:r>
        <w:rPr>
          <w:rFonts w:ascii="Calibri"/>
          <w:spacing w:val="-5"/>
          <w:sz w:val="20"/>
        </w:rPr>
        <w:t>500</w:t>
      </w:r>
    </w:p>
    <w:p>
      <w:pPr>
        <w:pStyle w:val="BodyText"/>
        <w:spacing w:before="157"/>
        <w:rPr>
          <w:rFonts w:ascii="Calibri"/>
          <w:sz w:val="20"/>
        </w:rPr>
      </w:pPr>
    </w:p>
    <w:p>
      <w:pPr>
        <w:spacing w:after="0"/>
        <w:rPr>
          <w:rFonts w:ascii="Calibri"/>
          <w:sz w:val="20"/>
        </w:rPr>
        <w:sectPr>
          <w:pgSz w:w="12240" w:h="15840"/>
          <w:pgMar w:header="0" w:footer="1015" w:top="1420" w:bottom="1200" w:left="1720" w:right="300"/>
        </w:sectPr>
      </w:pPr>
    </w:p>
    <w:p>
      <w:pPr>
        <w:spacing w:before="59"/>
        <w:ind w:left="0" w:right="38" w:firstLine="0"/>
        <w:jc w:val="right"/>
        <w:rPr>
          <w:rFonts w:ascii="Calibri"/>
          <w:sz w:val="20"/>
        </w:rPr>
      </w:pPr>
      <w:r>
        <w:rPr/>
        <mc:AlternateContent>
          <mc:Choice Requires="wps">
            <w:drawing>
              <wp:anchor distT="0" distB="0" distL="0" distR="0" allowOverlap="1" layoutInCell="1" locked="0" behindDoc="0" simplePos="0" relativeHeight="15740416">
                <wp:simplePos x="0" y="0"/>
                <wp:positionH relativeFrom="page">
                  <wp:posOffset>1452117</wp:posOffset>
                </wp:positionH>
                <wp:positionV relativeFrom="paragraph">
                  <wp:posOffset>11132</wp:posOffset>
                </wp:positionV>
                <wp:extent cx="152400" cy="67246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52400" cy="672465"/>
                        </a:xfrm>
                        <a:prstGeom prst="rect">
                          <a:avLst/>
                        </a:prstGeom>
                      </wps:spPr>
                      <wps:txbx>
                        <w:txbxContent>
                          <w:p>
                            <w:pPr>
                              <w:spacing w:line="223" w:lineRule="exact" w:before="0"/>
                              <w:ind w:left="20" w:right="0" w:firstLine="0"/>
                              <w:jc w:val="left"/>
                              <w:rPr>
                                <w:rFonts w:ascii="Calibri"/>
                                <w:b/>
                                <w:sz w:val="20"/>
                              </w:rPr>
                            </w:pPr>
                            <w:r>
                              <w:rPr>
                                <w:rFonts w:ascii="Calibri"/>
                                <w:b/>
                                <w:sz w:val="20"/>
                              </w:rPr>
                              <w:t>RBG</w:t>
                            </w:r>
                            <w:r>
                              <w:rPr>
                                <w:rFonts w:ascii="Calibri"/>
                                <w:b/>
                                <w:spacing w:val="-6"/>
                                <w:sz w:val="20"/>
                              </w:rPr>
                              <w:t> </w:t>
                            </w:r>
                            <w:r>
                              <w:rPr>
                                <w:rFonts w:ascii="Calibri"/>
                                <w:b/>
                                <w:spacing w:val="-2"/>
                                <w:sz w:val="20"/>
                              </w:rPr>
                              <w:t>(mg/dl)</w:t>
                            </w:r>
                          </w:p>
                        </w:txbxContent>
                      </wps:txbx>
                      <wps:bodyPr wrap="square" lIns="0" tIns="0" rIns="0" bIns="0" rtlCol="0" vert="vert270">
                        <a:noAutofit/>
                      </wps:bodyPr>
                    </wps:wsp>
                  </a:graphicData>
                </a:graphic>
              </wp:anchor>
            </w:drawing>
          </mc:Choice>
          <mc:Fallback>
            <w:pict>
              <v:shape style="position:absolute;margin-left:114.339996pt;margin-top:.87661pt;width:12pt;height:52.95pt;mso-position-horizontal-relative:page;mso-position-vertical-relative:paragraph;z-index:15740416" type="#_x0000_t202" id="docshape129"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RBG</w:t>
                      </w:r>
                      <w:r>
                        <w:rPr>
                          <w:rFonts w:ascii="Calibri"/>
                          <w:b/>
                          <w:spacing w:val="-6"/>
                          <w:sz w:val="20"/>
                        </w:rPr>
                        <w:t> </w:t>
                      </w:r>
                      <w:r>
                        <w:rPr>
                          <w:rFonts w:ascii="Calibri"/>
                          <w:b/>
                          <w:spacing w:val="-2"/>
                          <w:sz w:val="20"/>
                        </w:rPr>
                        <w:t>(mg/dl)</w:t>
                      </w:r>
                    </w:p>
                  </w:txbxContent>
                </v:textbox>
                <w10:wrap type="none"/>
              </v:shape>
            </w:pict>
          </mc:Fallback>
        </mc:AlternateContent>
      </w:r>
      <w:r>
        <w:rPr>
          <w:rFonts w:ascii="Calibri"/>
          <w:spacing w:val="-5"/>
          <w:sz w:val="20"/>
        </w:rPr>
        <w:t>400</w:t>
      </w:r>
    </w:p>
    <w:p>
      <w:pPr>
        <w:pStyle w:val="BodyText"/>
        <w:spacing w:before="215"/>
        <w:rPr>
          <w:rFonts w:ascii="Calibri"/>
          <w:sz w:val="20"/>
        </w:rPr>
      </w:pPr>
    </w:p>
    <w:p>
      <w:pPr>
        <w:spacing w:before="0"/>
        <w:ind w:left="0" w:right="38" w:firstLine="0"/>
        <w:jc w:val="right"/>
        <w:rPr>
          <w:rFonts w:ascii="Calibri"/>
          <w:sz w:val="20"/>
        </w:rPr>
      </w:pPr>
      <w:r>
        <w:rPr>
          <w:rFonts w:ascii="Calibri"/>
          <w:spacing w:val="-5"/>
          <w:sz w:val="20"/>
        </w:rPr>
        <w:t>300</w:t>
      </w:r>
    </w:p>
    <w:p>
      <w:pPr>
        <w:pStyle w:val="BodyText"/>
        <w:spacing w:before="215"/>
        <w:rPr>
          <w:rFonts w:ascii="Calibri"/>
          <w:sz w:val="20"/>
        </w:rPr>
      </w:pPr>
    </w:p>
    <w:p>
      <w:pPr>
        <w:spacing w:before="1"/>
        <w:ind w:left="0" w:right="38" w:firstLine="0"/>
        <w:jc w:val="right"/>
        <w:rPr>
          <w:rFonts w:ascii="Calibri"/>
          <w:sz w:val="20"/>
        </w:rPr>
      </w:pPr>
      <w:r>
        <w:rPr>
          <w:rFonts w:ascii="Calibri"/>
          <w:spacing w:val="-5"/>
          <w:sz w:val="20"/>
        </w:rPr>
        <w:t>200</w:t>
      </w:r>
    </w:p>
    <w:p>
      <w:pPr>
        <w:spacing w:line="355" w:lineRule="auto" w:before="173"/>
        <w:ind w:left="941" w:right="767" w:firstLine="0"/>
        <w:jc w:val="left"/>
        <w:rPr>
          <w:rFonts w:ascii="Calibri"/>
          <w:sz w:val="20"/>
        </w:rPr>
      </w:pPr>
      <w:r>
        <w:rPr/>
        <w:br w:type="column"/>
      </w:r>
      <w:r>
        <w:rPr>
          <w:rFonts w:ascii="Calibri"/>
          <w:spacing w:val="-2"/>
          <w:sz w:val="20"/>
        </w:rPr>
        <w:t>non-diabetic</w:t>
      </w:r>
      <w:r>
        <w:rPr>
          <w:rFonts w:ascii="Calibri"/>
          <w:spacing w:val="-5"/>
          <w:sz w:val="20"/>
        </w:rPr>
        <w:t> </w:t>
      </w:r>
      <w:r>
        <w:rPr>
          <w:rFonts w:ascii="Calibri"/>
          <w:spacing w:val="-2"/>
          <w:sz w:val="20"/>
        </w:rPr>
        <w:t>control </w:t>
      </w:r>
      <w:r>
        <w:rPr>
          <w:rFonts w:ascii="Calibri"/>
          <w:sz w:val="20"/>
        </w:rPr>
        <w:t>diabetic control </w:t>
      </w:r>
      <w:r>
        <w:rPr>
          <w:rFonts w:ascii="Calibri"/>
          <w:spacing w:val="-2"/>
          <w:sz w:val="20"/>
        </w:rPr>
        <w:t>Glim8pm+Nife8am Glim8pm+Nife8pm </w:t>
      </w:r>
      <w:r>
        <w:rPr>
          <w:rFonts w:ascii="Calibri"/>
          <w:sz w:val="20"/>
        </w:rPr>
        <w:t>Glimepiride 8pm</w:t>
      </w:r>
    </w:p>
    <w:p>
      <w:pPr>
        <w:spacing w:after="0" w:line="355" w:lineRule="auto"/>
        <w:jc w:val="left"/>
        <w:rPr>
          <w:rFonts w:ascii="Calibri"/>
          <w:sz w:val="20"/>
        </w:rPr>
        <w:sectPr>
          <w:type w:val="continuous"/>
          <w:pgSz w:w="12240" w:h="15840"/>
          <w:pgMar w:header="0" w:footer="1015" w:top="1360" w:bottom="1200" w:left="1720" w:right="300"/>
          <w:cols w:num="2" w:equalWidth="0">
            <w:col w:w="1285" w:space="5575"/>
            <w:col w:w="3360"/>
          </w:cols>
        </w:sectPr>
      </w:pPr>
    </w:p>
    <w:p>
      <w:pPr>
        <w:spacing w:before="191"/>
        <w:ind w:left="941" w:right="0" w:firstLine="0"/>
        <w:jc w:val="left"/>
        <w:rPr>
          <w:rFonts w:ascii="Calibri"/>
          <w:sz w:val="20"/>
        </w:rPr>
      </w:pPr>
      <w:r>
        <w:rPr>
          <w:rFonts w:ascii="Calibri"/>
          <w:spacing w:val="-5"/>
          <w:sz w:val="20"/>
        </w:rPr>
        <w:t>100</w:t>
      </w:r>
    </w:p>
    <w:p>
      <w:pPr>
        <w:pStyle w:val="BodyText"/>
        <w:spacing w:before="215"/>
        <w:rPr>
          <w:rFonts w:ascii="Calibri"/>
          <w:sz w:val="20"/>
        </w:rPr>
      </w:pPr>
    </w:p>
    <w:p>
      <w:pPr>
        <w:spacing w:before="0"/>
        <w:ind w:left="1143" w:right="0" w:firstLine="0"/>
        <w:jc w:val="left"/>
        <w:rPr>
          <w:rFonts w:ascii="Calibri"/>
          <w:sz w:val="20"/>
        </w:rPr>
      </w:pPr>
      <w:r>
        <w:rPr>
          <w:rFonts w:ascii="Calibri"/>
          <w:spacing w:val="-10"/>
          <w:sz w:val="20"/>
        </w:rPr>
        <w:t>0</w:t>
      </w:r>
    </w:p>
    <w:p>
      <w:pPr>
        <w:tabs>
          <w:tab w:pos="1182" w:val="left" w:leader="none"/>
          <w:tab w:pos="2314" w:val="left" w:leader="none"/>
          <w:tab w:pos="3497" w:val="left" w:leader="none"/>
          <w:tab w:pos="4679" w:val="left" w:leader="none"/>
        </w:tabs>
        <w:spacing w:before="75"/>
        <w:ind w:left="0" w:right="1392" w:firstLine="0"/>
        <w:jc w:val="center"/>
        <w:rPr>
          <w:rFonts w:ascii="Calibri"/>
          <w:sz w:val="20"/>
        </w:rPr>
      </w:pPr>
      <w:r>
        <w:rPr>
          <w:rFonts w:ascii="Calibri"/>
          <w:sz w:val="20"/>
        </w:rPr>
        <w:t>day</w:t>
      </w:r>
      <w:r>
        <w:rPr>
          <w:rFonts w:ascii="Calibri"/>
          <w:spacing w:val="-6"/>
          <w:sz w:val="20"/>
        </w:rPr>
        <w:t> </w:t>
      </w:r>
      <w:r>
        <w:rPr>
          <w:rFonts w:ascii="Calibri"/>
          <w:spacing w:val="-10"/>
          <w:sz w:val="20"/>
        </w:rPr>
        <w:t>0</w:t>
      </w:r>
      <w:r>
        <w:rPr>
          <w:rFonts w:ascii="Calibri"/>
          <w:sz w:val="20"/>
        </w:rPr>
        <w:tab/>
        <w:t>day</w:t>
      </w:r>
      <w:r>
        <w:rPr>
          <w:rFonts w:ascii="Calibri"/>
          <w:spacing w:val="-6"/>
          <w:sz w:val="20"/>
        </w:rPr>
        <w:t> </w:t>
      </w:r>
      <w:r>
        <w:rPr>
          <w:rFonts w:ascii="Calibri"/>
          <w:spacing w:val="-10"/>
          <w:sz w:val="20"/>
        </w:rPr>
        <w:t>6</w:t>
      </w:r>
      <w:r>
        <w:rPr>
          <w:rFonts w:ascii="Calibri"/>
          <w:sz w:val="20"/>
        </w:rPr>
        <w:tab/>
        <w:t>day</w:t>
      </w:r>
      <w:r>
        <w:rPr>
          <w:rFonts w:ascii="Calibri"/>
          <w:spacing w:val="-6"/>
          <w:sz w:val="20"/>
        </w:rPr>
        <w:t> </w:t>
      </w:r>
      <w:r>
        <w:rPr>
          <w:rFonts w:ascii="Calibri"/>
          <w:spacing w:val="-5"/>
          <w:sz w:val="20"/>
        </w:rPr>
        <w:t>10</w:t>
      </w:r>
      <w:r>
        <w:rPr>
          <w:rFonts w:ascii="Calibri"/>
          <w:sz w:val="20"/>
        </w:rPr>
        <w:tab/>
        <w:t>day</w:t>
      </w:r>
      <w:r>
        <w:rPr>
          <w:rFonts w:ascii="Calibri"/>
          <w:spacing w:val="-6"/>
          <w:sz w:val="20"/>
        </w:rPr>
        <w:t> </w:t>
      </w:r>
      <w:r>
        <w:rPr>
          <w:rFonts w:ascii="Calibri"/>
          <w:spacing w:val="-5"/>
          <w:sz w:val="20"/>
        </w:rPr>
        <w:t>13</w:t>
      </w:r>
      <w:r>
        <w:rPr>
          <w:rFonts w:ascii="Calibri"/>
          <w:sz w:val="20"/>
        </w:rPr>
        <w:tab/>
        <w:t>day</w:t>
      </w:r>
      <w:r>
        <w:rPr>
          <w:rFonts w:ascii="Calibri"/>
          <w:spacing w:val="-6"/>
          <w:sz w:val="20"/>
        </w:rPr>
        <w:t> </w:t>
      </w:r>
      <w:r>
        <w:rPr>
          <w:rFonts w:ascii="Calibri"/>
          <w:spacing w:val="-5"/>
          <w:sz w:val="20"/>
        </w:rPr>
        <w:t>20</w:t>
      </w:r>
    </w:p>
    <w:p>
      <w:pPr>
        <w:spacing w:before="150"/>
        <w:ind w:left="0" w:right="1447" w:firstLine="0"/>
        <w:jc w:val="center"/>
        <w:rPr>
          <w:rFonts w:ascii="Calibri"/>
          <w:b/>
          <w:sz w:val="20"/>
        </w:rPr>
      </w:pPr>
      <w:r>
        <w:rPr>
          <w:rFonts w:ascii="Calibri"/>
          <w:b/>
          <w:spacing w:val="-4"/>
          <w:sz w:val="20"/>
        </w:rPr>
        <w:t>Time</w:t>
      </w:r>
    </w:p>
    <w:p>
      <w:pPr>
        <w:pStyle w:val="BodyText"/>
        <w:spacing w:before="13"/>
        <w:rPr>
          <w:rFonts w:ascii="Calibri"/>
          <w:b/>
        </w:rPr>
      </w:pPr>
    </w:p>
    <w:p>
      <w:pPr>
        <w:spacing w:line="480" w:lineRule="auto" w:before="0"/>
        <w:ind w:left="296" w:right="1138" w:firstLine="60"/>
        <w:jc w:val="both"/>
        <w:rPr>
          <w:b/>
          <w:sz w:val="24"/>
        </w:rPr>
      </w:pPr>
      <w:r>
        <w:rPr>
          <w:b/>
          <w:sz w:val="24"/>
        </w:rPr>
        <w:t>Figure 4.2 Effect of 21-day chronomodulated nifedipine administration on RBG in glimepiride-treated hyperglycaemic rats</w:t>
      </w:r>
    </w:p>
    <w:p>
      <w:pPr>
        <w:pStyle w:val="BodyText"/>
        <w:spacing w:line="360" w:lineRule="auto"/>
        <w:ind w:left="296" w:right="1135"/>
        <w:jc w:val="both"/>
      </w:pPr>
      <w:r>
        <w:rPr/>
        <w:t>Data</w:t>
      </w:r>
      <w:r>
        <w:rPr>
          <w:spacing w:val="-1"/>
        </w:rPr>
        <w:t> </w:t>
      </w:r>
      <w:r>
        <w:rPr/>
        <w:t>are</w:t>
      </w:r>
      <w:r>
        <w:rPr>
          <w:spacing w:val="-1"/>
        </w:rPr>
        <w:t> </w:t>
      </w:r>
      <w:r>
        <w:rPr/>
        <w:t>mean ± SEM, </w:t>
      </w:r>
      <w:r>
        <w:rPr>
          <w:sz w:val="16"/>
        </w:rPr>
        <w:t>b</w:t>
      </w:r>
      <w:r>
        <w:rPr/>
        <w:t>=</w:t>
      </w:r>
      <w:r>
        <w:rPr>
          <w:spacing w:val="-1"/>
        </w:rPr>
        <w:t> </w:t>
      </w:r>
      <w:r>
        <w:rPr>
          <w:i/>
        </w:rPr>
        <w:t>p </w:t>
      </w:r>
      <w:r>
        <w:rPr/>
        <w:t>≤ 0.01 compared to non-diabetic</w:t>
      </w:r>
      <w:r>
        <w:rPr>
          <w:spacing w:val="-1"/>
        </w:rPr>
        <w:t> </w:t>
      </w:r>
      <w:r>
        <w:rPr/>
        <w:t>control *= </w:t>
      </w:r>
      <w:r>
        <w:rPr>
          <w:i/>
        </w:rPr>
        <w:t>p </w:t>
      </w:r>
      <w:r>
        <w:rPr/>
        <w:t>≤ 0.05 compared to day</w:t>
      </w:r>
      <w:r>
        <w:rPr>
          <w:spacing w:val="-4"/>
        </w:rPr>
        <w:t> </w:t>
      </w:r>
      <w:r>
        <w:rPr/>
        <w:t>zero, </w:t>
      </w:r>
      <w:r>
        <w:rPr>
          <w:vertAlign w:val="superscript"/>
        </w:rPr>
        <w:t>**</w:t>
      </w:r>
      <w:r>
        <w:rPr>
          <w:spacing w:val="-15"/>
          <w:vertAlign w:val="baseline"/>
        </w:rPr>
        <w:t> </w:t>
      </w:r>
      <w:r>
        <w:rPr>
          <w:vertAlign w:val="baseline"/>
        </w:rPr>
        <w:t>= </w:t>
      </w:r>
      <w:r>
        <w:rPr>
          <w:i/>
          <w:vertAlign w:val="baseline"/>
        </w:rPr>
        <w:t>p </w:t>
      </w:r>
      <w:r>
        <w:rPr>
          <w:vertAlign w:val="baseline"/>
        </w:rPr>
        <w:t>≤ 0.01 compared to day</w:t>
      </w:r>
      <w:r>
        <w:rPr>
          <w:spacing w:val="-2"/>
          <w:vertAlign w:val="baseline"/>
        </w:rPr>
        <w:t> </w:t>
      </w:r>
      <w:r>
        <w:rPr>
          <w:vertAlign w:val="baseline"/>
        </w:rPr>
        <w:t>zero, </w:t>
      </w:r>
      <w:r>
        <w:rPr>
          <w:vertAlign w:val="superscript"/>
        </w:rPr>
        <w:t>##</w:t>
      </w:r>
      <w:r>
        <w:rPr>
          <w:vertAlign w:val="baseline"/>
        </w:rPr>
        <w:t> = </w:t>
      </w:r>
      <w:r>
        <w:rPr>
          <w:i/>
          <w:vertAlign w:val="baseline"/>
        </w:rPr>
        <w:t>p </w:t>
      </w:r>
      <w:r>
        <w:rPr>
          <w:vertAlign w:val="baseline"/>
        </w:rPr>
        <w:t>≤ 0.01 compared to diabetic control, split plot ANOVA and Bonferoni </w:t>
      </w:r>
      <w:r>
        <w:rPr>
          <w:i/>
          <w:vertAlign w:val="baseline"/>
        </w:rPr>
        <w:t>post hoc </w:t>
      </w:r>
      <w:r>
        <w:rPr>
          <w:vertAlign w:val="baseline"/>
        </w:rPr>
        <w:t>test, n = 5-8, Glim8pm+Nife8am = treated with glimepiride at 8 pm and nifedipine at 8 am; Glim8pm+Nife8pm = treated with glimepiride at 8 pm and nifedipine at 8 pm</w:t>
      </w:r>
    </w:p>
    <w:p>
      <w:pPr>
        <w:spacing w:after="0" w:line="360" w:lineRule="auto"/>
        <w:jc w:val="both"/>
        <w:sectPr>
          <w:type w:val="continuous"/>
          <w:pgSz w:w="12240" w:h="15840"/>
          <w:pgMar w:header="0" w:footer="1015" w:top="1360" w:bottom="1200" w:left="1720" w:right="300"/>
        </w:sectPr>
      </w:pPr>
    </w:p>
    <w:p>
      <w:pPr>
        <w:pStyle w:val="Heading2"/>
        <w:numPr>
          <w:ilvl w:val="1"/>
          <w:numId w:val="16"/>
        </w:numPr>
        <w:tabs>
          <w:tab w:pos="1020" w:val="left" w:leader="none"/>
          <w:tab w:pos="2629" w:val="left" w:leader="none"/>
        </w:tabs>
        <w:spacing w:line="480" w:lineRule="auto" w:before="76" w:after="0"/>
        <w:ind w:left="2629" w:right="1146" w:hanging="2329"/>
        <w:jc w:val="both"/>
      </w:pPr>
      <w:bookmarkStart w:name="_TOC_250019" w:id="62"/>
      <w:r>
        <w:rPr/>
        <w:t>Effect</w:t>
      </w:r>
      <w:r>
        <w:rPr>
          <w:spacing w:val="-4"/>
        </w:rPr>
        <w:t> </w:t>
      </w:r>
      <w:r>
        <w:rPr/>
        <w:t>of</w:t>
      </w:r>
      <w:r>
        <w:rPr>
          <w:spacing w:val="-4"/>
        </w:rPr>
        <w:t> </w:t>
      </w:r>
      <w:r>
        <w:rPr/>
        <w:t>21-day</w:t>
      </w:r>
      <w:r>
        <w:rPr>
          <w:spacing w:val="-4"/>
        </w:rPr>
        <w:t> </w:t>
      </w:r>
      <w:r>
        <w:rPr/>
        <w:t>chronomodulated</w:t>
      </w:r>
      <w:r>
        <w:rPr>
          <w:spacing w:val="-4"/>
        </w:rPr>
        <w:t> </w:t>
      </w:r>
      <w:r>
        <w:rPr/>
        <w:t>nifedipine</w:t>
      </w:r>
      <w:r>
        <w:rPr>
          <w:spacing w:val="-5"/>
        </w:rPr>
        <w:t> </w:t>
      </w:r>
      <w:r>
        <w:rPr/>
        <w:t>administration</w:t>
      </w:r>
      <w:r>
        <w:rPr>
          <w:spacing w:val="-3"/>
        </w:rPr>
        <w:t> </w:t>
      </w:r>
      <w:r>
        <w:rPr/>
        <w:t>on</w:t>
      </w:r>
      <w:r>
        <w:rPr>
          <w:spacing w:val="-4"/>
        </w:rPr>
        <w:t> </w:t>
      </w:r>
      <w:r>
        <w:rPr/>
        <w:t>body</w:t>
      </w:r>
      <w:r>
        <w:rPr>
          <w:spacing w:val="-7"/>
        </w:rPr>
        <w:t> </w:t>
      </w:r>
      <w:r>
        <w:rPr/>
        <w:t>weight</w:t>
      </w:r>
      <w:r>
        <w:rPr>
          <w:spacing w:val="-4"/>
        </w:rPr>
        <w:t> </w:t>
      </w:r>
      <w:bookmarkEnd w:id="62"/>
      <w:r>
        <w:rPr/>
        <w:t>in glimepiride-treated hyperglycaemic rats</w:t>
      </w:r>
    </w:p>
    <w:p>
      <w:pPr>
        <w:pStyle w:val="BodyText"/>
        <w:spacing w:line="480" w:lineRule="auto"/>
        <w:ind w:left="296" w:right="1137"/>
        <w:jc w:val="both"/>
      </w:pPr>
      <w:r>
        <w:rPr/>
        <w:t>There was no significant difference in the body weight for all groups of rats at the commencement of the study. The non-diabetic control group showed significant (</w:t>
      </w:r>
      <w:r>
        <w:rPr>
          <w:i/>
        </w:rPr>
        <w:t>p</w:t>
      </w:r>
      <w:r>
        <w:rPr/>
        <w:t>&lt;0.01) increase in body weight on days 7, 14 and 21 when compared to the values on day zero. There was no significant change in body weight in the diabetic control group in the successive weeks when compared to initial values but were significantly (</w:t>
      </w:r>
      <w:r>
        <w:rPr>
          <w:i/>
        </w:rPr>
        <w:t>p</w:t>
      </w:r>
      <w:r>
        <w:rPr/>
        <w:t>&lt;0.05) lower when compared to the non-diabetic control on days 14 and 21. Treatment with glimepiride alone at 8 pm produced a significant (</w:t>
      </w:r>
      <w:r>
        <w:rPr>
          <w:i/>
        </w:rPr>
        <w:t>p</w:t>
      </w:r>
      <w:r>
        <w:rPr/>
        <w:t>&lt;0.05) increase in body weight on days 14 and 21 when compared to the initial values. In contrast, concurrent administration of glimepiride and nifedipine at 8 pm did not produce any significant difference in body weight when compared to initial values. However, treatment with glimepiride at 8 pm and nifedipine at</w:t>
      </w:r>
      <w:r>
        <w:rPr>
          <w:spacing w:val="40"/>
        </w:rPr>
        <w:t> </w:t>
      </w:r>
      <w:r>
        <w:rPr/>
        <w:t>8 am revealed significant (</w:t>
      </w:r>
      <w:r>
        <w:rPr>
          <w:i/>
        </w:rPr>
        <w:t>p</w:t>
      </w:r>
      <w:r>
        <w:rPr/>
        <w:t>&lt;0.01) increase in body weight on days 7, 14 and 21 when compared to the initial values in a similar manner with the glimepiride alone 8 pm treated group. The result is shown in table 4.1.</w:t>
      </w:r>
    </w:p>
    <w:p>
      <w:pPr>
        <w:spacing w:after="0" w:line="480" w:lineRule="auto"/>
        <w:jc w:val="both"/>
        <w:sectPr>
          <w:pgSz w:w="12240" w:h="15840"/>
          <w:pgMar w:header="0" w:footer="1015" w:top="1360" w:bottom="1200" w:left="1720" w:right="300"/>
        </w:sectPr>
      </w:pPr>
    </w:p>
    <w:p>
      <w:pPr>
        <w:spacing w:line="480" w:lineRule="auto" w:before="76" w:after="4"/>
        <w:ind w:left="296" w:right="1135" w:firstLine="0"/>
        <w:jc w:val="both"/>
        <w:rPr>
          <w:b/>
          <w:sz w:val="24"/>
        </w:rPr>
      </w:pPr>
      <w:r>
        <w:rPr>
          <w:b/>
          <w:sz w:val="24"/>
        </w:rPr>
        <w:t>Table</w:t>
      </w:r>
      <w:r>
        <w:rPr>
          <w:b/>
          <w:spacing w:val="-2"/>
          <w:sz w:val="24"/>
        </w:rPr>
        <w:t> </w:t>
      </w:r>
      <w:r>
        <w:rPr>
          <w:b/>
          <w:sz w:val="24"/>
        </w:rPr>
        <w:t>4.1</w:t>
      </w:r>
      <w:r>
        <w:rPr>
          <w:b/>
          <w:spacing w:val="40"/>
          <w:sz w:val="24"/>
        </w:rPr>
        <w:t>  </w:t>
      </w:r>
      <w:r>
        <w:rPr>
          <w:b/>
          <w:sz w:val="24"/>
        </w:rPr>
        <w:t>Effect of 21-day chronomodulated nifedipine administration on body weight in glimepiride-treated hyperglycaemic rats</w:t>
      </w: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2"/>
        <w:gridCol w:w="1689"/>
        <w:gridCol w:w="1980"/>
        <w:gridCol w:w="1970"/>
        <w:gridCol w:w="2028"/>
      </w:tblGrid>
      <w:tr>
        <w:trPr>
          <w:trHeight w:val="1504" w:hRule="atLeast"/>
        </w:trPr>
        <w:tc>
          <w:tcPr>
            <w:tcW w:w="2252" w:type="dxa"/>
            <w:tcBorders>
              <w:top w:val="single" w:sz="4" w:space="0" w:color="000000"/>
              <w:bottom w:val="single" w:sz="4" w:space="0" w:color="000000"/>
            </w:tcBorders>
          </w:tcPr>
          <w:p>
            <w:pPr>
              <w:pStyle w:val="TableParagraph"/>
              <w:ind w:left="0"/>
              <w:rPr>
                <w:b/>
                <w:sz w:val="24"/>
              </w:rPr>
            </w:pPr>
          </w:p>
          <w:p>
            <w:pPr>
              <w:pStyle w:val="TableParagraph"/>
              <w:spacing w:before="193"/>
              <w:ind w:left="0"/>
              <w:rPr>
                <w:b/>
                <w:sz w:val="24"/>
              </w:rPr>
            </w:pPr>
          </w:p>
          <w:p>
            <w:pPr>
              <w:pStyle w:val="TableParagraph"/>
              <w:ind w:left="107"/>
              <w:rPr>
                <w:sz w:val="24"/>
              </w:rPr>
            </w:pPr>
            <w:r>
              <w:rPr>
                <w:spacing w:val="-2"/>
                <w:sz w:val="24"/>
              </w:rPr>
              <w:t>Groups</w:t>
            </w:r>
          </w:p>
        </w:tc>
        <w:tc>
          <w:tcPr>
            <w:tcW w:w="1689" w:type="dxa"/>
            <w:tcBorders>
              <w:top w:val="single" w:sz="4" w:space="0" w:color="000000"/>
              <w:bottom w:val="single" w:sz="4" w:space="0" w:color="000000"/>
            </w:tcBorders>
          </w:tcPr>
          <w:p>
            <w:pPr>
              <w:pStyle w:val="TableParagraph"/>
              <w:ind w:left="0"/>
              <w:rPr>
                <w:b/>
                <w:sz w:val="24"/>
              </w:rPr>
            </w:pPr>
          </w:p>
          <w:p>
            <w:pPr>
              <w:pStyle w:val="TableParagraph"/>
              <w:spacing w:before="193"/>
              <w:ind w:left="0"/>
              <w:rPr>
                <w:b/>
                <w:sz w:val="24"/>
              </w:rPr>
            </w:pPr>
          </w:p>
          <w:p>
            <w:pPr>
              <w:pStyle w:val="TableParagraph"/>
              <w:ind w:left="153"/>
              <w:rPr>
                <w:sz w:val="24"/>
              </w:rPr>
            </w:pPr>
            <w:r>
              <w:rPr/>
              <mc:AlternateContent>
                <mc:Choice Requires="wps">
                  <w:drawing>
                    <wp:anchor distT="0" distB="0" distL="0" distR="0" allowOverlap="1" layoutInCell="1" locked="0" behindDoc="1" simplePos="0" relativeHeight="486300160">
                      <wp:simplePos x="0" y="0"/>
                      <wp:positionH relativeFrom="column">
                        <wp:posOffset>110612</wp:posOffset>
                      </wp:positionH>
                      <wp:positionV relativeFrom="paragraph">
                        <wp:posOffset>-84478</wp:posOffset>
                      </wp:positionV>
                      <wp:extent cx="3657600" cy="9525"/>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3657600" cy="9525"/>
                                <a:chExt cx="3657600" cy="9525"/>
                              </a:xfrm>
                            </wpg:grpSpPr>
                            <wps:wsp>
                              <wps:cNvPr id="133" name="Graphic 133"/>
                              <wps:cNvSpPr/>
                              <wps:spPr>
                                <a:xfrm>
                                  <a:off x="0" y="4762"/>
                                  <a:ext cx="3657600" cy="1270"/>
                                </a:xfrm>
                                <a:custGeom>
                                  <a:avLst/>
                                  <a:gdLst/>
                                  <a:ahLst/>
                                  <a:cxnLst/>
                                  <a:rect l="l" t="t" r="r" b="b"/>
                                  <a:pathLst>
                                    <a:path w="3657600" h="0">
                                      <a:moveTo>
                                        <a:pt x="0" y="0"/>
                                      </a:moveTo>
                                      <a:lnTo>
                                        <a:pt x="3657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09645pt;margin-top:-6.651868pt;width:288pt;height:.75pt;mso-position-horizontal-relative:column;mso-position-vertical-relative:paragraph;z-index:-17016320" id="docshapegroup130" coordorigin="174,-133" coordsize="5760,15">
                      <v:line style="position:absolute" from="174,-126" to="5934,-126" stroked="true" strokeweight=".75pt" strokecolor="#000000">
                        <v:stroke dashstyle="solid"/>
                      </v:line>
                      <w10:wrap type="none"/>
                    </v:group>
                  </w:pict>
                </mc:Fallback>
              </mc:AlternateContent>
            </w:r>
            <w:r>
              <w:rPr>
                <w:sz w:val="24"/>
              </w:rPr>
              <w:t>Day</w:t>
            </w:r>
            <w:r>
              <w:rPr>
                <w:spacing w:val="-2"/>
                <w:sz w:val="24"/>
              </w:rPr>
              <w:t> </w:t>
            </w:r>
            <w:r>
              <w:rPr>
                <w:spacing w:val="-10"/>
                <w:sz w:val="24"/>
              </w:rPr>
              <w:t>0</w:t>
            </w:r>
          </w:p>
        </w:tc>
        <w:tc>
          <w:tcPr>
            <w:tcW w:w="1980" w:type="dxa"/>
            <w:tcBorders>
              <w:top w:val="single" w:sz="4" w:space="0" w:color="000000"/>
              <w:bottom w:val="single" w:sz="4" w:space="0" w:color="000000"/>
            </w:tcBorders>
          </w:tcPr>
          <w:p>
            <w:pPr>
              <w:pStyle w:val="TableParagraph"/>
              <w:spacing w:line="270" w:lineRule="exact"/>
              <w:ind w:left="624"/>
              <w:rPr>
                <w:sz w:val="24"/>
              </w:rPr>
            </w:pPr>
            <w:r>
              <w:rPr>
                <w:sz w:val="24"/>
              </w:rPr>
              <w:t>Weight</w:t>
            </w:r>
            <w:r>
              <w:rPr>
                <w:spacing w:val="-2"/>
                <w:sz w:val="24"/>
              </w:rPr>
              <w:t> </w:t>
            </w:r>
            <w:r>
              <w:rPr>
                <w:spacing w:val="-5"/>
                <w:sz w:val="24"/>
              </w:rPr>
              <w:t>(g)</w:t>
            </w:r>
          </w:p>
          <w:p>
            <w:pPr>
              <w:pStyle w:val="TableParagraph"/>
              <w:spacing w:before="199"/>
              <w:ind w:left="0"/>
              <w:rPr>
                <w:b/>
                <w:sz w:val="24"/>
              </w:rPr>
            </w:pPr>
          </w:p>
          <w:p>
            <w:pPr>
              <w:pStyle w:val="TableParagraph"/>
              <w:ind w:left="324"/>
              <w:rPr>
                <w:sz w:val="24"/>
              </w:rPr>
            </w:pPr>
            <w:r>
              <w:rPr>
                <w:sz w:val="24"/>
              </w:rPr>
              <w:t>Day</w:t>
            </w:r>
            <w:r>
              <w:rPr>
                <w:spacing w:val="-2"/>
                <w:sz w:val="24"/>
              </w:rPr>
              <w:t> </w:t>
            </w:r>
            <w:r>
              <w:rPr>
                <w:spacing w:val="-10"/>
                <w:sz w:val="24"/>
              </w:rPr>
              <w:t>7</w:t>
            </w:r>
          </w:p>
        </w:tc>
        <w:tc>
          <w:tcPr>
            <w:tcW w:w="1970" w:type="dxa"/>
            <w:tcBorders>
              <w:top w:val="single" w:sz="4" w:space="0" w:color="000000"/>
              <w:bottom w:val="single" w:sz="4" w:space="0" w:color="000000"/>
            </w:tcBorders>
          </w:tcPr>
          <w:p>
            <w:pPr>
              <w:pStyle w:val="TableParagraph"/>
              <w:ind w:left="0"/>
              <w:rPr>
                <w:b/>
                <w:sz w:val="24"/>
              </w:rPr>
            </w:pPr>
          </w:p>
          <w:p>
            <w:pPr>
              <w:pStyle w:val="TableParagraph"/>
              <w:spacing w:before="193"/>
              <w:ind w:left="0"/>
              <w:rPr>
                <w:b/>
                <w:sz w:val="24"/>
              </w:rPr>
            </w:pPr>
          </w:p>
          <w:p>
            <w:pPr>
              <w:pStyle w:val="TableParagraph"/>
              <w:ind w:left="312"/>
              <w:rPr>
                <w:sz w:val="24"/>
              </w:rPr>
            </w:pPr>
            <w:r>
              <w:rPr>
                <w:sz w:val="24"/>
              </w:rPr>
              <w:t>Day</w:t>
            </w:r>
            <w:r>
              <w:rPr>
                <w:spacing w:val="-2"/>
                <w:sz w:val="24"/>
              </w:rPr>
              <w:t> </w:t>
            </w:r>
            <w:r>
              <w:rPr>
                <w:spacing w:val="-5"/>
                <w:sz w:val="24"/>
              </w:rPr>
              <w:t>14</w:t>
            </w:r>
          </w:p>
        </w:tc>
        <w:tc>
          <w:tcPr>
            <w:tcW w:w="2028" w:type="dxa"/>
            <w:tcBorders>
              <w:top w:val="single" w:sz="4" w:space="0" w:color="000000"/>
              <w:bottom w:val="single" w:sz="4" w:space="0" w:color="000000"/>
            </w:tcBorders>
          </w:tcPr>
          <w:p>
            <w:pPr>
              <w:pStyle w:val="TableParagraph"/>
              <w:ind w:left="0"/>
              <w:rPr>
                <w:b/>
                <w:sz w:val="24"/>
              </w:rPr>
            </w:pPr>
          </w:p>
          <w:p>
            <w:pPr>
              <w:pStyle w:val="TableParagraph"/>
              <w:spacing w:before="193"/>
              <w:ind w:left="0"/>
              <w:rPr>
                <w:b/>
                <w:sz w:val="24"/>
              </w:rPr>
            </w:pPr>
          </w:p>
          <w:p>
            <w:pPr>
              <w:pStyle w:val="TableParagraph"/>
              <w:ind w:left="126"/>
              <w:rPr>
                <w:sz w:val="24"/>
              </w:rPr>
            </w:pPr>
            <w:r>
              <w:rPr>
                <w:sz w:val="24"/>
              </w:rPr>
              <w:t>Day</w:t>
            </w:r>
            <w:r>
              <w:rPr>
                <w:spacing w:val="-2"/>
                <w:sz w:val="24"/>
              </w:rPr>
              <w:t> </w:t>
            </w:r>
            <w:r>
              <w:rPr>
                <w:spacing w:val="-5"/>
                <w:sz w:val="24"/>
              </w:rPr>
              <w:t>21</w:t>
            </w:r>
          </w:p>
        </w:tc>
      </w:tr>
      <w:tr>
        <w:trPr>
          <w:trHeight w:val="492" w:hRule="atLeast"/>
        </w:trPr>
        <w:tc>
          <w:tcPr>
            <w:tcW w:w="2252" w:type="dxa"/>
            <w:tcBorders>
              <w:top w:val="single" w:sz="4" w:space="0" w:color="000000"/>
            </w:tcBorders>
          </w:tcPr>
          <w:p>
            <w:pPr>
              <w:pStyle w:val="TableParagraph"/>
              <w:spacing w:line="270" w:lineRule="exact"/>
              <w:ind w:left="107"/>
              <w:rPr>
                <w:sz w:val="24"/>
              </w:rPr>
            </w:pPr>
            <w:r>
              <w:rPr>
                <w:sz w:val="24"/>
              </w:rPr>
              <w:t>Non-diabetic</w:t>
            </w:r>
            <w:r>
              <w:rPr>
                <w:spacing w:val="-5"/>
                <w:sz w:val="24"/>
              </w:rPr>
              <w:t> </w:t>
            </w:r>
            <w:r>
              <w:rPr>
                <w:spacing w:val="-2"/>
                <w:sz w:val="24"/>
              </w:rPr>
              <w:t>control</w:t>
            </w:r>
          </w:p>
        </w:tc>
        <w:tc>
          <w:tcPr>
            <w:tcW w:w="1689" w:type="dxa"/>
            <w:tcBorders>
              <w:top w:val="single" w:sz="4" w:space="0" w:color="000000"/>
            </w:tcBorders>
          </w:tcPr>
          <w:p>
            <w:pPr>
              <w:pStyle w:val="TableParagraph"/>
              <w:spacing w:line="270" w:lineRule="exact"/>
              <w:ind w:left="153"/>
              <w:rPr>
                <w:sz w:val="24"/>
              </w:rPr>
            </w:pPr>
            <w:r>
              <w:rPr>
                <w:spacing w:val="-2"/>
                <w:sz w:val="24"/>
              </w:rPr>
              <w:t>118.60</w:t>
            </w:r>
            <w:r>
              <w:rPr>
                <w:b/>
                <w:spacing w:val="-2"/>
                <w:sz w:val="24"/>
              </w:rPr>
              <w:t>±</w:t>
            </w:r>
            <w:r>
              <w:rPr>
                <w:spacing w:val="-2"/>
                <w:sz w:val="24"/>
              </w:rPr>
              <w:t>2.11</w:t>
            </w:r>
          </w:p>
        </w:tc>
        <w:tc>
          <w:tcPr>
            <w:tcW w:w="1980" w:type="dxa"/>
            <w:tcBorders>
              <w:top w:val="single" w:sz="4" w:space="0" w:color="000000"/>
            </w:tcBorders>
          </w:tcPr>
          <w:p>
            <w:pPr>
              <w:pStyle w:val="TableParagraph"/>
              <w:spacing w:line="270" w:lineRule="exact"/>
              <w:ind w:left="324"/>
              <w:rPr>
                <w:sz w:val="24"/>
              </w:rPr>
            </w:pPr>
            <w:r>
              <w:rPr>
                <w:spacing w:val="-2"/>
                <w:sz w:val="24"/>
              </w:rPr>
              <w:t>132.20</w:t>
            </w:r>
            <w:r>
              <w:rPr>
                <w:b/>
                <w:spacing w:val="-2"/>
                <w:sz w:val="24"/>
              </w:rPr>
              <w:t>±</w:t>
            </w:r>
            <w:r>
              <w:rPr>
                <w:spacing w:val="-2"/>
                <w:sz w:val="24"/>
              </w:rPr>
              <w:t>3.91*</w:t>
            </w:r>
          </w:p>
        </w:tc>
        <w:tc>
          <w:tcPr>
            <w:tcW w:w="1970" w:type="dxa"/>
            <w:tcBorders>
              <w:top w:val="single" w:sz="4" w:space="0" w:color="000000"/>
            </w:tcBorders>
          </w:tcPr>
          <w:p>
            <w:pPr>
              <w:pStyle w:val="TableParagraph"/>
              <w:spacing w:line="270" w:lineRule="exact"/>
              <w:ind w:left="312"/>
              <w:rPr>
                <w:sz w:val="24"/>
              </w:rPr>
            </w:pPr>
            <w:r>
              <w:rPr>
                <w:spacing w:val="-2"/>
                <w:sz w:val="24"/>
              </w:rPr>
              <w:t>140.20</w:t>
            </w:r>
            <w:r>
              <w:rPr>
                <w:b/>
                <w:spacing w:val="-2"/>
                <w:sz w:val="24"/>
              </w:rPr>
              <w:t>±</w:t>
            </w:r>
            <w:r>
              <w:rPr>
                <w:spacing w:val="-2"/>
                <w:sz w:val="24"/>
              </w:rPr>
              <w:t>4.23**</w:t>
            </w:r>
          </w:p>
        </w:tc>
        <w:tc>
          <w:tcPr>
            <w:tcW w:w="2028" w:type="dxa"/>
            <w:tcBorders>
              <w:top w:val="single" w:sz="4" w:space="0" w:color="000000"/>
            </w:tcBorders>
          </w:tcPr>
          <w:p>
            <w:pPr>
              <w:pStyle w:val="TableParagraph"/>
              <w:spacing w:line="270" w:lineRule="exact"/>
              <w:ind w:left="126"/>
              <w:rPr>
                <w:sz w:val="24"/>
              </w:rPr>
            </w:pPr>
            <w:r>
              <w:rPr>
                <w:spacing w:val="-2"/>
                <w:sz w:val="24"/>
              </w:rPr>
              <w:t>152.60</w:t>
            </w:r>
            <w:r>
              <w:rPr>
                <w:b/>
                <w:spacing w:val="-2"/>
                <w:sz w:val="24"/>
              </w:rPr>
              <w:t>±</w:t>
            </w:r>
            <w:r>
              <w:rPr>
                <w:spacing w:val="-2"/>
                <w:sz w:val="24"/>
              </w:rPr>
              <w:t>5.74**</w:t>
            </w:r>
          </w:p>
        </w:tc>
      </w:tr>
      <w:tr>
        <w:trPr>
          <w:trHeight w:val="752" w:hRule="atLeast"/>
        </w:trPr>
        <w:tc>
          <w:tcPr>
            <w:tcW w:w="2252" w:type="dxa"/>
          </w:tcPr>
          <w:p>
            <w:pPr>
              <w:pStyle w:val="TableParagraph"/>
              <w:spacing w:before="252"/>
              <w:ind w:left="107"/>
              <w:rPr>
                <w:sz w:val="24"/>
              </w:rPr>
            </w:pPr>
            <w:r>
              <w:rPr>
                <w:sz w:val="24"/>
              </w:rPr>
              <w:t>Diabetic</w:t>
            </w:r>
            <w:r>
              <w:rPr>
                <w:spacing w:val="-3"/>
                <w:sz w:val="24"/>
              </w:rPr>
              <w:t> </w:t>
            </w:r>
            <w:r>
              <w:rPr>
                <w:spacing w:val="-2"/>
                <w:sz w:val="24"/>
              </w:rPr>
              <w:t>control</w:t>
            </w:r>
          </w:p>
        </w:tc>
        <w:tc>
          <w:tcPr>
            <w:tcW w:w="1689" w:type="dxa"/>
          </w:tcPr>
          <w:p>
            <w:pPr>
              <w:pStyle w:val="TableParagraph"/>
              <w:spacing w:before="252"/>
              <w:ind w:left="153"/>
              <w:rPr>
                <w:sz w:val="24"/>
              </w:rPr>
            </w:pPr>
            <w:r>
              <w:rPr>
                <w:spacing w:val="-2"/>
                <w:sz w:val="24"/>
              </w:rPr>
              <w:t>115.20±5.30</w:t>
            </w:r>
          </w:p>
        </w:tc>
        <w:tc>
          <w:tcPr>
            <w:tcW w:w="1980" w:type="dxa"/>
          </w:tcPr>
          <w:p>
            <w:pPr>
              <w:pStyle w:val="TableParagraph"/>
              <w:spacing w:before="252"/>
              <w:ind w:left="324"/>
              <w:rPr>
                <w:sz w:val="24"/>
              </w:rPr>
            </w:pPr>
            <w:r>
              <w:rPr>
                <w:spacing w:val="-2"/>
                <w:sz w:val="24"/>
              </w:rPr>
              <w:t>123.20±5.30</w:t>
            </w:r>
          </w:p>
        </w:tc>
        <w:tc>
          <w:tcPr>
            <w:tcW w:w="1970" w:type="dxa"/>
          </w:tcPr>
          <w:p>
            <w:pPr>
              <w:pStyle w:val="TableParagraph"/>
              <w:spacing w:before="252"/>
              <w:ind w:left="312"/>
              <w:rPr>
                <w:sz w:val="24"/>
              </w:rPr>
            </w:pPr>
            <w:r>
              <w:rPr>
                <w:spacing w:val="-2"/>
                <w:sz w:val="24"/>
              </w:rPr>
              <w:t>114.40±4.60</w:t>
            </w:r>
            <w:r>
              <w:rPr>
                <w:spacing w:val="-2"/>
                <w:sz w:val="24"/>
                <w:vertAlign w:val="superscript"/>
              </w:rPr>
              <w:t>a</w:t>
            </w:r>
          </w:p>
        </w:tc>
        <w:tc>
          <w:tcPr>
            <w:tcW w:w="2028" w:type="dxa"/>
          </w:tcPr>
          <w:p>
            <w:pPr>
              <w:pStyle w:val="TableParagraph"/>
              <w:spacing w:before="252"/>
              <w:ind w:left="126"/>
              <w:rPr>
                <w:sz w:val="24"/>
              </w:rPr>
            </w:pPr>
            <w:r>
              <w:rPr>
                <w:spacing w:val="-2"/>
                <w:sz w:val="24"/>
              </w:rPr>
              <w:t>114.00±4.24</w:t>
            </w:r>
            <w:r>
              <w:rPr>
                <w:spacing w:val="-2"/>
                <w:sz w:val="24"/>
                <w:vertAlign w:val="superscript"/>
              </w:rPr>
              <w:t>a</w:t>
            </w:r>
          </w:p>
        </w:tc>
      </w:tr>
      <w:tr>
        <w:trPr>
          <w:trHeight w:val="772" w:hRule="atLeast"/>
        </w:trPr>
        <w:tc>
          <w:tcPr>
            <w:tcW w:w="2252" w:type="dxa"/>
          </w:tcPr>
          <w:p>
            <w:pPr>
              <w:pStyle w:val="TableParagraph"/>
              <w:spacing w:before="254"/>
              <w:ind w:left="107"/>
              <w:rPr>
                <w:sz w:val="24"/>
              </w:rPr>
            </w:pPr>
            <w:r>
              <w:rPr>
                <w:sz w:val="24"/>
              </w:rPr>
              <w:t>Glimepiride</w:t>
            </w:r>
            <w:r>
              <w:rPr>
                <w:spacing w:val="-2"/>
                <w:sz w:val="24"/>
              </w:rPr>
              <w:t> </w:t>
            </w:r>
            <w:r>
              <w:rPr>
                <w:sz w:val="24"/>
              </w:rPr>
              <w:t>8 </w:t>
            </w:r>
            <w:r>
              <w:rPr>
                <w:spacing w:val="-5"/>
                <w:sz w:val="24"/>
              </w:rPr>
              <w:t>pm</w:t>
            </w:r>
          </w:p>
        </w:tc>
        <w:tc>
          <w:tcPr>
            <w:tcW w:w="1689" w:type="dxa"/>
          </w:tcPr>
          <w:p>
            <w:pPr>
              <w:pStyle w:val="TableParagraph"/>
              <w:spacing w:before="254"/>
              <w:ind w:left="153"/>
              <w:rPr>
                <w:sz w:val="24"/>
              </w:rPr>
            </w:pPr>
            <w:r>
              <w:rPr>
                <w:spacing w:val="-2"/>
                <w:sz w:val="24"/>
              </w:rPr>
              <w:t>113.20±3.70</w:t>
            </w:r>
          </w:p>
        </w:tc>
        <w:tc>
          <w:tcPr>
            <w:tcW w:w="1980" w:type="dxa"/>
          </w:tcPr>
          <w:p>
            <w:pPr>
              <w:pStyle w:val="TableParagraph"/>
              <w:spacing w:before="254"/>
              <w:ind w:left="324"/>
              <w:rPr>
                <w:sz w:val="24"/>
              </w:rPr>
            </w:pPr>
            <w:r>
              <w:rPr>
                <w:spacing w:val="-2"/>
                <w:sz w:val="24"/>
              </w:rPr>
              <w:t>118.80±4.35</w:t>
            </w:r>
          </w:p>
        </w:tc>
        <w:tc>
          <w:tcPr>
            <w:tcW w:w="1970" w:type="dxa"/>
          </w:tcPr>
          <w:p>
            <w:pPr>
              <w:pStyle w:val="TableParagraph"/>
              <w:spacing w:before="254"/>
              <w:ind w:left="312"/>
              <w:rPr>
                <w:sz w:val="24"/>
              </w:rPr>
            </w:pPr>
            <w:r>
              <w:rPr>
                <w:spacing w:val="-2"/>
                <w:sz w:val="24"/>
              </w:rPr>
              <w:t>126.00±6.32*</w:t>
            </w:r>
            <w:r>
              <w:rPr>
                <w:spacing w:val="-2"/>
                <w:sz w:val="24"/>
                <w:vertAlign w:val="superscript"/>
              </w:rPr>
              <w:t>#</w:t>
            </w:r>
          </w:p>
        </w:tc>
        <w:tc>
          <w:tcPr>
            <w:tcW w:w="2028" w:type="dxa"/>
          </w:tcPr>
          <w:p>
            <w:pPr>
              <w:pStyle w:val="TableParagraph"/>
              <w:spacing w:before="254"/>
              <w:ind w:left="126"/>
              <w:rPr>
                <w:sz w:val="24"/>
              </w:rPr>
            </w:pPr>
            <w:r>
              <w:rPr>
                <w:spacing w:val="-2"/>
                <w:sz w:val="24"/>
              </w:rPr>
              <w:t>130.20±5.1*</w:t>
            </w:r>
            <w:r>
              <w:rPr>
                <w:spacing w:val="-2"/>
                <w:sz w:val="24"/>
                <w:vertAlign w:val="superscript"/>
              </w:rPr>
              <w:t>#</w:t>
            </w:r>
          </w:p>
        </w:tc>
      </w:tr>
      <w:tr>
        <w:trPr>
          <w:trHeight w:val="1259" w:hRule="atLeast"/>
        </w:trPr>
        <w:tc>
          <w:tcPr>
            <w:tcW w:w="2252" w:type="dxa"/>
          </w:tcPr>
          <w:p>
            <w:pPr>
              <w:pStyle w:val="TableParagraph"/>
              <w:spacing w:before="232"/>
              <w:ind w:left="107"/>
              <w:rPr>
                <w:sz w:val="24"/>
              </w:rPr>
            </w:pPr>
            <w:r>
              <w:rPr>
                <w:spacing w:val="-2"/>
                <w:sz w:val="24"/>
              </w:rPr>
              <w:t>Glim8pm+Nife8pm</w:t>
            </w:r>
          </w:p>
          <w:p>
            <w:pPr>
              <w:pStyle w:val="TableParagraph"/>
              <w:spacing w:before="199"/>
              <w:ind w:left="0"/>
              <w:rPr>
                <w:b/>
                <w:sz w:val="24"/>
              </w:rPr>
            </w:pPr>
          </w:p>
          <w:p>
            <w:pPr>
              <w:pStyle w:val="TableParagraph"/>
              <w:spacing w:line="256" w:lineRule="exact"/>
              <w:ind w:left="107"/>
              <w:rPr>
                <w:sz w:val="24"/>
              </w:rPr>
            </w:pPr>
            <w:r>
              <w:rPr>
                <w:spacing w:val="-2"/>
                <w:sz w:val="24"/>
              </w:rPr>
              <w:t>Glim8pm+Nife8am</w:t>
            </w:r>
          </w:p>
        </w:tc>
        <w:tc>
          <w:tcPr>
            <w:tcW w:w="1689" w:type="dxa"/>
          </w:tcPr>
          <w:p>
            <w:pPr>
              <w:pStyle w:val="TableParagraph"/>
              <w:spacing w:before="232"/>
              <w:ind w:left="153"/>
              <w:rPr>
                <w:sz w:val="24"/>
              </w:rPr>
            </w:pPr>
            <w:r>
              <w:rPr>
                <w:spacing w:val="-2"/>
                <w:sz w:val="24"/>
              </w:rPr>
              <w:t>124.60±3.55</w:t>
            </w:r>
          </w:p>
          <w:p>
            <w:pPr>
              <w:pStyle w:val="TableParagraph"/>
              <w:spacing w:before="199"/>
              <w:ind w:left="0"/>
              <w:rPr>
                <w:b/>
                <w:sz w:val="24"/>
              </w:rPr>
            </w:pPr>
          </w:p>
          <w:p>
            <w:pPr>
              <w:pStyle w:val="TableParagraph"/>
              <w:spacing w:line="256" w:lineRule="exact"/>
              <w:ind w:left="153"/>
              <w:rPr>
                <w:sz w:val="24"/>
              </w:rPr>
            </w:pPr>
            <w:r>
              <w:rPr>
                <w:spacing w:val="-2"/>
                <w:sz w:val="24"/>
              </w:rPr>
              <w:t>120.60±3.66</w:t>
            </w:r>
          </w:p>
        </w:tc>
        <w:tc>
          <w:tcPr>
            <w:tcW w:w="1980" w:type="dxa"/>
          </w:tcPr>
          <w:p>
            <w:pPr>
              <w:pStyle w:val="TableParagraph"/>
              <w:spacing w:before="232"/>
              <w:ind w:left="324"/>
              <w:rPr>
                <w:sz w:val="24"/>
              </w:rPr>
            </w:pPr>
            <w:r>
              <w:rPr>
                <w:spacing w:val="-2"/>
                <w:sz w:val="24"/>
              </w:rPr>
              <w:t>129.00±3.80</w:t>
            </w:r>
          </w:p>
          <w:p>
            <w:pPr>
              <w:pStyle w:val="TableParagraph"/>
              <w:spacing w:before="199"/>
              <w:ind w:left="0"/>
              <w:rPr>
                <w:b/>
                <w:sz w:val="24"/>
              </w:rPr>
            </w:pPr>
          </w:p>
          <w:p>
            <w:pPr>
              <w:pStyle w:val="TableParagraph"/>
              <w:spacing w:line="256" w:lineRule="exact"/>
              <w:ind w:left="324"/>
              <w:rPr>
                <w:sz w:val="24"/>
              </w:rPr>
            </w:pPr>
            <w:r>
              <w:rPr>
                <w:spacing w:val="-2"/>
                <w:sz w:val="24"/>
              </w:rPr>
              <w:t>129.60±5.85*</w:t>
            </w:r>
          </w:p>
        </w:tc>
        <w:tc>
          <w:tcPr>
            <w:tcW w:w="1970" w:type="dxa"/>
          </w:tcPr>
          <w:p>
            <w:pPr>
              <w:pStyle w:val="TableParagraph"/>
              <w:spacing w:before="232"/>
              <w:ind w:left="312"/>
              <w:rPr>
                <w:sz w:val="24"/>
              </w:rPr>
            </w:pPr>
            <w:r>
              <w:rPr>
                <w:spacing w:val="-2"/>
                <w:sz w:val="24"/>
              </w:rPr>
              <w:t>130.80±4.18</w:t>
            </w:r>
          </w:p>
          <w:p>
            <w:pPr>
              <w:pStyle w:val="TableParagraph"/>
              <w:spacing w:before="199"/>
              <w:ind w:left="0"/>
              <w:rPr>
                <w:b/>
                <w:sz w:val="24"/>
              </w:rPr>
            </w:pPr>
          </w:p>
          <w:p>
            <w:pPr>
              <w:pStyle w:val="TableParagraph"/>
              <w:spacing w:line="256" w:lineRule="exact"/>
              <w:ind w:left="312"/>
              <w:rPr>
                <w:sz w:val="24"/>
              </w:rPr>
            </w:pPr>
            <w:r>
              <w:rPr>
                <w:spacing w:val="-2"/>
                <w:sz w:val="24"/>
              </w:rPr>
              <w:t>140.00±4.56**</w:t>
            </w:r>
            <w:r>
              <w:rPr>
                <w:spacing w:val="-2"/>
                <w:sz w:val="24"/>
                <w:vertAlign w:val="superscript"/>
              </w:rPr>
              <w:t>#</w:t>
            </w:r>
          </w:p>
        </w:tc>
        <w:tc>
          <w:tcPr>
            <w:tcW w:w="2028" w:type="dxa"/>
          </w:tcPr>
          <w:p>
            <w:pPr>
              <w:pStyle w:val="TableParagraph"/>
              <w:spacing w:before="232"/>
              <w:ind w:left="126"/>
              <w:rPr>
                <w:sz w:val="24"/>
              </w:rPr>
            </w:pPr>
            <w:r>
              <w:rPr>
                <w:spacing w:val="-2"/>
                <w:sz w:val="24"/>
              </w:rPr>
              <w:t>132.40±5.71</w:t>
            </w:r>
          </w:p>
          <w:p>
            <w:pPr>
              <w:pStyle w:val="TableParagraph"/>
              <w:spacing w:before="199"/>
              <w:ind w:left="0"/>
              <w:rPr>
                <w:b/>
                <w:sz w:val="24"/>
              </w:rPr>
            </w:pPr>
          </w:p>
          <w:p>
            <w:pPr>
              <w:pStyle w:val="TableParagraph"/>
              <w:spacing w:line="256" w:lineRule="exact"/>
              <w:ind w:left="126"/>
              <w:rPr>
                <w:sz w:val="24"/>
              </w:rPr>
            </w:pPr>
            <w:r>
              <w:rPr>
                <w:spacing w:val="-2"/>
                <w:sz w:val="24"/>
              </w:rPr>
              <w:t>129.89±7.95**</w:t>
            </w:r>
            <w:r>
              <w:rPr>
                <w:spacing w:val="-2"/>
                <w:sz w:val="24"/>
                <w:vertAlign w:val="superscript"/>
              </w:rPr>
              <w:t>#</w:t>
            </w:r>
          </w:p>
        </w:tc>
      </w:tr>
    </w:tbl>
    <w:p>
      <w:pPr>
        <w:pStyle w:val="BodyText"/>
        <w:rPr>
          <w:b/>
          <w:sz w:val="20"/>
        </w:rPr>
      </w:pPr>
    </w:p>
    <w:p>
      <w:pPr>
        <w:pStyle w:val="BodyText"/>
        <w:spacing w:before="2"/>
        <w:rPr>
          <w:b/>
          <w:sz w:val="20"/>
        </w:rPr>
      </w:pPr>
      <w:r>
        <w:rPr/>
        <mc:AlternateContent>
          <mc:Choice Requires="wps">
            <w:drawing>
              <wp:anchor distT="0" distB="0" distL="0" distR="0" allowOverlap="1" layoutInCell="1" locked="0" behindDoc="1" simplePos="0" relativeHeight="487600128">
                <wp:simplePos x="0" y="0"/>
                <wp:positionH relativeFrom="page">
                  <wp:posOffset>1202740</wp:posOffset>
                </wp:positionH>
                <wp:positionV relativeFrom="paragraph">
                  <wp:posOffset>162826</wp:posOffset>
                </wp:positionV>
                <wp:extent cx="6309360" cy="635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6309360" cy="6350"/>
                        </a:xfrm>
                        <a:custGeom>
                          <a:avLst/>
                          <a:gdLst/>
                          <a:ahLst/>
                          <a:cxnLst/>
                          <a:rect l="l" t="t" r="r" b="b"/>
                          <a:pathLst>
                            <a:path w="6309360" h="6350">
                              <a:moveTo>
                                <a:pt x="6309055" y="0"/>
                              </a:moveTo>
                              <a:lnTo>
                                <a:pt x="6309055" y="0"/>
                              </a:lnTo>
                              <a:lnTo>
                                <a:pt x="0" y="0"/>
                              </a:lnTo>
                              <a:lnTo>
                                <a:pt x="0" y="6096"/>
                              </a:lnTo>
                              <a:lnTo>
                                <a:pt x="6309055" y="6096"/>
                              </a:lnTo>
                              <a:lnTo>
                                <a:pt x="63090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4.704002pt;margin-top:12.820957pt;width:496.776024pt;height:.48pt;mso-position-horizontal-relative:page;mso-position-vertical-relative:paragraph;z-index:-15716352;mso-wrap-distance-left:0;mso-wrap-distance-right:0" id="docshape131" filled="true" fillcolor="#000000" stroked="false">
                <v:fill type="solid"/>
                <w10:wrap type="topAndBottom"/>
              </v:rect>
            </w:pict>
          </mc:Fallback>
        </mc:AlternateContent>
      </w:r>
    </w:p>
    <w:p>
      <w:pPr>
        <w:pStyle w:val="BodyText"/>
        <w:spacing w:before="270"/>
        <w:rPr>
          <w:b/>
        </w:rPr>
      </w:pPr>
    </w:p>
    <w:p>
      <w:pPr>
        <w:pStyle w:val="BodyText"/>
        <w:spacing w:line="360" w:lineRule="auto"/>
        <w:ind w:left="296" w:right="1133"/>
        <w:jc w:val="both"/>
      </w:pPr>
      <w:r>
        <w:rPr/>
        <w:t>Data are mean ± SEM, * = </w:t>
      </w:r>
      <w:r>
        <w:rPr>
          <w:i/>
        </w:rPr>
        <w:t>p </w:t>
      </w:r>
      <w:r>
        <w:rPr/>
        <w:t>≤ 0.05 compared to day zero, ** = </w:t>
      </w:r>
      <w:r>
        <w:rPr>
          <w:i/>
        </w:rPr>
        <w:t>p </w:t>
      </w:r>
      <w:r>
        <w:rPr/>
        <w:t>≤ 0.01 compared to day zero, </w:t>
      </w:r>
      <w:r>
        <w:rPr>
          <w:vertAlign w:val="superscript"/>
        </w:rPr>
        <w:t>a</w:t>
      </w:r>
      <w:r>
        <w:rPr>
          <w:vertAlign w:val="baseline"/>
        </w:rPr>
        <w:t> = </w:t>
      </w:r>
      <w:r>
        <w:rPr>
          <w:i/>
          <w:vertAlign w:val="baseline"/>
        </w:rPr>
        <w:t>p </w:t>
      </w:r>
      <w:r>
        <w:rPr>
          <w:vertAlign w:val="baseline"/>
        </w:rPr>
        <w:t>≤ 0.05 compared to non-diabetic control, </w:t>
      </w:r>
      <w:r>
        <w:rPr>
          <w:vertAlign w:val="superscript"/>
        </w:rPr>
        <w:t>#</w:t>
      </w:r>
      <w:r>
        <w:rPr>
          <w:vertAlign w:val="baseline"/>
        </w:rPr>
        <w:t> = </w:t>
      </w:r>
      <w:r>
        <w:rPr>
          <w:i/>
          <w:vertAlign w:val="baseline"/>
        </w:rPr>
        <w:t>p </w:t>
      </w:r>
      <w:r>
        <w:rPr>
          <w:vertAlign w:val="baseline"/>
        </w:rPr>
        <w:t>≤ 0.05 compared to diabetic control, split plot ANOVA and Bonferoni </w:t>
      </w:r>
      <w:r>
        <w:rPr>
          <w:i/>
          <w:vertAlign w:val="baseline"/>
        </w:rPr>
        <w:t>post hoc </w:t>
      </w:r>
      <w:r>
        <w:rPr>
          <w:vertAlign w:val="baseline"/>
        </w:rPr>
        <w:t>test, n = 5-8, Glim8pm+Nife8am = treated with glimepiride at 8 pm and nifedipine at 8 am; Glim8pm+Nife8pm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1"/>
          <w:numId w:val="17"/>
        </w:numPr>
        <w:tabs>
          <w:tab w:pos="1236" w:val="left" w:leader="none"/>
          <w:tab w:pos="1875" w:val="left" w:leader="none"/>
        </w:tabs>
        <w:spacing w:line="480" w:lineRule="auto" w:before="76" w:after="0"/>
        <w:ind w:left="1875" w:right="1361" w:hanging="1359"/>
        <w:jc w:val="both"/>
      </w:pPr>
      <w:bookmarkStart w:name="_TOC_250018" w:id="63"/>
      <w:r>
        <w:rPr/>
        <w:t>Effect</w:t>
      </w:r>
      <w:r>
        <w:rPr>
          <w:spacing w:val="-6"/>
        </w:rPr>
        <w:t> </w:t>
      </w:r>
      <w:r>
        <w:rPr/>
        <w:t>of</w:t>
      </w:r>
      <w:r>
        <w:rPr>
          <w:spacing w:val="-6"/>
        </w:rPr>
        <w:t> </w:t>
      </w:r>
      <w:r>
        <w:rPr/>
        <w:t>21-day</w:t>
      </w:r>
      <w:r>
        <w:rPr>
          <w:spacing w:val="-6"/>
        </w:rPr>
        <w:t> </w:t>
      </w:r>
      <w:r>
        <w:rPr/>
        <w:t>chronomodulated</w:t>
      </w:r>
      <w:r>
        <w:rPr>
          <w:spacing w:val="-6"/>
        </w:rPr>
        <w:t> </w:t>
      </w:r>
      <w:r>
        <w:rPr/>
        <w:t>nifedipine</w:t>
      </w:r>
      <w:r>
        <w:rPr>
          <w:spacing w:val="-7"/>
        </w:rPr>
        <w:t> </w:t>
      </w:r>
      <w:r>
        <w:rPr/>
        <w:t>administration</w:t>
      </w:r>
      <w:r>
        <w:rPr>
          <w:spacing w:val="-6"/>
        </w:rPr>
        <w:t> </w:t>
      </w:r>
      <w:r>
        <w:rPr/>
        <w:t>on</w:t>
      </w:r>
      <w:r>
        <w:rPr>
          <w:spacing w:val="-6"/>
        </w:rPr>
        <w:t> </w:t>
      </w:r>
      <w:bookmarkEnd w:id="63"/>
      <w:r>
        <w:rPr/>
        <w:t>peripheral neuropathy in glimepiride-treated hyperglycaemic rats</w:t>
      </w:r>
    </w:p>
    <w:p>
      <w:pPr>
        <w:pStyle w:val="Heading2"/>
        <w:numPr>
          <w:ilvl w:val="2"/>
          <w:numId w:val="17"/>
        </w:numPr>
        <w:tabs>
          <w:tab w:pos="1016" w:val="left" w:leader="none"/>
        </w:tabs>
        <w:spacing w:line="240" w:lineRule="auto" w:before="1" w:after="0"/>
        <w:ind w:left="1016" w:right="0" w:hanging="720"/>
        <w:jc w:val="both"/>
      </w:pPr>
      <w:bookmarkStart w:name="_TOC_250017" w:id="64"/>
      <w:r>
        <w:rPr/>
        <w:t>Paw</w:t>
      </w:r>
      <w:r>
        <w:rPr>
          <w:spacing w:val="-2"/>
        </w:rPr>
        <w:t> </w:t>
      </w:r>
      <w:r>
        <w:rPr/>
        <w:t>pressure</w:t>
      </w:r>
      <w:r>
        <w:rPr>
          <w:spacing w:val="-3"/>
        </w:rPr>
        <w:t> </w:t>
      </w:r>
      <w:bookmarkEnd w:id="64"/>
      <w:r>
        <w:rPr>
          <w:spacing w:val="-4"/>
        </w:rPr>
        <w:t>test</w:t>
      </w:r>
    </w:p>
    <w:p>
      <w:pPr>
        <w:pStyle w:val="BodyText"/>
        <w:spacing w:line="480" w:lineRule="auto" w:before="271"/>
        <w:ind w:left="296" w:right="1135"/>
        <w:jc w:val="both"/>
      </w:pPr>
      <w:r>
        <w:rPr/>
        <w:t>The paw pressure test results established the occurrence of peripheral neuropathy at the</w:t>
      </w:r>
      <w:r>
        <w:rPr>
          <w:spacing w:val="40"/>
        </w:rPr>
        <w:t> </w:t>
      </w:r>
      <w:r>
        <w:rPr/>
        <w:t>end of the first week of treatment manifested by significantly (</w:t>
      </w:r>
      <w:r>
        <w:rPr>
          <w:i/>
        </w:rPr>
        <w:t>p</w:t>
      </w:r>
      <w:r>
        <w:rPr/>
        <w:t>&lt;0.05) shorter paw withdrawal latency for all the diabetic groups when compared to the non-diabetic control. Treatment with glimepiride alone at 8 pm, and concurrent administration of glimepiride and nifedipine at 8 pm did not produce any significant difference in paw withdrawal latency on day 14 and 21 when compared to the initial values. However, treatment with glimepiride at 8 pm and nifedipine at 8 am revealed a significant (</w:t>
      </w:r>
      <w:r>
        <w:rPr>
          <w:i/>
        </w:rPr>
        <w:t>p</w:t>
      </w:r>
      <w:r>
        <w:rPr/>
        <w:t>&lt;0.05) and progressive increase in paw withdrawal latency on days 14 (82.40±3.68) and 21 (98.20±1.22) when compared to initial values (65.40±9.96) as shown on Table 4.2.</w:t>
      </w:r>
    </w:p>
    <w:p>
      <w:pPr>
        <w:spacing w:after="0" w:line="480" w:lineRule="auto"/>
        <w:jc w:val="both"/>
        <w:sectPr>
          <w:pgSz w:w="12240" w:h="15840"/>
          <w:pgMar w:header="0" w:footer="1015" w:top="1360" w:bottom="1200" w:left="1720" w:right="300"/>
        </w:sectPr>
      </w:pPr>
    </w:p>
    <w:p>
      <w:pPr>
        <w:spacing w:line="480" w:lineRule="auto" w:before="76" w:after="4"/>
        <w:ind w:left="296" w:right="1134" w:firstLine="0"/>
        <w:jc w:val="both"/>
        <w:rPr>
          <w:b/>
          <w:sz w:val="24"/>
        </w:rPr>
      </w:pPr>
      <w:r>
        <w:rPr>
          <w:b/>
          <w:sz w:val="24"/>
        </w:rPr>
        <w:t>Table</w:t>
      </w:r>
      <w:r>
        <w:rPr>
          <w:b/>
          <w:spacing w:val="-2"/>
          <w:sz w:val="24"/>
        </w:rPr>
        <w:t> </w:t>
      </w:r>
      <w:r>
        <w:rPr>
          <w:b/>
          <w:sz w:val="24"/>
        </w:rPr>
        <w:t>4.2</w:t>
      </w:r>
      <w:r>
        <w:rPr>
          <w:b/>
          <w:spacing w:val="80"/>
          <w:sz w:val="24"/>
        </w:rPr>
        <w:t> </w:t>
      </w:r>
      <w:r>
        <w:rPr>
          <w:b/>
          <w:sz w:val="24"/>
        </w:rPr>
        <w:t>Effect of 21-day chronomodulated nifedipine administration on</w:t>
      </w:r>
      <w:r>
        <w:rPr>
          <w:b/>
          <w:spacing w:val="80"/>
          <w:sz w:val="24"/>
        </w:rPr>
        <w:t> </w:t>
      </w:r>
      <w:r>
        <w:rPr>
          <w:b/>
          <w:sz w:val="24"/>
        </w:rPr>
        <w:t>mechanical hyperalgesia in glimepiride-treated hyperglycaemic rats</w:t>
      </w: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9"/>
        <w:gridCol w:w="1901"/>
        <w:gridCol w:w="2291"/>
        <w:gridCol w:w="2540"/>
      </w:tblGrid>
      <w:tr>
        <w:trPr>
          <w:trHeight w:val="1314" w:hRule="atLeast"/>
        </w:trPr>
        <w:tc>
          <w:tcPr>
            <w:tcW w:w="2279"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rPr>
                <w:sz w:val="24"/>
              </w:rPr>
            </w:pPr>
            <w:r>
              <w:rPr>
                <w:spacing w:val="-2"/>
                <w:sz w:val="24"/>
              </w:rPr>
              <w:t>Groups</w:t>
            </w:r>
          </w:p>
        </w:tc>
        <w:tc>
          <w:tcPr>
            <w:tcW w:w="1901"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ind w:left="171"/>
              <w:rPr>
                <w:sz w:val="24"/>
              </w:rPr>
            </w:pPr>
            <w:r>
              <w:rPr>
                <w:sz w:val="24"/>
              </w:rPr>
              <w:t>Day</w:t>
            </w:r>
            <w:r>
              <w:rPr>
                <w:spacing w:val="-2"/>
                <w:sz w:val="24"/>
              </w:rPr>
              <w:t> </w:t>
            </w:r>
            <w:r>
              <w:rPr>
                <w:spacing w:val="-10"/>
                <w:sz w:val="24"/>
              </w:rPr>
              <w:t>7</w:t>
            </w:r>
          </w:p>
        </w:tc>
        <w:tc>
          <w:tcPr>
            <w:tcW w:w="2291" w:type="dxa"/>
            <w:tcBorders>
              <w:top w:val="single" w:sz="4" w:space="0" w:color="000000"/>
              <w:bottom w:val="single" w:sz="4" w:space="0" w:color="000000"/>
            </w:tcBorders>
          </w:tcPr>
          <w:p>
            <w:pPr>
              <w:pStyle w:val="TableParagraph"/>
              <w:tabs>
                <w:tab w:pos="3383" w:val="left" w:leader="none"/>
              </w:tabs>
              <w:spacing w:line="560" w:lineRule="exact" w:before="10"/>
              <w:ind w:left="472" w:right="-1095" w:hanging="2204"/>
              <w:rPr>
                <w:sz w:val="24"/>
              </w:rPr>
            </w:pPr>
            <w:r>
              <w:rPr>
                <w:spacing w:val="80"/>
                <w:w w:val="150"/>
                <w:sz w:val="24"/>
                <w:u w:val="single"/>
              </w:rPr>
              <w:t>         </w:t>
            </w:r>
            <w:r>
              <w:rPr>
                <w:sz w:val="24"/>
                <w:u w:val="single"/>
              </w:rPr>
              <w:t>Force (g)</w:t>
              <w:tab/>
            </w:r>
            <w:r>
              <w:rPr>
                <w:sz w:val="24"/>
              </w:rPr>
              <w:t> Day 14</w:t>
            </w:r>
          </w:p>
        </w:tc>
        <w:tc>
          <w:tcPr>
            <w:tcW w:w="2540"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ind w:left="403"/>
              <w:rPr>
                <w:sz w:val="24"/>
              </w:rPr>
            </w:pPr>
            <w:r>
              <w:rPr>
                <w:sz w:val="24"/>
              </w:rPr>
              <w:t>Day</w:t>
            </w:r>
            <w:r>
              <w:rPr>
                <w:spacing w:val="-2"/>
                <w:sz w:val="24"/>
              </w:rPr>
              <w:t> </w:t>
            </w:r>
            <w:r>
              <w:rPr>
                <w:spacing w:val="-5"/>
                <w:sz w:val="24"/>
              </w:rPr>
              <w:t>21</w:t>
            </w:r>
          </w:p>
        </w:tc>
      </w:tr>
      <w:tr>
        <w:trPr>
          <w:trHeight w:val="736" w:hRule="atLeast"/>
        </w:trPr>
        <w:tc>
          <w:tcPr>
            <w:tcW w:w="2279" w:type="dxa"/>
            <w:tcBorders>
              <w:top w:val="single" w:sz="4" w:space="0" w:color="000000"/>
            </w:tcBorders>
          </w:tcPr>
          <w:p>
            <w:pPr>
              <w:pStyle w:val="TableParagraph"/>
              <w:spacing w:before="234"/>
              <w:rPr>
                <w:sz w:val="24"/>
              </w:rPr>
            </w:pPr>
            <w:r>
              <w:rPr>
                <w:sz w:val="24"/>
              </w:rPr>
              <w:t>Non-diabetic</w:t>
            </w:r>
            <w:r>
              <w:rPr>
                <w:spacing w:val="-5"/>
                <w:sz w:val="24"/>
              </w:rPr>
              <w:t> </w:t>
            </w:r>
            <w:r>
              <w:rPr>
                <w:spacing w:val="-2"/>
                <w:sz w:val="24"/>
              </w:rPr>
              <w:t>control</w:t>
            </w:r>
          </w:p>
        </w:tc>
        <w:tc>
          <w:tcPr>
            <w:tcW w:w="1901" w:type="dxa"/>
            <w:tcBorders>
              <w:top w:val="single" w:sz="4" w:space="0" w:color="000000"/>
            </w:tcBorders>
          </w:tcPr>
          <w:p>
            <w:pPr>
              <w:pStyle w:val="TableParagraph"/>
              <w:spacing w:before="234"/>
              <w:ind w:left="171"/>
              <w:rPr>
                <w:sz w:val="24"/>
              </w:rPr>
            </w:pPr>
            <w:r>
              <w:rPr>
                <w:spacing w:val="-2"/>
                <w:sz w:val="24"/>
              </w:rPr>
              <w:t>130.87±3.52</w:t>
            </w:r>
          </w:p>
        </w:tc>
        <w:tc>
          <w:tcPr>
            <w:tcW w:w="2291" w:type="dxa"/>
            <w:tcBorders>
              <w:top w:val="single" w:sz="4" w:space="0" w:color="000000"/>
            </w:tcBorders>
          </w:tcPr>
          <w:p>
            <w:pPr>
              <w:pStyle w:val="TableParagraph"/>
              <w:spacing w:before="234"/>
              <w:ind w:left="472"/>
              <w:rPr>
                <w:sz w:val="24"/>
              </w:rPr>
            </w:pPr>
            <w:r>
              <w:rPr>
                <w:spacing w:val="-2"/>
                <w:sz w:val="24"/>
              </w:rPr>
              <w:t>121.87±7.88</w:t>
            </w:r>
          </w:p>
        </w:tc>
        <w:tc>
          <w:tcPr>
            <w:tcW w:w="2540" w:type="dxa"/>
            <w:tcBorders>
              <w:top w:val="single" w:sz="4" w:space="0" w:color="000000"/>
            </w:tcBorders>
          </w:tcPr>
          <w:p>
            <w:pPr>
              <w:pStyle w:val="TableParagraph"/>
              <w:spacing w:before="234"/>
              <w:ind w:left="403"/>
              <w:rPr>
                <w:sz w:val="24"/>
              </w:rPr>
            </w:pPr>
            <w:r>
              <w:rPr>
                <w:spacing w:val="-2"/>
                <w:sz w:val="24"/>
              </w:rPr>
              <w:t>119.87±6.89</w:t>
            </w:r>
          </w:p>
        </w:tc>
      </w:tr>
      <w:tr>
        <w:trPr>
          <w:trHeight w:val="757" w:hRule="atLeast"/>
        </w:trPr>
        <w:tc>
          <w:tcPr>
            <w:tcW w:w="2279" w:type="dxa"/>
          </w:tcPr>
          <w:p>
            <w:pPr>
              <w:pStyle w:val="TableParagraph"/>
              <w:spacing w:before="256"/>
              <w:rPr>
                <w:sz w:val="24"/>
              </w:rPr>
            </w:pPr>
            <w:r>
              <w:rPr>
                <w:sz w:val="24"/>
              </w:rPr>
              <w:t>Diabetic</w:t>
            </w:r>
            <w:r>
              <w:rPr>
                <w:spacing w:val="-3"/>
                <w:sz w:val="24"/>
              </w:rPr>
              <w:t> </w:t>
            </w:r>
            <w:r>
              <w:rPr>
                <w:spacing w:val="-2"/>
                <w:sz w:val="24"/>
              </w:rPr>
              <w:t>control</w:t>
            </w:r>
          </w:p>
        </w:tc>
        <w:tc>
          <w:tcPr>
            <w:tcW w:w="1901" w:type="dxa"/>
          </w:tcPr>
          <w:p>
            <w:pPr>
              <w:pStyle w:val="TableParagraph"/>
              <w:spacing w:before="256"/>
              <w:ind w:left="171"/>
              <w:rPr>
                <w:sz w:val="24"/>
              </w:rPr>
            </w:pPr>
            <w:r>
              <w:rPr>
                <w:spacing w:val="-2"/>
                <w:sz w:val="24"/>
              </w:rPr>
              <w:t>77.14±2.51</w:t>
            </w:r>
            <w:r>
              <w:rPr>
                <w:spacing w:val="-2"/>
                <w:sz w:val="24"/>
                <w:vertAlign w:val="superscript"/>
              </w:rPr>
              <w:t>##</w:t>
            </w:r>
          </w:p>
        </w:tc>
        <w:tc>
          <w:tcPr>
            <w:tcW w:w="2291" w:type="dxa"/>
          </w:tcPr>
          <w:p>
            <w:pPr>
              <w:pStyle w:val="TableParagraph"/>
              <w:spacing w:before="256"/>
              <w:ind w:left="472"/>
              <w:rPr>
                <w:sz w:val="24"/>
              </w:rPr>
            </w:pPr>
            <w:r>
              <w:rPr>
                <w:spacing w:val="-2"/>
                <w:sz w:val="24"/>
              </w:rPr>
              <w:t>42.71±3.49**</w:t>
            </w:r>
            <w:r>
              <w:rPr>
                <w:spacing w:val="-2"/>
                <w:sz w:val="24"/>
                <w:vertAlign w:val="superscript"/>
              </w:rPr>
              <w:t>#</w:t>
            </w:r>
          </w:p>
        </w:tc>
        <w:tc>
          <w:tcPr>
            <w:tcW w:w="2540" w:type="dxa"/>
          </w:tcPr>
          <w:p>
            <w:pPr>
              <w:pStyle w:val="TableParagraph"/>
              <w:spacing w:before="256"/>
              <w:ind w:left="403"/>
              <w:rPr>
                <w:sz w:val="24"/>
              </w:rPr>
            </w:pPr>
            <w:r>
              <w:rPr>
                <w:spacing w:val="-2"/>
                <w:sz w:val="24"/>
              </w:rPr>
              <w:t>32.28±0.89**</w:t>
            </w:r>
            <w:r>
              <w:rPr>
                <w:spacing w:val="-2"/>
                <w:sz w:val="24"/>
                <w:vertAlign w:val="superscript"/>
              </w:rPr>
              <w:t>##</w:t>
            </w:r>
          </w:p>
        </w:tc>
      </w:tr>
      <w:tr>
        <w:trPr>
          <w:trHeight w:val="757" w:hRule="atLeast"/>
        </w:trPr>
        <w:tc>
          <w:tcPr>
            <w:tcW w:w="2279" w:type="dxa"/>
          </w:tcPr>
          <w:p>
            <w:pPr>
              <w:pStyle w:val="TableParagraph"/>
              <w:spacing w:before="255"/>
              <w:rPr>
                <w:sz w:val="24"/>
              </w:rPr>
            </w:pPr>
            <w:r>
              <w:rPr>
                <w:sz w:val="24"/>
              </w:rPr>
              <w:t>Glimepiride</w:t>
            </w:r>
            <w:r>
              <w:rPr>
                <w:spacing w:val="-2"/>
                <w:sz w:val="24"/>
              </w:rPr>
              <w:t> </w:t>
            </w:r>
            <w:r>
              <w:rPr>
                <w:sz w:val="24"/>
              </w:rPr>
              <w:t>8 </w:t>
            </w:r>
            <w:r>
              <w:rPr>
                <w:spacing w:val="-5"/>
                <w:sz w:val="24"/>
              </w:rPr>
              <w:t>pm</w:t>
            </w:r>
          </w:p>
        </w:tc>
        <w:tc>
          <w:tcPr>
            <w:tcW w:w="1901" w:type="dxa"/>
          </w:tcPr>
          <w:p>
            <w:pPr>
              <w:pStyle w:val="TableParagraph"/>
              <w:spacing w:before="255"/>
              <w:ind w:left="171"/>
              <w:rPr>
                <w:sz w:val="24"/>
              </w:rPr>
            </w:pPr>
            <w:r>
              <w:rPr>
                <w:spacing w:val="-2"/>
                <w:sz w:val="24"/>
              </w:rPr>
              <w:t>67.57±5.85</w:t>
            </w:r>
            <w:r>
              <w:rPr>
                <w:spacing w:val="-2"/>
                <w:sz w:val="24"/>
                <w:vertAlign w:val="superscript"/>
              </w:rPr>
              <w:t>##</w:t>
            </w:r>
          </w:p>
        </w:tc>
        <w:tc>
          <w:tcPr>
            <w:tcW w:w="2291" w:type="dxa"/>
          </w:tcPr>
          <w:p>
            <w:pPr>
              <w:pStyle w:val="TableParagraph"/>
              <w:spacing w:before="255"/>
              <w:ind w:left="472"/>
              <w:rPr>
                <w:sz w:val="24"/>
              </w:rPr>
            </w:pPr>
            <w:r>
              <w:rPr>
                <w:spacing w:val="-2"/>
                <w:sz w:val="24"/>
              </w:rPr>
              <w:t>53.42±5.88</w:t>
            </w:r>
            <w:r>
              <w:rPr>
                <w:spacing w:val="-2"/>
                <w:sz w:val="24"/>
                <w:vertAlign w:val="superscript"/>
              </w:rPr>
              <w:t>#</w:t>
            </w:r>
          </w:p>
        </w:tc>
        <w:tc>
          <w:tcPr>
            <w:tcW w:w="2540" w:type="dxa"/>
          </w:tcPr>
          <w:p>
            <w:pPr>
              <w:pStyle w:val="TableParagraph"/>
              <w:spacing w:before="255"/>
              <w:ind w:left="403"/>
              <w:rPr>
                <w:sz w:val="24"/>
              </w:rPr>
            </w:pPr>
            <w:r>
              <w:rPr>
                <w:spacing w:val="-2"/>
                <w:sz w:val="24"/>
              </w:rPr>
              <w:t>48.42±3.47</w:t>
            </w:r>
            <w:r>
              <w:rPr>
                <w:spacing w:val="-2"/>
                <w:sz w:val="24"/>
                <w:vertAlign w:val="superscript"/>
              </w:rPr>
              <w:t>##</w:t>
            </w:r>
          </w:p>
        </w:tc>
      </w:tr>
      <w:tr>
        <w:trPr>
          <w:trHeight w:val="757" w:hRule="atLeast"/>
        </w:trPr>
        <w:tc>
          <w:tcPr>
            <w:tcW w:w="2279" w:type="dxa"/>
          </w:tcPr>
          <w:p>
            <w:pPr>
              <w:pStyle w:val="TableParagraph"/>
              <w:spacing w:before="256"/>
              <w:rPr>
                <w:sz w:val="24"/>
              </w:rPr>
            </w:pPr>
            <w:r>
              <w:rPr>
                <w:spacing w:val="-2"/>
                <w:sz w:val="24"/>
              </w:rPr>
              <w:t>Glim8pm+Nife8pm</w:t>
            </w:r>
          </w:p>
        </w:tc>
        <w:tc>
          <w:tcPr>
            <w:tcW w:w="1901" w:type="dxa"/>
          </w:tcPr>
          <w:p>
            <w:pPr>
              <w:pStyle w:val="TableParagraph"/>
              <w:spacing w:before="256"/>
              <w:ind w:left="171"/>
              <w:rPr>
                <w:sz w:val="24"/>
              </w:rPr>
            </w:pPr>
            <w:r>
              <w:rPr>
                <w:spacing w:val="-2"/>
                <w:sz w:val="24"/>
              </w:rPr>
              <w:t>89.00±5.24</w:t>
            </w:r>
            <w:r>
              <w:rPr>
                <w:spacing w:val="-2"/>
                <w:sz w:val="24"/>
                <w:vertAlign w:val="superscript"/>
              </w:rPr>
              <w:t>##</w:t>
            </w:r>
          </w:p>
        </w:tc>
        <w:tc>
          <w:tcPr>
            <w:tcW w:w="2291" w:type="dxa"/>
          </w:tcPr>
          <w:p>
            <w:pPr>
              <w:pStyle w:val="TableParagraph"/>
              <w:spacing w:before="256"/>
              <w:ind w:left="472"/>
              <w:rPr>
                <w:sz w:val="24"/>
              </w:rPr>
            </w:pPr>
            <w:r>
              <w:rPr>
                <w:spacing w:val="-2"/>
                <w:sz w:val="24"/>
              </w:rPr>
              <w:t>71.80±8.81</w:t>
            </w:r>
          </w:p>
        </w:tc>
        <w:tc>
          <w:tcPr>
            <w:tcW w:w="2540" w:type="dxa"/>
          </w:tcPr>
          <w:p>
            <w:pPr>
              <w:pStyle w:val="TableParagraph"/>
              <w:spacing w:before="256"/>
              <w:ind w:left="403"/>
              <w:rPr>
                <w:sz w:val="24"/>
              </w:rPr>
            </w:pPr>
            <w:r>
              <w:rPr>
                <w:spacing w:val="-2"/>
                <w:sz w:val="24"/>
              </w:rPr>
              <w:t>58.20±4.40*</w:t>
            </w:r>
            <w:r>
              <w:rPr>
                <w:spacing w:val="-2"/>
                <w:sz w:val="24"/>
                <w:vertAlign w:val="superscript"/>
              </w:rPr>
              <w:t>##</w:t>
            </w:r>
          </w:p>
        </w:tc>
      </w:tr>
      <w:tr>
        <w:trPr>
          <w:trHeight w:val="778" w:hRule="atLeast"/>
        </w:trPr>
        <w:tc>
          <w:tcPr>
            <w:tcW w:w="2279" w:type="dxa"/>
            <w:tcBorders>
              <w:bottom w:val="single" w:sz="4" w:space="0" w:color="000000"/>
            </w:tcBorders>
          </w:tcPr>
          <w:p>
            <w:pPr>
              <w:pStyle w:val="TableParagraph"/>
              <w:spacing w:before="255"/>
              <w:rPr>
                <w:sz w:val="24"/>
              </w:rPr>
            </w:pPr>
            <w:r>
              <w:rPr>
                <w:spacing w:val="-2"/>
                <w:sz w:val="24"/>
              </w:rPr>
              <w:t>Glim8pm+Nife8am</w:t>
            </w:r>
          </w:p>
        </w:tc>
        <w:tc>
          <w:tcPr>
            <w:tcW w:w="1901" w:type="dxa"/>
            <w:tcBorders>
              <w:bottom w:val="single" w:sz="4" w:space="0" w:color="000000"/>
            </w:tcBorders>
          </w:tcPr>
          <w:p>
            <w:pPr>
              <w:pStyle w:val="TableParagraph"/>
              <w:spacing w:before="255"/>
              <w:ind w:left="171"/>
              <w:rPr>
                <w:sz w:val="24"/>
              </w:rPr>
            </w:pPr>
            <w:r>
              <w:rPr>
                <w:spacing w:val="-2"/>
                <w:sz w:val="24"/>
              </w:rPr>
              <w:t>65.40±9.96</w:t>
            </w:r>
            <w:r>
              <w:rPr>
                <w:spacing w:val="-2"/>
                <w:sz w:val="24"/>
                <w:vertAlign w:val="superscript"/>
              </w:rPr>
              <w:t>##</w:t>
            </w:r>
          </w:p>
        </w:tc>
        <w:tc>
          <w:tcPr>
            <w:tcW w:w="2291" w:type="dxa"/>
            <w:tcBorders>
              <w:bottom w:val="single" w:sz="4" w:space="0" w:color="000000"/>
            </w:tcBorders>
          </w:tcPr>
          <w:p>
            <w:pPr>
              <w:pStyle w:val="TableParagraph"/>
              <w:spacing w:before="255"/>
              <w:ind w:left="472"/>
              <w:rPr>
                <w:sz w:val="24"/>
              </w:rPr>
            </w:pPr>
            <w:r>
              <w:rPr>
                <w:spacing w:val="-2"/>
                <w:sz w:val="24"/>
              </w:rPr>
              <w:t>82.40±3.68*</w:t>
            </w:r>
            <w:r>
              <w:rPr>
                <w:spacing w:val="-2"/>
                <w:sz w:val="24"/>
                <w:vertAlign w:val="superscript"/>
              </w:rPr>
              <w:t>a</w:t>
            </w:r>
          </w:p>
        </w:tc>
        <w:tc>
          <w:tcPr>
            <w:tcW w:w="2540" w:type="dxa"/>
            <w:tcBorders>
              <w:bottom w:val="single" w:sz="4" w:space="0" w:color="000000"/>
            </w:tcBorders>
          </w:tcPr>
          <w:p>
            <w:pPr>
              <w:pStyle w:val="TableParagraph"/>
              <w:spacing w:before="255"/>
              <w:ind w:left="403"/>
              <w:rPr>
                <w:sz w:val="24"/>
              </w:rPr>
            </w:pPr>
            <w:r>
              <w:rPr>
                <w:spacing w:val="-2"/>
                <w:sz w:val="24"/>
              </w:rPr>
              <w:t>98.20±1.22*</w:t>
            </w:r>
            <w:r>
              <w:rPr>
                <w:spacing w:val="-2"/>
                <w:sz w:val="24"/>
                <w:vertAlign w:val="superscript"/>
              </w:rPr>
              <w:t>#</w:t>
            </w:r>
            <w:r>
              <w:rPr>
                <w:spacing w:val="-2"/>
                <w:sz w:val="24"/>
                <w:vertAlign w:val="superscript"/>
              </w:rPr>
              <w:t>#</w:t>
            </w:r>
            <w:r>
              <w:rPr>
                <w:spacing w:val="-2"/>
                <w:sz w:val="24"/>
                <w:vertAlign w:val="superscript"/>
              </w:rPr>
              <w:t>a</w:t>
            </w:r>
          </w:p>
        </w:tc>
      </w:tr>
    </w:tbl>
    <w:p>
      <w:pPr>
        <w:pStyle w:val="BodyText"/>
        <w:spacing w:before="273"/>
        <w:rPr>
          <w:b/>
        </w:rPr>
      </w:pPr>
    </w:p>
    <w:p>
      <w:pPr>
        <w:pStyle w:val="BodyText"/>
        <w:spacing w:line="360" w:lineRule="auto"/>
        <w:ind w:left="296" w:right="1135"/>
        <w:jc w:val="both"/>
      </w:pPr>
      <w:r>
        <w:rPr/>
        <w:t>Data</w:t>
      </w:r>
      <w:r>
        <w:rPr>
          <w:spacing w:val="-1"/>
        </w:rPr>
        <w:t> </w:t>
      </w:r>
      <w:r>
        <w:rPr/>
        <w:t>are</w:t>
      </w:r>
      <w:r>
        <w:rPr>
          <w:spacing w:val="-1"/>
        </w:rPr>
        <w:t> </w:t>
      </w:r>
      <w:r>
        <w:rPr/>
        <w:t>mean ± SEM, *</w:t>
      </w:r>
      <w:r>
        <w:rPr>
          <w:spacing w:val="-2"/>
        </w:rPr>
        <w:t> </w:t>
      </w:r>
      <w:r>
        <w:rPr/>
        <w:t>= </w:t>
      </w:r>
      <w:r>
        <w:rPr>
          <w:i/>
        </w:rPr>
        <w:t>p </w:t>
      </w:r>
      <w:r>
        <w:rPr/>
        <w:t>≤ 0.05 compared to day</w:t>
      </w:r>
      <w:r>
        <w:rPr>
          <w:spacing w:val="-5"/>
        </w:rPr>
        <w:t> </w:t>
      </w:r>
      <w:r>
        <w:rPr/>
        <w:t>seven, ** = </w:t>
      </w:r>
      <w:r>
        <w:rPr>
          <w:i/>
        </w:rPr>
        <w:t>p </w:t>
      </w:r>
      <w:r>
        <w:rPr/>
        <w:t>≤ 0.01 compared to day seven, </w:t>
      </w:r>
      <w:r>
        <w:rPr>
          <w:vertAlign w:val="superscript"/>
        </w:rPr>
        <w:t>#</w:t>
      </w:r>
      <w:r>
        <w:rPr>
          <w:vertAlign w:val="baseline"/>
        </w:rPr>
        <w:t> = </w:t>
      </w:r>
      <w:r>
        <w:rPr>
          <w:i/>
          <w:vertAlign w:val="baseline"/>
        </w:rPr>
        <w:t>p </w:t>
      </w:r>
      <w:r>
        <w:rPr>
          <w:vertAlign w:val="baseline"/>
        </w:rPr>
        <w:t>≤ 0.05 compared to non-diabetic control, </w:t>
      </w:r>
      <w:r>
        <w:rPr>
          <w:vertAlign w:val="superscript"/>
        </w:rPr>
        <w:t>##</w:t>
      </w:r>
      <w:r>
        <w:rPr>
          <w:vertAlign w:val="baseline"/>
        </w:rPr>
        <w:t> = </w:t>
      </w:r>
      <w:r>
        <w:rPr>
          <w:i/>
          <w:vertAlign w:val="baseline"/>
        </w:rPr>
        <w:t>p </w:t>
      </w:r>
      <w:r>
        <w:rPr>
          <w:vertAlign w:val="baseline"/>
        </w:rPr>
        <w:t>≤ 0.01 compared to non- diabetic control </w:t>
      </w:r>
      <w:r>
        <w:rPr>
          <w:vertAlign w:val="superscript"/>
        </w:rPr>
        <w:t>a</w:t>
      </w:r>
      <w:r>
        <w:rPr>
          <w:vertAlign w:val="baseline"/>
        </w:rPr>
        <w:t> = </w:t>
      </w:r>
      <w:r>
        <w:rPr>
          <w:i/>
          <w:vertAlign w:val="baseline"/>
        </w:rPr>
        <w:t>p </w:t>
      </w:r>
      <w:r>
        <w:rPr>
          <w:vertAlign w:val="baseline"/>
        </w:rPr>
        <w:t>≤ 0.05 compared to diabetic control, split plot ANOVA and</w:t>
      </w:r>
      <w:r>
        <w:rPr>
          <w:spacing w:val="40"/>
          <w:vertAlign w:val="baseline"/>
        </w:rPr>
        <w:t> </w:t>
      </w:r>
      <w:r>
        <w:rPr>
          <w:vertAlign w:val="baseline"/>
        </w:rPr>
        <w:t>Bonferoni </w:t>
      </w:r>
      <w:r>
        <w:rPr>
          <w:i/>
          <w:vertAlign w:val="baseline"/>
        </w:rPr>
        <w:t>post hoc </w:t>
      </w:r>
      <w:r>
        <w:rPr>
          <w:vertAlign w:val="baseline"/>
        </w:rPr>
        <w:t>test, n = 5-8, Glim8pm+Nife8am = treated with glimepiride at 8 pm</w:t>
      </w:r>
      <w:r>
        <w:rPr>
          <w:spacing w:val="40"/>
          <w:vertAlign w:val="baseline"/>
        </w:rPr>
        <w:t> </w:t>
      </w:r>
      <w:r>
        <w:rPr>
          <w:vertAlign w:val="baseline"/>
        </w:rPr>
        <w:t>and nifedipine at 8 am; Glim8pm+Nife8pm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2"/>
          <w:numId w:val="17"/>
        </w:numPr>
        <w:tabs>
          <w:tab w:pos="1016" w:val="left" w:leader="none"/>
        </w:tabs>
        <w:spacing w:line="480" w:lineRule="auto" w:before="76" w:after="0"/>
        <w:ind w:left="296" w:right="1139" w:firstLine="0"/>
        <w:jc w:val="both"/>
      </w:pPr>
      <w:bookmarkStart w:name="_TOC_250016" w:id="65"/>
      <w:bookmarkEnd w:id="65"/>
      <w:r>
        <w:rPr/>
        <w:t>Effect of 21-day chronomodulated nifedipine administration on thermal hyperalgesia in glimepiride-treated hyperglycaemic rats</w:t>
      </w:r>
    </w:p>
    <w:p>
      <w:pPr>
        <w:pStyle w:val="BodyText"/>
        <w:spacing w:line="480" w:lineRule="auto"/>
        <w:ind w:left="296" w:right="1136"/>
        <w:jc w:val="both"/>
      </w:pPr>
      <w:r>
        <w:rPr/>
        <w:t>The tail immersion test results established the occurrence of peripheral neuropathy at the end of the first week of treatment manifested by a significantly (</w:t>
      </w:r>
      <w:r>
        <w:rPr>
          <w:i/>
        </w:rPr>
        <w:t>p</w:t>
      </w:r>
      <w:r>
        <w:rPr/>
        <w:t>&lt;0.05) shorter tail flick latency for all the diabetic groups when compared to the non-diabetic control. Treatment with glimepiride alone at 8 pm, and concurrent administration of glimepiride and</w:t>
      </w:r>
      <w:r>
        <w:rPr>
          <w:spacing w:val="40"/>
        </w:rPr>
        <w:t> </w:t>
      </w:r>
      <w:r>
        <w:rPr/>
        <w:t>nifedipine at 8 pm did not produce any significant change in tail flick latency in the successive weeks when compared to the initial values. However, treatment with glimepiride at 8 pm and nifedipine at 8 am revealed a significant (</w:t>
      </w:r>
      <w:r>
        <w:rPr>
          <w:i/>
        </w:rPr>
        <w:t>p</w:t>
      </w:r>
      <w:r>
        <w:rPr/>
        <w:t>&lt;0.05) and progressive increase in tail flick latency days 14 (5.20±0.80) and 21 (5.60±0.50) when compared to initial values (3.00±0.31) as shown in Table 4.3.</w:t>
      </w:r>
    </w:p>
    <w:p>
      <w:pPr>
        <w:spacing w:after="0" w:line="480" w:lineRule="auto"/>
        <w:jc w:val="both"/>
        <w:sectPr>
          <w:pgSz w:w="12240" w:h="15840"/>
          <w:pgMar w:header="0" w:footer="1015" w:top="1360" w:bottom="1200" w:left="1720" w:right="300"/>
        </w:sectPr>
      </w:pPr>
    </w:p>
    <w:p>
      <w:pPr>
        <w:spacing w:line="480" w:lineRule="auto" w:before="76" w:after="4"/>
        <w:ind w:left="296" w:right="1135" w:firstLine="0"/>
        <w:jc w:val="both"/>
        <w:rPr>
          <w:b/>
          <w:sz w:val="24"/>
        </w:rPr>
      </w:pPr>
      <w:r>
        <w:rPr>
          <w:b/>
          <w:sz w:val="24"/>
        </w:rPr>
        <w:t>Table</w:t>
      </w:r>
      <w:r>
        <w:rPr>
          <w:b/>
          <w:spacing w:val="-2"/>
          <w:sz w:val="24"/>
        </w:rPr>
        <w:t> </w:t>
      </w:r>
      <w:r>
        <w:rPr>
          <w:b/>
          <w:sz w:val="24"/>
        </w:rPr>
        <w:t>4.3</w:t>
      </w:r>
      <w:r>
        <w:rPr>
          <w:b/>
          <w:spacing w:val="80"/>
          <w:sz w:val="24"/>
        </w:rPr>
        <w:t>  </w:t>
      </w:r>
      <w:r>
        <w:rPr>
          <w:b/>
          <w:sz w:val="24"/>
        </w:rPr>
        <w:t>Effect</w:t>
      </w:r>
      <w:r>
        <w:rPr>
          <w:b/>
          <w:spacing w:val="40"/>
          <w:sz w:val="24"/>
        </w:rPr>
        <w:t> </w:t>
      </w:r>
      <w:r>
        <w:rPr>
          <w:b/>
          <w:sz w:val="24"/>
        </w:rPr>
        <w:t>of</w:t>
      </w:r>
      <w:r>
        <w:rPr>
          <w:b/>
          <w:spacing w:val="40"/>
          <w:sz w:val="24"/>
        </w:rPr>
        <w:t> </w:t>
      </w:r>
      <w:r>
        <w:rPr>
          <w:b/>
          <w:sz w:val="24"/>
        </w:rPr>
        <w:t>21-day</w:t>
      </w:r>
      <w:r>
        <w:rPr>
          <w:b/>
          <w:spacing w:val="40"/>
          <w:sz w:val="24"/>
        </w:rPr>
        <w:t> </w:t>
      </w:r>
      <w:r>
        <w:rPr>
          <w:b/>
          <w:sz w:val="24"/>
        </w:rPr>
        <w:t>chronomodulated</w:t>
      </w:r>
      <w:r>
        <w:rPr>
          <w:b/>
          <w:spacing w:val="40"/>
          <w:sz w:val="24"/>
        </w:rPr>
        <w:t> </w:t>
      </w:r>
      <w:r>
        <w:rPr>
          <w:b/>
          <w:sz w:val="24"/>
        </w:rPr>
        <w:t>nifedipine</w:t>
      </w:r>
      <w:r>
        <w:rPr>
          <w:b/>
          <w:spacing w:val="40"/>
          <w:sz w:val="24"/>
        </w:rPr>
        <w:t> </w:t>
      </w:r>
      <w:r>
        <w:rPr>
          <w:b/>
          <w:sz w:val="24"/>
        </w:rPr>
        <w:t>administration</w:t>
      </w:r>
      <w:r>
        <w:rPr>
          <w:b/>
          <w:spacing w:val="40"/>
          <w:sz w:val="24"/>
        </w:rPr>
        <w:t> </w:t>
      </w:r>
      <w:r>
        <w:rPr>
          <w:b/>
          <w:sz w:val="24"/>
        </w:rPr>
        <w:t>on</w:t>
      </w:r>
      <w:r>
        <w:rPr>
          <w:b/>
          <w:spacing w:val="40"/>
          <w:sz w:val="24"/>
        </w:rPr>
        <w:t> </w:t>
      </w:r>
      <w:r>
        <w:rPr>
          <w:b/>
          <w:sz w:val="24"/>
        </w:rPr>
        <w:t>thermal hyperalgesia in glimepiride-treated hyperglycaemic rats</w:t>
      </w: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2"/>
        <w:gridCol w:w="1851"/>
        <w:gridCol w:w="2471"/>
        <w:gridCol w:w="2405"/>
      </w:tblGrid>
      <w:tr>
        <w:trPr>
          <w:trHeight w:val="1314" w:hRule="atLeast"/>
        </w:trPr>
        <w:tc>
          <w:tcPr>
            <w:tcW w:w="2282"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rPr>
                <w:sz w:val="24"/>
              </w:rPr>
            </w:pPr>
            <w:r>
              <w:rPr>
                <w:spacing w:val="-2"/>
                <w:sz w:val="24"/>
              </w:rPr>
              <w:t>Groups</w:t>
            </w:r>
          </w:p>
        </w:tc>
        <w:tc>
          <w:tcPr>
            <w:tcW w:w="1851"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ind w:left="176"/>
              <w:rPr>
                <w:sz w:val="24"/>
              </w:rPr>
            </w:pPr>
            <w:r>
              <w:rPr>
                <w:sz w:val="24"/>
              </w:rPr>
              <w:t>Day</w:t>
            </w:r>
            <w:r>
              <w:rPr>
                <w:spacing w:val="-2"/>
                <w:sz w:val="24"/>
              </w:rPr>
              <w:t> </w:t>
            </w:r>
            <w:r>
              <w:rPr>
                <w:spacing w:val="-10"/>
                <w:sz w:val="24"/>
              </w:rPr>
              <w:t>7</w:t>
            </w:r>
          </w:p>
        </w:tc>
        <w:tc>
          <w:tcPr>
            <w:tcW w:w="2471" w:type="dxa"/>
            <w:tcBorders>
              <w:top w:val="single" w:sz="4" w:space="0" w:color="000000"/>
              <w:bottom w:val="single" w:sz="4" w:space="0" w:color="000000"/>
            </w:tcBorders>
          </w:tcPr>
          <w:p>
            <w:pPr>
              <w:pStyle w:val="TableParagraph"/>
              <w:tabs>
                <w:tab w:pos="3670" w:val="left" w:leader="none"/>
              </w:tabs>
              <w:spacing w:before="234"/>
              <w:ind w:left="-1445" w:right="-1210"/>
              <w:rPr>
                <w:sz w:val="24"/>
              </w:rPr>
            </w:pPr>
            <w:r>
              <w:rPr>
                <w:spacing w:val="75"/>
                <w:w w:val="150"/>
                <w:sz w:val="24"/>
                <w:u w:val="single"/>
              </w:rPr>
              <w:t>            </w:t>
            </w:r>
            <w:r>
              <w:rPr>
                <w:sz w:val="24"/>
                <w:u w:val="single"/>
              </w:rPr>
              <w:t>Reaction</w:t>
            </w:r>
            <w:r>
              <w:rPr>
                <w:spacing w:val="2"/>
                <w:sz w:val="24"/>
                <w:u w:val="single"/>
              </w:rPr>
              <w:t> </w:t>
            </w:r>
            <w:r>
              <w:rPr>
                <w:sz w:val="24"/>
                <w:u w:val="single"/>
              </w:rPr>
              <w:t>time </w:t>
            </w:r>
            <w:r>
              <w:rPr>
                <w:spacing w:val="-5"/>
                <w:sz w:val="24"/>
                <w:u w:val="single"/>
              </w:rPr>
              <w:t>(s)</w:t>
            </w:r>
            <w:r>
              <w:rPr>
                <w:sz w:val="24"/>
                <w:u w:val="single"/>
              </w:rPr>
              <w:tab/>
            </w:r>
          </w:p>
          <w:p>
            <w:pPr>
              <w:pStyle w:val="TableParagraph"/>
              <w:spacing w:before="7"/>
              <w:ind w:left="0"/>
              <w:rPr>
                <w:b/>
                <w:sz w:val="24"/>
              </w:rPr>
            </w:pPr>
          </w:p>
          <w:p>
            <w:pPr>
              <w:pStyle w:val="TableParagraph"/>
              <w:ind w:left="540"/>
              <w:rPr>
                <w:sz w:val="24"/>
              </w:rPr>
            </w:pPr>
            <w:r>
              <w:rPr>
                <w:sz w:val="24"/>
              </w:rPr>
              <w:t>Day</w:t>
            </w:r>
            <w:r>
              <w:rPr>
                <w:spacing w:val="-2"/>
                <w:sz w:val="24"/>
              </w:rPr>
              <w:t> </w:t>
            </w:r>
            <w:r>
              <w:rPr>
                <w:spacing w:val="-5"/>
                <w:sz w:val="24"/>
              </w:rPr>
              <w:t>14</w:t>
            </w:r>
          </w:p>
        </w:tc>
        <w:tc>
          <w:tcPr>
            <w:tcW w:w="2405" w:type="dxa"/>
            <w:tcBorders>
              <w:top w:val="single" w:sz="4" w:space="0" w:color="000000"/>
              <w:bottom w:val="single" w:sz="4" w:space="0" w:color="000000"/>
            </w:tcBorders>
          </w:tcPr>
          <w:p>
            <w:pPr>
              <w:pStyle w:val="TableParagraph"/>
              <w:ind w:left="0"/>
              <w:rPr>
                <w:b/>
                <w:sz w:val="24"/>
              </w:rPr>
            </w:pPr>
          </w:p>
          <w:p>
            <w:pPr>
              <w:pStyle w:val="TableParagraph"/>
              <w:spacing w:before="241"/>
              <w:ind w:left="0"/>
              <w:rPr>
                <w:b/>
                <w:sz w:val="24"/>
              </w:rPr>
            </w:pPr>
          </w:p>
          <w:p>
            <w:pPr>
              <w:pStyle w:val="TableParagraph"/>
              <w:ind w:left="280"/>
              <w:rPr>
                <w:sz w:val="24"/>
              </w:rPr>
            </w:pPr>
            <w:r>
              <w:rPr>
                <w:sz w:val="24"/>
              </w:rPr>
              <w:t>Day</w:t>
            </w:r>
            <w:r>
              <w:rPr>
                <w:spacing w:val="-2"/>
                <w:sz w:val="24"/>
              </w:rPr>
              <w:t> </w:t>
            </w:r>
            <w:r>
              <w:rPr>
                <w:spacing w:val="-5"/>
                <w:sz w:val="24"/>
              </w:rPr>
              <w:t>21</w:t>
            </w:r>
          </w:p>
        </w:tc>
      </w:tr>
      <w:tr>
        <w:trPr>
          <w:trHeight w:val="736" w:hRule="atLeast"/>
        </w:trPr>
        <w:tc>
          <w:tcPr>
            <w:tcW w:w="2282" w:type="dxa"/>
            <w:tcBorders>
              <w:top w:val="single" w:sz="4" w:space="0" w:color="000000"/>
            </w:tcBorders>
          </w:tcPr>
          <w:p>
            <w:pPr>
              <w:pStyle w:val="TableParagraph"/>
              <w:spacing w:before="234"/>
              <w:rPr>
                <w:sz w:val="24"/>
              </w:rPr>
            </w:pPr>
            <w:r>
              <w:rPr>
                <w:sz w:val="24"/>
              </w:rPr>
              <w:t>Non-diabetic</w:t>
            </w:r>
            <w:r>
              <w:rPr>
                <w:spacing w:val="-5"/>
                <w:sz w:val="24"/>
              </w:rPr>
              <w:t> </w:t>
            </w:r>
            <w:r>
              <w:rPr>
                <w:spacing w:val="-2"/>
                <w:sz w:val="24"/>
              </w:rPr>
              <w:t>control</w:t>
            </w:r>
          </w:p>
        </w:tc>
        <w:tc>
          <w:tcPr>
            <w:tcW w:w="1851" w:type="dxa"/>
            <w:tcBorders>
              <w:top w:val="single" w:sz="4" w:space="0" w:color="000000"/>
            </w:tcBorders>
          </w:tcPr>
          <w:p>
            <w:pPr>
              <w:pStyle w:val="TableParagraph"/>
              <w:spacing w:before="234"/>
              <w:ind w:left="176"/>
              <w:rPr>
                <w:sz w:val="24"/>
              </w:rPr>
            </w:pPr>
            <w:r>
              <w:rPr>
                <w:spacing w:val="-2"/>
                <w:sz w:val="24"/>
              </w:rPr>
              <w:t>7.89±0.42</w:t>
            </w:r>
          </w:p>
        </w:tc>
        <w:tc>
          <w:tcPr>
            <w:tcW w:w="2471" w:type="dxa"/>
            <w:tcBorders>
              <w:top w:val="single" w:sz="4" w:space="0" w:color="000000"/>
            </w:tcBorders>
          </w:tcPr>
          <w:p>
            <w:pPr>
              <w:pStyle w:val="TableParagraph"/>
              <w:spacing w:before="234"/>
              <w:ind w:left="540"/>
              <w:rPr>
                <w:sz w:val="24"/>
              </w:rPr>
            </w:pPr>
            <w:r>
              <w:rPr>
                <w:spacing w:val="-2"/>
                <w:sz w:val="24"/>
              </w:rPr>
              <w:t>7.75±0.52</w:t>
            </w:r>
          </w:p>
        </w:tc>
        <w:tc>
          <w:tcPr>
            <w:tcW w:w="2405" w:type="dxa"/>
            <w:tcBorders>
              <w:top w:val="single" w:sz="4" w:space="0" w:color="000000"/>
            </w:tcBorders>
          </w:tcPr>
          <w:p>
            <w:pPr>
              <w:pStyle w:val="TableParagraph"/>
              <w:spacing w:before="234"/>
              <w:ind w:left="280"/>
              <w:rPr>
                <w:sz w:val="24"/>
              </w:rPr>
            </w:pPr>
            <w:r>
              <w:rPr>
                <w:spacing w:val="-2"/>
                <w:sz w:val="24"/>
              </w:rPr>
              <w:t>7.75±0.45</w:t>
            </w:r>
          </w:p>
        </w:tc>
      </w:tr>
      <w:tr>
        <w:trPr>
          <w:trHeight w:val="757" w:hRule="atLeast"/>
        </w:trPr>
        <w:tc>
          <w:tcPr>
            <w:tcW w:w="2282" w:type="dxa"/>
          </w:tcPr>
          <w:p>
            <w:pPr>
              <w:pStyle w:val="TableParagraph"/>
              <w:spacing w:before="256"/>
              <w:rPr>
                <w:sz w:val="24"/>
              </w:rPr>
            </w:pPr>
            <w:r>
              <w:rPr>
                <w:sz w:val="24"/>
              </w:rPr>
              <w:t>Diabetic</w:t>
            </w:r>
            <w:r>
              <w:rPr>
                <w:spacing w:val="-3"/>
                <w:sz w:val="24"/>
              </w:rPr>
              <w:t> </w:t>
            </w:r>
            <w:r>
              <w:rPr>
                <w:spacing w:val="-2"/>
                <w:sz w:val="24"/>
              </w:rPr>
              <w:t>control</w:t>
            </w:r>
          </w:p>
        </w:tc>
        <w:tc>
          <w:tcPr>
            <w:tcW w:w="1851" w:type="dxa"/>
          </w:tcPr>
          <w:p>
            <w:pPr>
              <w:pStyle w:val="TableParagraph"/>
              <w:spacing w:before="256"/>
              <w:ind w:left="176"/>
              <w:rPr>
                <w:sz w:val="24"/>
              </w:rPr>
            </w:pPr>
            <w:r>
              <w:rPr>
                <w:spacing w:val="-2"/>
                <w:sz w:val="24"/>
              </w:rPr>
              <w:t>5.28±0.71</w:t>
            </w:r>
            <w:r>
              <w:rPr>
                <w:spacing w:val="-2"/>
                <w:sz w:val="24"/>
                <w:vertAlign w:val="superscript"/>
              </w:rPr>
              <w:t>##</w:t>
            </w:r>
          </w:p>
        </w:tc>
        <w:tc>
          <w:tcPr>
            <w:tcW w:w="2471" w:type="dxa"/>
          </w:tcPr>
          <w:p>
            <w:pPr>
              <w:pStyle w:val="TableParagraph"/>
              <w:spacing w:before="256"/>
              <w:ind w:left="540"/>
              <w:rPr>
                <w:sz w:val="24"/>
              </w:rPr>
            </w:pPr>
            <w:r>
              <w:rPr>
                <w:spacing w:val="-2"/>
                <w:sz w:val="24"/>
              </w:rPr>
              <w:t>3.42±0.36*</w:t>
            </w:r>
            <w:r>
              <w:rPr>
                <w:spacing w:val="-2"/>
                <w:sz w:val="24"/>
                <w:vertAlign w:val="superscript"/>
              </w:rPr>
              <w:t>##</w:t>
            </w:r>
          </w:p>
        </w:tc>
        <w:tc>
          <w:tcPr>
            <w:tcW w:w="2405" w:type="dxa"/>
          </w:tcPr>
          <w:p>
            <w:pPr>
              <w:pStyle w:val="TableParagraph"/>
              <w:spacing w:before="256"/>
              <w:ind w:left="280"/>
              <w:rPr>
                <w:sz w:val="24"/>
              </w:rPr>
            </w:pPr>
            <w:r>
              <w:rPr>
                <w:spacing w:val="-2"/>
                <w:sz w:val="24"/>
              </w:rPr>
              <w:t>1.71±0.35**</w:t>
            </w:r>
            <w:r>
              <w:rPr>
                <w:spacing w:val="-2"/>
                <w:sz w:val="24"/>
                <w:vertAlign w:val="superscript"/>
              </w:rPr>
              <w:t>##</w:t>
            </w:r>
          </w:p>
        </w:tc>
      </w:tr>
      <w:tr>
        <w:trPr>
          <w:trHeight w:val="757" w:hRule="atLeast"/>
        </w:trPr>
        <w:tc>
          <w:tcPr>
            <w:tcW w:w="2282" w:type="dxa"/>
          </w:tcPr>
          <w:p>
            <w:pPr>
              <w:pStyle w:val="TableParagraph"/>
              <w:spacing w:before="255"/>
              <w:rPr>
                <w:sz w:val="24"/>
              </w:rPr>
            </w:pPr>
            <w:r>
              <w:rPr>
                <w:sz w:val="24"/>
              </w:rPr>
              <w:t>Glimepiride</w:t>
            </w:r>
            <w:r>
              <w:rPr>
                <w:spacing w:val="-2"/>
                <w:sz w:val="24"/>
              </w:rPr>
              <w:t> </w:t>
            </w:r>
            <w:r>
              <w:rPr>
                <w:sz w:val="24"/>
              </w:rPr>
              <w:t>8 </w:t>
            </w:r>
            <w:r>
              <w:rPr>
                <w:spacing w:val="-5"/>
                <w:sz w:val="24"/>
              </w:rPr>
              <w:t>pm</w:t>
            </w:r>
          </w:p>
        </w:tc>
        <w:tc>
          <w:tcPr>
            <w:tcW w:w="1851" w:type="dxa"/>
          </w:tcPr>
          <w:p>
            <w:pPr>
              <w:pStyle w:val="TableParagraph"/>
              <w:spacing w:before="255"/>
              <w:ind w:left="176"/>
              <w:rPr>
                <w:sz w:val="24"/>
              </w:rPr>
            </w:pPr>
            <w:r>
              <w:rPr>
                <w:spacing w:val="-2"/>
                <w:sz w:val="24"/>
              </w:rPr>
              <w:t>3.42±0.31</w:t>
            </w:r>
            <w:r>
              <w:rPr>
                <w:spacing w:val="-2"/>
                <w:sz w:val="24"/>
                <w:vertAlign w:val="superscript"/>
              </w:rPr>
              <w:t>##</w:t>
            </w:r>
          </w:p>
        </w:tc>
        <w:tc>
          <w:tcPr>
            <w:tcW w:w="2471" w:type="dxa"/>
          </w:tcPr>
          <w:p>
            <w:pPr>
              <w:pStyle w:val="TableParagraph"/>
              <w:spacing w:before="255"/>
              <w:ind w:left="540"/>
              <w:rPr>
                <w:sz w:val="24"/>
              </w:rPr>
            </w:pPr>
            <w:r>
              <w:rPr>
                <w:spacing w:val="-2"/>
                <w:sz w:val="24"/>
              </w:rPr>
              <w:t>3.28±0.35</w:t>
            </w:r>
            <w:r>
              <w:rPr>
                <w:spacing w:val="-2"/>
                <w:sz w:val="24"/>
                <w:vertAlign w:val="superscript"/>
              </w:rPr>
              <w:t>##</w:t>
            </w:r>
          </w:p>
        </w:tc>
        <w:tc>
          <w:tcPr>
            <w:tcW w:w="2405" w:type="dxa"/>
          </w:tcPr>
          <w:p>
            <w:pPr>
              <w:pStyle w:val="TableParagraph"/>
              <w:spacing w:before="255"/>
              <w:ind w:left="280"/>
              <w:rPr>
                <w:sz w:val="24"/>
              </w:rPr>
            </w:pPr>
            <w:r>
              <w:rPr>
                <w:spacing w:val="-2"/>
                <w:sz w:val="24"/>
              </w:rPr>
              <w:t>2.42±0.29</w:t>
            </w:r>
            <w:r>
              <w:rPr>
                <w:spacing w:val="-2"/>
                <w:sz w:val="24"/>
                <w:vertAlign w:val="superscript"/>
              </w:rPr>
              <w:t>##</w:t>
            </w:r>
          </w:p>
        </w:tc>
      </w:tr>
      <w:tr>
        <w:trPr>
          <w:trHeight w:val="757" w:hRule="atLeast"/>
        </w:trPr>
        <w:tc>
          <w:tcPr>
            <w:tcW w:w="2282" w:type="dxa"/>
          </w:tcPr>
          <w:p>
            <w:pPr>
              <w:pStyle w:val="TableParagraph"/>
              <w:spacing w:before="256"/>
              <w:rPr>
                <w:sz w:val="24"/>
              </w:rPr>
            </w:pPr>
            <w:r>
              <w:rPr>
                <w:spacing w:val="-2"/>
                <w:sz w:val="24"/>
              </w:rPr>
              <w:t>Glim8pm+Nife8pm</w:t>
            </w:r>
          </w:p>
        </w:tc>
        <w:tc>
          <w:tcPr>
            <w:tcW w:w="1851" w:type="dxa"/>
          </w:tcPr>
          <w:p>
            <w:pPr>
              <w:pStyle w:val="TableParagraph"/>
              <w:spacing w:before="256"/>
              <w:ind w:left="176"/>
              <w:rPr>
                <w:sz w:val="24"/>
              </w:rPr>
            </w:pPr>
            <w:r>
              <w:rPr>
                <w:spacing w:val="-2"/>
                <w:sz w:val="24"/>
              </w:rPr>
              <w:t>3.80±0.91</w:t>
            </w:r>
            <w:r>
              <w:rPr>
                <w:spacing w:val="-2"/>
                <w:sz w:val="24"/>
                <w:vertAlign w:val="superscript"/>
              </w:rPr>
              <w:t>##</w:t>
            </w:r>
          </w:p>
        </w:tc>
        <w:tc>
          <w:tcPr>
            <w:tcW w:w="2471" w:type="dxa"/>
          </w:tcPr>
          <w:p>
            <w:pPr>
              <w:pStyle w:val="TableParagraph"/>
              <w:spacing w:before="256"/>
              <w:ind w:left="540"/>
              <w:rPr>
                <w:sz w:val="24"/>
              </w:rPr>
            </w:pPr>
            <w:r>
              <w:rPr>
                <w:spacing w:val="-2"/>
                <w:sz w:val="24"/>
              </w:rPr>
              <w:t>3.40±0.40</w:t>
            </w:r>
          </w:p>
        </w:tc>
        <w:tc>
          <w:tcPr>
            <w:tcW w:w="2405" w:type="dxa"/>
          </w:tcPr>
          <w:p>
            <w:pPr>
              <w:pStyle w:val="TableParagraph"/>
              <w:spacing w:before="256"/>
              <w:ind w:left="280"/>
              <w:rPr>
                <w:sz w:val="24"/>
              </w:rPr>
            </w:pPr>
            <w:r>
              <w:rPr>
                <w:spacing w:val="-2"/>
                <w:sz w:val="24"/>
              </w:rPr>
              <w:t>2.40±0.40</w:t>
            </w:r>
            <w:r>
              <w:rPr>
                <w:spacing w:val="-2"/>
                <w:sz w:val="24"/>
                <w:vertAlign w:val="superscript"/>
              </w:rPr>
              <w:t>##</w:t>
            </w:r>
          </w:p>
        </w:tc>
      </w:tr>
      <w:tr>
        <w:trPr>
          <w:trHeight w:val="778" w:hRule="atLeast"/>
        </w:trPr>
        <w:tc>
          <w:tcPr>
            <w:tcW w:w="2282" w:type="dxa"/>
            <w:tcBorders>
              <w:bottom w:val="single" w:sz="4" w:space="0" w:color="000000"/>
            </w:tcBorders>
          </w:tcPr>
          <w:p>
            <w:pPr>
              <w:pStyle w:val="TableParagraph"/>
              <w:spacing w:before="255"/>
              <w:rPr>
                <w:sz w:val="24"/>
              </w:rPr>
            </w:pPr>
            <w:r>
              <w:rPr>
                <w:spacing w:val="-2"/>
                <w:sz w:val="24"/>
              </w:rPr>
              <w:t>Glim8pm+Nife8am</w:t>
            </w:r>
          </w:p>
        </w:tc>
        <w:tc>
          <w:tcPr>
            <w:tcW w:w="1851" w:type="dxa"/>
            <w:tcBorders>
              <w:bottom w:val="single" w:sz="4" w:space="0" w:color="000000"/>
            </w:tcBorders>
          </w:tcPr>
          <w:p>
            <w:pPr>
              <w:pStyle w:val="TableParagraph"/>
              <w:spacing w:before="255"/>
              <w:ind w:left="176"/>
              <w:rPr>
                <w:sz w:val="24"/>
              </w:rPr>
            </w:pPr>
            <w:r>
              <w:rPr>
                <w:spacing w:val="-2"/>
                <w:sz w:val="24"/>
              </w:rPr>
              <w:t>3.00±0.31</w:t>
            </w:r>
            <w:r>
              <w:rPr>
                <w:spacing w:val="-2"/>
                <w:sz w:val="24"/>
                <w:vertAlign w:val="superscript"/>
              </w:rPr>
              <w:t>##</w:t>
            </w:r>
          </w:p>
        </w:tc>
        <w:tc>
          <w:tcPr>
            <w:tcW w:w="2471" w:type="dxa"/>
            <w:tcBorders>
              <w:bottom w:val="single" w:sz="4" w:space="0" w:color="000000"/>
            </w:tcBorders>
          </w:tcPr>
          <w:p>
            <w:pPr>
              <w:pStyle w:val="TableParagraph"/>
              <w:spacing w:before="255"/>
              <w:ind w:left="540"/>
              <w:rPr>
                <w:sz w:val="24"/>
              </w:rPr>
            </w:pPr>
            <w:r>
              <w:rPr>
                <w:spacing w:val="-2"/>
                <w:sz w:val="24"/>
              </w:rPr>
              <w:t>5.20±0.80*</w:t>
            </w:r>
            <w:r>
              <w:rPr>
                <w:spacing w:val="-2"/>
                <w:sz w:val="24"/>
                <w:vertAlign w:val="superscript"/>
              </w:rPr>
              <w:t>a</w:t>
            </w:r>
          </w:p>
        </w:tc>
        <w:tc>
          <w:tcPr>
            <w:tcW w:w="2405" w:type="dxa"/>
            <w:tcBorders>
              <w:bottom w:val="single" w:sz="4" w:space="0" w:color="000000"/>
            </w:tcBorders>
          </w:tcPr>
          <w:p>
            <w:pPr>
              <w:pStyle w:val="TableParagraph"/>
              <w:spacing w:before="255"/>
              <w:ind w:left="280"/>
              <w:rPr>
                <w:sz w:val="24"/>
              </w:rPr>
            </w:pPr>
            <w:r>
              <w:rPr>
                <w:spacing w:val="-2"/>
                <w:sz w:val="24"/>
              </w:rPr>
              <w:t>5.60±0.50*</w:t>
            </w:r>
            <w:r>
              <w:rPr>
                <w:spacing w:val="-2"/>
                <w:sz w:val="24"/>
                <w:vertAlign w:val="superscript"/>
              </w:rPr>
              <w:t>a</w:t>
            </w:r>
          </w:p>
        </w:tc>
      </w:tr>
    </w:tbl>
    <w:p>
      <w:pPr>
        <w:pStyle w:val="BodyText"/>
        <w:spacing w:before="273"/>
        <w:rPr>
          <w:b/>
        </w:rPr>
      </w:pPr>
    </w:p>
    <w:p>
      <w:pPr>
        <w:pStyle w:val="BodyText"/>
        <w:spacing w:line="360" w:lineRule="auto"/>
        <w:ind w:left="296" w:right="1135"/>
        <w:jc w:val="both"/>
      </w:pPr>
      <w:r>
        <w:rPr/>
        <w:t>Data</w:t>
      </w:r>
      <w:r>
        <w:rPr>
          <w:spacing w:val="-1"/>
        </w:rPr>
        <w:t> </w:t>
      </w:r>
      <w:r>
        <w:rPr/>
        <w:t>are</w:t>
      </w:r>
      <w:r>
        <w:rPr>
          <w:spacing w:val="-1"/>
        </w:rPr>
        <w:t> </w:t>
      </w:r>
      <w:r>
        <w:rPr/>
        <w:t>mean ± SEM, *</w:t>
      </w:r>
      <w:r>
        <w:rPr>
          <w:spacing w:val="-2"/>
        </w:rPr>
        <w:t> </w:t>
      </w:r>
      <w:r>
        <w:rPr/>
        <w:t>= </w:t>
      </w:r>
      <w:r>
        <w:rPr>
          <w:i/>
        </w:rPr>
        <w:t>p </w:t>
      </w:r>
      <w:r>
        <w:rPr/>
        <w:t>≤ 0.05 compared to day</w:t>
      </w:r>
      <w:r>
        <w:rPr>
          <w:spacing w:val="-5"/>
        </w:rPr>
        <w:t> </w:t>
      </w:r>
      <w:r>
        <w:rPr/>
        <w:t>seven, ** = </w:t>
      </w:r>
      <w:r>
        <w:rPr>
          <w:i/>
        </w:rPr>
        <w:t>p </w:t>
      </w:r>
      <w:r>
        <w:rPr/>
        <w:t>≤ 0.01 compared to day seven, </w:t>
      </w:r>
      <w:r>
        <w:rPr>
          <w:vertAlign w:val="superscript"/>
        </w:rPr>
        <w:t>##</w:t>
      </w:r>
      <w:r>
        <w:rPr>
          <w:vertAlign w:val="baseline"/>
        </w:rPr>
        <w:t> = </w:t>
      </w:r>
      <w:r>
        <w:rPr>
          <w:i/>
          <w:vertAlign w:val="baseline"/>
        </w:rPr>
        <w:t>p </w:t>
      </w:r>
      <w:r>
        <w:rPr>
          <w:vertAlign w:val="baseline"/>
        </w:rPr>
        <w:t>≤ 0.01 compared to non-diabetic control </w:t>
      </w:r>
      <w:r>
        <w:rPr>
          <w:vertAlign w:val="superscript"/>
        </w:rPr>
        <w:t>a</w:t>
      </w:r>
      <w:r>
        <w:rPr>
          <w:vertAlign w:val="baseline"/>
        </w:rPr>
        <w:t> = </w:t>
      </w:r>
      <w:r>
        <w:rPr>
          <w:i/>
          <w:vertAlign w:val="baseline"/>
        </w:rPr>
        <w:t>p </w:t>
      </w:r>
      <w:r>
        <w:rPr>
          <w:vertAlign w:val="baseline"/>
        </w:rPr>
        <w:t>≤ 0.05 compared to diabetic control, split plot ANOVA and Bonferoni </w:t>
      </w:r>
      <w:r>
        <w:rPr>
          <w:i/>
          <w:vertAlign w:val="baseline"/>
        </w:rPr>
        <w:t>post hoc </w:t>
      </w:r>
      <w:r>
        <w:rPr>
          <w:vertAlign w:val="baseline"/>
        </w:rPr>
        <w:t>test, n = 5-8, Glim8pm+Nife8am = treated with glimepiride at 8 pm and nifedipine at 8 am; Glim8pm+Nife8pm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1"/>
          <w:numId w:val="17"/>
        </w:numPr>
        <w:tabs>
          <w:tab w:pos="1114" w:val="left" w:leader="none"/>
          <w:tab w:pos="2497" w:val="left" w:leader="none"/>
        </w:tabs>
        <w:spacing w:line="480" w:lineRule="auto" w:before="76" w:after="0"/>
        <w:ind w:left="2497" w:right="1239" w:hanging="2103"/>
        <w:jc w:val="both"/>
      </w:pPr>
      <w:bookmarkStart w:name="_TOC_250015" w:id="66"/>
      <w:r>
        <w:rPr/>
        <w:t>Effect</w:t>
      </w:r>
      <w:r>
        <w:rPr>
          <w:spacing w:val="-5"/>
        </w:rPr>
        <w:t> </w:t>
      </w:r>
      <w:r>
        <w:rPr/>
        <w:t>of</w:t>
      </w:r>
      <w:r>
        <w:rPr>
          <w:spacing w:val="-5"/>
        </w:rPr>
        <w:t> </w:t>
      </w:r>
      <w:r>
        <w:rPr/>
        <w:t>21-day</w:t>
      </w:r>
      <w:r>
        <w:rPr>
          <w:spacing w:val="-5"/>
        </w:rPr>
        <w:t> </w:t>
      </w:r>
      <w:r>
        <w:rPr/>
        <w:t>chronomodulated</w:t>
      </w:r>
      <w:r>
        <w:rPr>
          <w:spacing w:val="-5"/>
        </w:rPr>
        <w:t> </w:t>
      </w:r>
      <w:r>
        <w:rPr/>
        <w:t>nifedipine</w:t>
      </w:r>
      <w:r>
        <w:rPr>
          <w:spacing w:val="-6"/>
        </w:rPr>
        <w:t> </w:t>
      </w:r>
      <w:r>
        <w:rPr/>
        <w:t>administration</w:t>
      </w:r>
      <w:r>
        <w:rPr>
          <w:spacing w:val="-5"/>
        </w:rPr>
        <w:t> </w:t>
      </w:r>
      <w:r>
        <w:rPr/>
        <w:t>on</w:t>
      </w:r>
      <w:r>
        <w:rPr>
          <w:spacing w:val="-5"/>
        </w:rPr>
        <w:t> </w:t>
      </w:r>
      <w:bookmarkEnd w:id="66"/>
      <w:r>
        <w:rPr/>
        <w:t>nephropathy in glimepiride-treated hyperglycaemic rats</w:t>
      </w:r>
    </w:p>
    <w:p>
      <w:pPr>
        <w:pStyle w:val="Heading2"/>
        <w:numPr>
          <w:ilvl w:val="2"/>
          <w:numId w:val="17"/>
        </w:numPr>
        <w:tabs>
          <w:tab w:pos="1016" w:val="left" w:leader="none"/>
        </w:tabs>
        <w:spacing w:line="240" w:lineRule="auto" w:before="1" w:after="0"/>
        <w:ind w:left="1016" w:right="0" w:hanging="720"/>
        <w:jc w:val="both"/>
      </w:pPr>
      <w:bookmarkStart w:name="_TOC_250014" w:id="67"/>
      <w:r>
        <w:rPr/>
        <w:t>Serum</w:t>
      </w:r>
      <w:r>
        <w:rPr>
          <w:spacing w:val="-3"/>
        </w:rPr>
        <w:t> </w:t>
      </w:r>
      <w:r>
        <w:rPr/>
        <w:t>renal</w:t>
      </w:r>
      <w:bookmarkEnd w:id="67"/>
      <w:r>
        <w:rPr>
          <w:spacing w:val="-2"/>
        </w:rPr>
        <w:t> parameters</w:t>
      </w:r>
    </w:p>
    <w:p>
      <w:pPr>
        <w:pStyle w:val="BodyText"/>
        <w:spacing w:line="480" w:lineRule="auto" w:before="271"/>
        <w:ind w:left="296" w:right="1137"/>
        <w:jc w:val="both"/>
      </w:pPr>
      <w:r>
        <w:rPr/>
        <w:t>The serum urea, uric acid and creatinine levels for the diabetic control group were significantly higher (</w:t>
      </w:r>
      <w:r>
        <w:rPr>
          <w:i/>
        </w:rPr>
        <w:t>p</w:t>
      </w:r>
      <w:r>
        <w:rPr/>
        <w:t>&lt;0.01) when compared to the non-diabetic control. Treatment with glimepiride alone at</w:t>
      </w:r>
      <w:r>
        <w:rPr>
          <w:spacing w:val="-1"/>
        </w:rPr>
        <w:t> </w:t>
      </w:r>
      <w:r>
        <w:rPr/>
        <w:t>8</w:t>
      </w:r>
      <w:r>
        <w:rPr>
          <w:spacing w:val="-1"/>
        </w:rPr>
        <w:t> </w:t>
      </w:r>
      <w:r>
        <w:rPr/>
        <w:t>pm,</w:t>
      </w:r>
      <w:r>
        <w:rPr>
          <w:spacing w:val="-1"/>
        </w:rPr>
        <w:t> </w:t>
      </w:r>
      <w:r>
        <w:rPr/>
        <w:t>and</w:t>
      </w:r>
      <w:r>
        <w:rPr>
          <w:spacing w:val="-1"/>
        </w:rPr>
        <w:t> </w:t>
      </w:r>
      <w:r>
        <w:rPr/>
        <w:t>concurrent</w:t>
      </w:r>
      <w:r>
        <w:rPr>
          <w:spacing w:val="-1"/>
        </w:rPr>
        <w:t> </w:t>
      </w:r>
      <w:r>
        <w:rPr/>
        <w:t>administration</w:t>
      </w:r>
      <w:r>
        <w:rPr>
          <w:spacing w:val="-1"/>
        </w:rPr>
        <w:t> </w:t>
      </w:r>
      <w:r>
        <w:rPr/>
        <w:t>of glimepiride</w:t>
      </w:r>
      <w:r>
        <w:rPr>
          <w:spacing w:val="-1"/>
        </w:rPr>
        <w:t> </w:t>
      </w:r>
      <w:r>
        <w:rPr/>
        <w:t>and</w:t>
      </w:r>
      <w:r>
        <w:rPr>
          <w:spacing w:val="-1"/>
        </w:rPr>
        <w:t> </w:t>
      </w:r>
      <w:r>
        <w:rPr/>
        <w:t>nifedipine</w:t>
      </w:r>
      <w:r>
        <w:rPr>
          <w:spacing w:val="-1"/>
        </w:rPr>
        <w:t> </w:t>
      </w:r>
      <w:r>
        <w:rPr/>
        <w:t>at</w:t>
      </w:r>
      <w:r>
        <w:rPr>
          <w:spacing w:val="-1"/>
        </w:rPr>
        <w:t> </w:t>
      </w:r>
      <w:r>
        <w:rPr/>
        <w:t>8 pm did not lead to any significant difference in these markers when compared to the diabetic control. However, treatment with glimepiride at 8 pm and nifedipine at 8 am revealed significantly (</w:t>
      </w:r>
      <w:r>
        <w:rPr>
          <w:i/>
        </w:rPr>
        <w:t>p</w:t>
      </w:r>
      <w:r>
        <w:rPr/>
        <w:t>&lt;0.05) lower serum urea levels when compared to the diabetic control group. The serum creatinine and uric acid levels were also lower though not significant when compared to the diabetic control.</w:t>
      </w:r>
    </w:p>
    <w:p>
      <w:pPr>
        <w:pStyle w:val="BodyText"/>
      </w:pPr>
    </w:p>
    <w:p>
      <w:pPr>
        <w:pStyle w:val="BodyText"/>
        <w:spacing w:before="1"/>
      </w:pPr>
    </w:p>
    <w:p>
      <w:pPr>
        <w:pStyle w:val="BodyText"/>
        <w:spacing w:line="480" w:lineRule="auto"/>
        <w:ind w:left="296" w:right="1134"/>
        <w:jc w:val="both"/>
      </w:pPr>
      <w:r>
        <w:rPr/>
        <w:t>The</w:t>
      </w:r>
      <w:r>
        <w:rPr>
          <w:spacing w:val="-5"/>
        </w:rPr>
        <w:t> </w:t>
      </w:r>
      <w:r>
        <w:rPr/>
        <w:t>serum</w:t>
      </w:r>
      <w:r>
        <w:rPr>
          <w:spacing w:val="-1"/>
        </w:rPr>
        <w:t> </w:t>
      </w:r>
      <w:r>
        <w:rPr/>
        <w:t>albumin</w:t>
      </w:r>
      <w:r>
        <w:rPr>
          <w:spacing w:val="-3"/>
        </w:rPr>
        <w:t> </w:t>
      </w:r>
      <w:r>
        <w:rPr/>
        <w:t>and</w:t>
      </w:r>
      <w:r>
        <w:rPr>
          <w:spacing w:val="-3"/>
        </w:rPr>
        <w:t> </w:t>
      </w:r>
      <w:r>
        <w:rPr/>
        <w:t>total</w:t>
      </w:r>
      <w:r>
        <w:rPr>
          <w:spacing w:val="-3"/>
        </w:rPr>
        <w:t> </w:t>
      </w:r>
      <w:r>
        <w:rPr/>
        <w:t>protein</w:t>
      </w:r>
      <w:r>
        <w:rPr>
          <w:spacing w:val="-3"/>
        </w:rPr>
        <w:t> </w:t>
      </w:r>
      <w:r>
        <w:rPr/>
        <w:t>levels</w:t>
      </w:r>
      <w:r>
        <w:rPr>
          <w:spacing w:val="-3"/>
        </w:rPr>
        <w:t> </w:t>
      </w:r>
      <w:r>
        <w:rPr/>
        <w:t>for</w:t>
      </w:r>
      <w:r>
        <w:rPr>
          <w:spacing w:val="-3"/>
        </w:rPr>
        <w:t> </w:t>
      </w:r>
      <w:r>
        <w:rPr/>
        <w:t>the</w:t>
      </w:r>
      <w:r>
        <w:rPr>
          <w:spacing w:val="-3"/>
        </w:rPr>
        <w:t> </w:t>
      </w:r>
      <w:r>
        <w:rPr/>
        <w:t>diabetic</w:t>
      </w:r>
      <w:r>
        <w:rPr>
          <w:spacing w:val="-1"/>
        </w:rPr>
        <w:t> </w:t>
      </w:r>
      <w:r>
        <w:rPr/>
        <w:t>control</w:t>
      </w:r>
      <w:r>
        <w:rPr>
          <w:spacing w:val="-1"/>
        </w:rPr>
        <w:t> </w:t>
      </w:r>
      <w:r>
        <w:rPr/>
        <w:t>group</w:t>
      </w:r>
      <w:r>
        <w:rPr>
          <w:spacing w:val="-3"/>
        </w:rPr>
        <w:t> </w:t>
      </w:r>
      <w:r>
        <w:rPr/>
        <w:t>were</w:t>
      </w:r>
      <w:r>
        <w:rPr>
          <w:spacing w:val="-4"/>
        </w:rPr>
        <w:t> </w:t>
      </w:r>
      <w:r>
        <w:rPr/>
        <w:t>significantly (</w:t>
      </w:r>
      <w:r>
        <w:rPr>
          <w:i/>
        </w:rPr>
        <w:t>p</w:t>
      </w:r>
      <w:r>
        <w:rPr/>
        <w:t>&lt;0.05) lower when compared to the non-diabetic control. Treatment with glimepiride alone</w:t>
      </w:r>
      <w:r>
        <w:rPr>
          <w:spacing w:val="-1"/>
        </w:rPr>
        <w:t> </w:t>
      </w:r>
      <w:r>
        <w:rPr/>
        <w:t>at 8 pm; and concurrent administration of glimepiride</w:t>
      </w:r>
      <w:r>
        <w:rPr>
          <w:spacing w:val="-1"/>
        </w:rPr>
        <w:t> </w:t>
      </w:r>
      <w:r>
        <w:rPr/>
        <w:t>at 8 pm and nifedipine</w:t>
      </w:r>
      <w:r>
        <w:rPr>
          <w:spacing w:val="-1"/>
        </w:rPr>
        <w:t> </w:t>
      </w:r>
      <w:r>
        <w:rPr/>
        <w:t>at 8 pm did not produce any significant difference in these markers when compared to the diabetic control. However, treatment with glimepiride at 8 pm and nifedipine at 8 am revealed significantly (</w:t>
      </w:r>
      <w:r>
        <w:rPr>
          <w:i/>
        </w:rPr>
        <w:t>p</w:t>
      </w:r>
      <w:r>
        <w:rPr/>
        <w:t>&lt;0.05) lower serum albumin and total protein levels when compared to the diabetic control group. The result is shown on table 4.4.</w:t>
      </w:r>
    </w:p>
    <w:p>
      <w:pPr>
        <w:spacing w:after="0" w:line="480" w:lineRule="auto"/>
        <w:jc w:val="both"/>
        <w:sectPr>
          <w:pgSz w:w="12240" w:h="15840"/>
          <w:pgMar w:header="0" w:footer="1015" w:top="1360" w:bottom="1200" w:left="1720" w:right="300"/>
        </w:sectPr>
      </w:pPr>
    </w:p>
    <w:p>
      <w:pPr>
        <w:spacing w:line="480" w:lineRule="auto" w:before="76" w:after="4"/>
        <w:ind w:left="296" w:right="1136" w:firstLine="0"/>
        <w:jc w:val="both"/>
        <w:rPr>
          <w:b/>
          <w:sz w:val="24"/>
        </w:rPr>
      </w:pPr>
      <w:r>
        <w:rPr>
          <w:b/>
          <w:sz w:val="24"/>
        </w:rPr>
        <w:t>Table</w:t>
      </w:r>
      <w:r>
        <w:rPr>
          <w:b/>
          <w:spacing w:val="-2"/>
          <w:sz w:val="24"/>
        </w:rPr>
        <w:t> </w:t>
      </w:r>
      <w:r>
        <w:rPr>
          <w:b/>
          <w:sz w:val="24"/>
        </w:rPr>
        <w:t>4.4</w:t>
      </w:r>
      <w:r>
        <w:rPr>
          <w:b/>
          <w:spacing w:val="80"/>
          <w:sz w:val="24"/>
        </w:rPr>
        <w:t>  </w:t>
      </w:r>
      <w:r>
        <w:rPr>
          <w:b/>
          <w:sz w:val="24"/>
        </w:rPr>
        <w:t>Effect of 21-day chronomodulated nifedipine administration on serum renal markers in glimepiride-treated hyperglycaemic rats</w:t>
      </w: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1556"/>
        <w:gridCol w:w="1361"/>
        <w:gridCol w:w="1398"/>
        <w:gridCol w:w="1319"/>
        <w:gridCol w:w="1243"/>
      </w:tblGrid>
      <w:tr>
        <w:trPr>
          <w:trHeight w:val="1391" w:hRule="atLeast"/>
        </w:trPr>
        <w:tc>
          <w:tcPr>
            <w:tcW w:w="2131" w:type="dxa"/>
            <w:tcBorders>
              <w:top w:val="single" w:sz="4" w:space="0" w:color="000000"/>
              <w:bottom w:val="single" w:sz="4" w:space="0" w:color="000000"/>
            </w:tcBorders>
          </w:tcPr>
          <w:p>
            <w:pPr>
              <w:pStyle w:val="TableParagraph"/>
              <w:spacing w:before="234"/>
              <w:rPr>
                <w:sz w:val="24"/>
              </w:rPr>
            </w:pPr>
            <w:r>
              <w:rPr>
                <w:spacing w:val="-2"/>
                <w:sz w:val="24"/>
              </w:rPr>
              <w:t>Groups</w:t>
            </w:r>
          </w:p>
        </w:tc>
        <w:tc>
          <w:tcPr>
            <w:tcW w:w="1556" w:type="dxa"/>
            <w:tcBorders>
              <w:top w:val="single" w:sz="4" w:space="0" w:color="000000"/>
              <w:bottom w:val="single" w:sz="4" w:space="0" w:color="000000"/>
            </w:tcBorders>
          </w:tcPr>
          <w:p>
            <w:pPr>
              <w:pStyle w:val="TableParagraph"/>
              <w:spacing w:before="234"/>
              <w:ind w:left="108"/>
              <w:rPr>
                <w:sz w:val="24"/>
              </w:rPr>
            </w:pPr>
            <w:r>
              <w:rPr>
                <w:sz w:val="24"/>
              </w:rPr>
              <w:t>Urea</w:t>
            </w:r>
            <w:r>
              <w:rPr>
                <w:spacing w:val="-2"/>
                <w:sz w:val="24"/>
              </w:rPr>
              <w:t> (mg/dl)</w:t>
            </w:r>
          </w:p>
        </w:tc>
        <w:tc>
          <w:tcPr>
            <w:tcW w:w="1361" w:type="dxa"/>
            <w:tcBorders>
              <w:top w:val="single" w:sz="4" w:space="0" w:color="000000"/>
              <w:bottom w:val="single" w:sz="4" w:space="0" w:color="000000"/>
            </w:tcBorders>
          </w:tcPr>
          <w:p>
            <w:pPr>
              <w:pStyle w:val="TableParagraph"/>
              <w:spacing w:line="276" w:lineRule="auto" w:before="234"/>
              <w:ind w:right="386"/>
              <w:rPr>
                <w:sz w:val="24"/>
              </w:rPr>
            </w:pPr>
            <w:r>
              <w:rPr>
                <w:spacing w:val="-2"/>
                <w:sz w:val="24"/>
              </w:rPr>
              <w:t>Albumin (g/dl)</w:t>
            </w:r>
          </w:p>
        </w:tc>
        <w:tc>
          <w:tcPr>
            <w:tcW w:w="1398" w:type="dxa"/>
            <w:tcBorders>
              <w:top w:val="single" w:sz="4" w:space="0" w:color="000000"/>
              <w:bottom w:val="single" w:sz="4" w:space="0" w:color="000000"/>
            </w:tcBorders>
          </w:tcPr>
          <w:p>
            <w:pPr>
              <w:pStyle w:val="TableParagraph"/>
              <w:spacing w:line="276" w:lineRule="auto" w:before="234"/>
              <w:ind w:left="153" w:right="545"/>
              <w:rPr>
                <w:sz w:val="24"/>
              </w:rPr>
            </w:pPr>
            <w:r>
              <w:rPr>
                <w:spacing w:val="-2"/>
                <w:sz w:val="24"/>
              </w:rPr>
              <w:t>Total Protein (g/dl)</w:t>
            </w:r>
          </w:p>
        </w:tc>
        <w:tc>
          <w:tcPr>
            <w:tcW w:w="1319" w:type="dxa"/>
            <w:tcBorders>
              <w:top w:val="single" w:sz="4" w:space="0" w:color="000000"/>
              <w:bottom w:val="single" w:sz="4" w:space="0" w:color="000000"/>
            </w:tcBorders>
          </w:tcPr>
          <w:p>
            <w:pPr>
              <w:pStyle w:val="TableParagraph"/>
              <w:spacing w:line="276" w:lineRule="auto" w:before="234"/>
              <w:ind w:left="152"/>
              <w:rPr>
                <w:sz w:val="24"/>
              </w:rPr>
            </w:pPr>
            <w:r>
              <w:rPr>
                <w:spacing w:val="-2"/>
                <w:sz w:val="24"/>
              </w:rPr>
              <w:t>Creatinine (mg/dl)</w:t>
            </w:r>
          </w:p>
        </w:tc>
        <w:tc>
          <w:tcPr>
            <w:tcW w:w="1243" w:type="dxa"/>
            <w:tcBorders>
              <w:top w:val="single" w:sz="4" w:space="0" w:color="000000"/>
              <w:bottom w:val="single" w:sz="4" w:space="0" w:color="000000"/>
            </w:tcBorders>
          </w:tcPr>
          <w:p>
            <w:pPr>
              <w:pStyle w:val="TableParagraph"/>
              <w:spacing w:line="276" w:lineRule="auto" w:before="234"/>
              <w:ind w:left="168"/>
              <w:rPr>
                <w:sz w:val="24"/>
              </w:rPr>
            </w:pPr>
            <w:r>
              <w:rPr>
                <w:sz w:val="24"/>
              </w:rPr>
              <w:t>Uric</w:t>
            </w:r>
            <w:r>
              <w:rPr>
                <w:spacing w:val="40"/>
                <w:sz w:val="24"/>
              </w:rPr>
              <w:t> </w:t>
            </w:r>
            <w:r>
              <w:rPr>
                <w:sz w:val="24"/>
              </w:rPr>
              <w:t>acid </w:t>
            </w:r>
            <w:r>
              <w:rPr>
                <w:spacing w:val="-2"/>
                <w:sz w:val="24"/>
              </w:rPr>
              <w:t>(mg/dl)</w:t>
            </w:r>
          </w:p>
        </w:tc>
      </w:tr>
      <w:tr>
        <w:trPr>
          <w:trHeight w:val="1074" w:hRule="atLeast"/>
        </w:trPr>
        <w:tc>
          <w:tcPr>
            <w:tcW w:w="2131" w:type="dxa"/>
            <w:tcBorders>
              <w:top w:val="single" w:sz="4" w:space="0" w:color="000000"/>
            </w:tcBorders>
          </w:tcPr>
          <w:p>
            <w:pPr>
              <w:pStyle w:val="TableParagraph"/>
              <w:spacing w:line="278" w:lineRule="auto" w:before="234"/>
              <w:ind w:right="141"/>
              <w:rPr>
                <w:sz w:val="24"/>
              </w:rPr>
            </w:pPr>
            <w:r>
              <w:rPr>
                <w:spacing w:val="-2"/>
                <w:sz w:val="24"/>
              </w:rPr>
              <w:t>Non-diabetic control</w:t>
            </w:r>
          </w:p>
        </w:tc>
        <w:tc>
          <w:tcPr>
            <w:tcW w:w="1556" w:type="dxa"/>
            <w:tcBorders>
              <w:top w:val="single" w:sz="4" w:space="0" w:color="000000"/>
            </w:tcBorders>
          </w:tcPr>
          <w:p>
            <w:pPr>
              <w:pStyle w:val="TableParagraph"/>
              <w:spacing w:before="234"/>
              <w:ind w:left="108"/>
              <w:rPr>
                <w:sz w:val="24"/>
              </w:rPr>
            </w:pPr>
            <w:r>
              <w:rPr>
                <w:spacing w:val="-2"/>
                <w:sz w:val="24"/>
              </w:rPr>
              <w:t>47.68±2.14</w:t>
            </w:r>
          </w:p>
        </w:tc>
        <w:tc>
          <w:tcPr>
            <w:tcW w:w="1361" w:type="dxa"/>
            <w:tcBorders>
              <w:top w:val="single" w:sz="4" w:space="0" w:color="000000"/>
            </w:tcBorders>
          </w:tcPr>
          <w:p>
            <w:pPr>
              <w:pStyle w:val="TableParagraph"/>
              <w:spacing w:before="234"/>
              <w:rPr>
                <w:sz w:val="24"/>
              </w:rPr>
            </w:pPr>
            <w:r>
              <w:rPr>
                <w:spacing w:val="-2"/>
                <w:sz w:val="24"/>
              </w:rPr>
              <w:t>4.0±0.50</w:t>
            </w:r>
          </w:p>
        </w:tc>
        <w:tc>
          <w:tcPr>
            <w:tcW w:w="1398" w:type="dxa"/>
            <w:tcBorders>
              <w:top w:val="single" w:sz="4" w:space="0" w:color="000000"/>
            </w:tcBorders>
          </w:tcPr>
          <w:p>
            <w:pPr>
              <w:pStyle w:val="TableParagraph"/>
              <w:spacing w:before="234"/>
              <w:ind w:left="1" w:right="117"/>
              <w:jc w:val="center"/>
              <w:rPr>
                <w:sz w:val="24"/>
              </w:rPr>
            </w:pPr>
            <w:r>
              <w:rPr>
                <w:spacing w:val="-2"/>
                <w:sz w:val="24"/>
              </w:rPr>
              <w:t>7.37±0.63</w:t>
            </w:r>
          </w:p>
        </w:tc>
        <w:tc>
          <w:tcPr>
            <w:tcW w:w="1319" w:type="dxa"/>
            <w:tcBorders>
              <w:top w:val="single" w:sz="4" w:space="0" w:color="000000"/>
            </w:tcBorders>
          </w:tcPr>
          <w:p>
            <w:pPr>
              <w:pStyle w:val="TableParagraph"/>
              <w:spacing w:before="234"/>
              <w:ind w:left="152"/>
              <w:rPr>
                <w:sz w:val="24"/>
              </w:rPr>
            </w:pPr>
            <w:r>
              <w:rPr>
                <w:spacing w:val="-4"/>
                <w:sz w:val="24"/>
              </w:rPr>
              <w:t>7.69</w:t>
            </w:r>
          </w:p>
        </w:tc>
        <w:tc>
          <w:tcPr>
            <w:tcW w:w="1243" w:type="dxa"/>
            <w:tcBorders>
              <w:top w:val="single" w:sz="4" w:space="0" w:color="000000"/>
            </w:tcBorders>
          </w:tcPr>
          <w:p>
            <w:pPr>
              <w:pStyle w:val="TableParagraph"/>
              <w:spacing w:before="234"/>
              <w:ind w:left="168"/>
              <w:rPr>
                <w:sz w:val="24"/>
              </w:rPr>
            </w:pPr>
            <w:r>
              <w:rPr>
                <w:spacing w:val="-4"/>
                <w:sz w:val="24"/>
              </w:rPr>
              <w:t>4.50</w:t>
            </w:r>
          </w:p>
        </w:tc>
      </w:tr>
      <w:tr>
        <w:trPr>
          <w:trHeight w:val="757" w:hRule="atLeast"/>
        </w:trPr>
        <w:tc>
          <w:tcPr>
            <w:tcW w:w="2131" w:type="dxa"/>
          </w:tcPr>
          <w:p>
            <w:pPr>
              <w:pStyle w:val="TableParagraph"/>
              <w:spacing w:before="235"/>
              <w:rPr>
                <w:sz w:val="24"/>
              </w:rPr>
            </w:pPr>
            <w:r>
              <w:rPr>
                <w:sz w:val="24"/>
              </w:rPr>
              <w:t>Diabetic</w:t>
            </w:r>
            <w:r>
              <w:rPr>
                <w:spacing w:val="-3"/>
                <w:sz w:val="24"/>
              </w:rPr>
              <w:t> </w:t>
            </w:r>
            <w:r>
              <w:rPr>
                <w:spacing w:val="-2"/>
                <w:sz w:val="24"/>
              </w:rPr>
              <w:t>control</w:t>
            </w:r>
          </w:p>
        </w:tc>
        <w:tc>
          <w:tcPr>
            <w:tcW w:w="1556" w:type="dxa"/>
          </w:tcPr>
          <w:p>
            <w:pPr>
              <w:pStyle w:val="TableParagraph"/>
              <w:spacing w:before="235"/>
              <w:ind w:left="108"/>
              <w:rPr>
                <w:sz w:val="24"/>
              </w:rPr>
            </w:pPr>
            <w:r>
              <w:rPr>
                <w:spacing w:val="-2"/>
                <w:sz w:val="24"/>
              </w:rPr>
              <w:t>85.47±4.76**</w:t>
            </w:r>
          </w:p>
        </w:tc>
        <w:tc>
          <w:tcPr>
            <w:tcW w:w="1361" w:type="dxa"/>
          </w:tcPr>
          <w:p>
            <w:pPr>
              <w:pStyle w:val="TableParagraph"/>
              <w:spacing w:before="235"/>
              <w:rPr>
                <w:sz w:val="24"/>
              </w:rPr>
            </w:pPr>
            <w:r>
              <w:rPr>
                <w:spacing w:val="-2"/>
                <w:sz w:val="24"/>
              </w:rPr>
              <w:t>1.90±0.37*</w:t>
            </w:r>
          </w:p>
        </w:tc>
        <w:tc>
          <w:tcPr>
            <w:tcW w:w="1398" w:type="dxa"/>
          </w:tcPr>
          <w:p>
            <w:pPr>
              <w:pStyle w:val="TableParagraph"/>
              <w:spacing w:before="235"/>
              <w:ind w:left="117" w:right="116"/>
              <w:jc w:val="center"/>
              <w:rPr>
                <w:sz w:val="24"/>
              </w:rPr>
            </w:pPr>
            <w:r>
              <w:rPr>
                <w:spacing w:val="-2"/>
                <w:sz w:val="24"/>
              </w:rPr>
              <w:t>3.32±0.90*</w:t>
            </w:r>
          </w:p>
        </w:tc>
        <w:tc>
          <w:tcPr>
            <w:tcW w:w="1319" w:type="dxa"/>
          </w:tcPr>
          <w:p>
            <w:pPr>
              <w:pStyle w:val="TableParagraph"/>
              <w:spacing w:before="235"/>
              <w:ind w:left="152"/>
              <w:rPr>
                <w:sz w:val="24"/>
              </w:rPr>
            </w:pPr>
            <w:r>
              <w:rPr>
                <w:spacing w:val="-2"/>
                <w:sz w:val="24"/>
              </w:rPr>
              <w:t>24.07**</w:t>
            </w:r>
          </w:p>
        </w:tc>
        <w:tc>
          <w:tcPr>
            <w:tcW w:w="1243" w:type="dxa"/>
          </w:tcPr>
          <w:p>
            <w:pPr>
              <w:pStyle w:val="TableParagraph"/>
              <w:spacing w:before="235"/>
              <w:ind w:left="168"/>
              <w:rPr>
                <w:sz w:val="24"/>
              </w:rPr>
            </w:pPr>
            <w:r>
              <w:rPr>
                <w:spacing w:val="-2"/>
                <w:sz w:val="24"/>
              </w:rPr>
              <w:t>26.64**</w:t>
            </w:r>
          </w:p>
        </w:tc>
      </w:tr>
      <w:tr>
        <w:trPr>
          <w:trHeight w:val="757" w:hRule="atLeast"/>
        </w:trPr>
        <w:tc>
          <w:tcPr>
            <w:tcW w:w="2131" w:type="dxa"/>
          </w:tcPr>
          <w:p>
            <w:pPr>
              <w:pStyle w:val="TableParagraph"/>
              <w:spacing w:before="236"/>
              <w:rPr>
                <w:sz w:val="24"/>
              </w:rPr>
            </w:pPr>
            <w:r>
              <w:rPr>
                <w:sz w:val="24"/>
              </w:rPr>
              <w:t>Glimepiride</w:t>
            </w:r>
            <w:r>
              <w:rPr>
                <w:spacing w:val="-2"/>
                <w:sz w:val="24"/>
              </w:rPr>
              <w:t> </w:t>
            </w:r>
            <w:r>
              <w:rPr>
                <w:sz w:val="24"/>
              </w:rPr>
              <w:t>8 </w:t>
            </w:r>
            <w:r>
              <w:rPr>
                <w:spacing w:val="-5"/>
                <w:sz w:val="24"/>
              </w:rPr>
              <w:t>pm</w:t>
            </w:r>
          </w:p>
        </w:tc>
        <w:tc>
          <w:tcPr>
            <w:tcW w:w="1556" w:type="dxa"/>
          </w:tcPr>
          <w:p>
            <w:pPr>
              <w:pStyle w:val="TableParagraph"/>
              <w:spacing w:before="236"/>
              <w:ind w:left="108"/>
              <w:rPr>
                <w:sz w:val="24"/>
              </w:rPr>
            </w:pPr>
            <w:r>
              <w:rPr>
                <w:spacing w:val="-2"/>
                <w:sz w:val="24"/>
              </w:rPr>
              <w:t>64.83±4.31</w:t>
            </w:r>
          </w:p>
        </w:tc>
        <w:tc>
          <w:tcPr>
            <w:tcW w:w="1361" w:type="dxa"/>
          </w:tcPr>
          <w:p>
            <w:pPr>
              <w:pStyle w:val="TableParagraph"/>
              <w:spacing w:before="236"/>
              <w:rPr>
                <w:sz w:val="24"/>
              </w:rPr>
            </w:pPr>
            <w:r>
              <w:rPr>
                <w:spacing w:val="-2"/>
                <w:sz w:val="24"/>
              </w:rPr>
              <w:t>3.32±0.12</w:t>
            </w:r>
          </w:p>
        </w:tc>
        <w:tc>
          <w:tcPr>
            <w:tcW w:w="1398" w:type="dxa"/>
          </w:tcPr>
          <w:p>
            <w:pPr>
              <w:pStyle w:val="TableParagraph"/>
              <w:spacing w:before="236"/>
              <w:ind w:left="1" w:right="117"/>
              <w:jc w:val="center"/>
              <w:rPr>
                <w:sz w:val="24"/>
              </w:rPr>
            </w:pPr>
            <w:r>
              <w:rPr>
                <w:spacing w:val="-2"/>
                <w:sz w:val="24"/>
              </w:rPr>
              <w:t>5.72±0.48</w:t>
            </w:r>
          </w:p>
        </w:tc>
        <w:tc>
          <w:tcPr>
            <w:tcW w:w="1319" w:type="dxa"/>
          </w:tcPr>
          <w:p>
            <w:pPr>
              <w:pStyle w:val="TableParagraph"/>
              <w:spacing w:before="236"/>
              <w:ind w:left="152"/>
              <w:rPr>
                <w:sz w:val="24"/>
              </w:rPr>
            </w:pPr>
            <w:r>
              <w:rPr>
                <w:spacing w:val="-2"/>
                <w:sz w:val="24"/>
              </w:rPr>
              <w:t>23.43*</w:t>
            </w:r>
          </w:p>
        </w:tc>
        <w:tc>
          <w:tcPr>
            <w:tcW w:w="1243" w:type="dxa"/>
          </w:tcPr>
          <w:p>
            <w:pPr>
              <w:pStyle w:val="TableParagraph"/>
              <w:spacing w:before="236"/>
              <w:ind w:left="168"/>
              <w:rPr>
                <w:sz w:val="24"/>
              </w:rPr>
            </w:pPr>
            <w:r>
              <w:rPr>
                <w:spacing w:val="-2"/>
                <w:sz w:val="24"/>
              </w:rPr>
              <w:t>22.00*</w:t>
            </w:r>
          </w:p>
        </w:tc>
      </w:tr>
      <w:tr>
        <w:trPr>
          <w:trHeight w:val="737" w:hRule="atLeast"/>
        </w:trPr>
        <w:tc>
          <w:tcPr>
            <w:tcW w:w="2131" w:type="dxa"/>
          </w:tcPr>
          <w:p>
            <w:pPr>
              <w:pStyle w:val="TableParagraph"/>
              <w:spacing w:before="235"/>
              <w:rPr>
                <w:sz w:val="24"/>
              </w:rPr>
            </w:pPr>
            <w:r>
              <w:rPr>
                <w:spacing w:val="-2"/>
                <w:sz w:val="24"/>
              </w:rPr>
              <w:t>Glim8pm+Nife8pm</w:t>
            </w:r>
          </w:p>
        </w:tc>
        <w:tc>
          <w:tcPr>
            <w:tcW w:w="1556" w:type="dxa"/>
          </w:tcPr>
          <w:p>
            <w:pPr>
              <w:pStyle w:val="TableParagraph"/>
              <w:spacing w:before="235"/>
              <w:ind w:left="108"/>
              <w:rPr>
                <w:sz w:val="24"/>
              </w:rPr>
            </w:pPr>
            <w:r>
              <w:rPr>
                <w:spacing w:val="-2"/>
                <w:sz w:val="24"/>
              </w:rPr>
              <w:t>77.83±7.80*</w:t>
            </w:r>
          </w:p>
        </w:tc>
        <w:tc>
          <w:tcPr>
            <w:tcW w:w="1361" w:type="dxa"/>
          </w:tcPr>
          <w:p>
            <w:pPr>
              <w:pStyle w:val="TableParagraph"/>
              <w:spacing w:before="235"/>
              <w:rPr>
                <w:sz w:val="24"/>
              </w:rPr>
            </w:pPr>
            <w:r>
              <w:rPr>
                <w:spacing w:val="-2"/>
                <w:sz w:val="24"/>
              </w:rPr>
              <w:t>2.12±0.14*</w:t>
            </w:r>
          </w:p>
        </w:tc>
        <w:tc>
          <w:tcPr>
            <w:tcW w:w="1398" w:type="dxa"/>
          </w:tcPr>
          <w:p>
            <w:pPr>
              <w:pStyle w:val="TableParagraph"/>
              <w:spacing w:before="235"/>
              <w:ind w:left="117" w:right="116"/>
              <w:jc w:val="center"/>
              <w:rPr>
                <w:sz w:val="24"/>
              </w:rPr>
            </w:pPr>
            <w:r>
              <w:rPr>
                <w:spacing w:val="-2"/>
                <w:sz w:val="24"/>
              </w:rPr>
              <w:t>3.90±0.49*</w:t>
            </w:r>
          </w:p>
        </w:tc>
        <w:tc>
          <w:tcPr>
            <w:tcW w:w="1319" w:type="dxa"/>
          </w:tcPr>
          <w:p>
            <w:pPr>
              <w:pStyle w:val="TableParagraph"/>
              <w:spacing w:before="235"/>
              <w:ind w:left="152"/>
              <w:rPr>
                <w:sz w:val="24"/>
              </w:rPr>
            </w:pPr>
            <w:r>
              <w:rPr>
                <w:spacing w:val="-2"/>
                <w:sz w:val="24"/>
              </w:rPr>
              <w:t>14.20</w:t>
            </w:r>
          </w:p>
        </w:tc>
        <w:tc>
          <w:tcPr>
            <w:tcW w:w="1243" w:type="dxa"/>
          </w:tcPr>
          <w:p>
            <w:pPr>
              <w:pStyle w:val="TableParagraph"/>
              <w:spacing w:before="235"/>
              <w:ind w:left="168"/>
              <w:rPr>
                <w:sz w:val="24"/>
              </w:rPr>
            </w:pPr>
            <w:r>
              <w:rPr>
                <w:spacing w:val="-2"/>
                <w:sz w:val="24"/>
              </w:rPr>
              <w:t>15.18</w:t>
            </w:r>
          </w:p>
        </w:tc>
      </w:tr>
      <w:tr>
        <w:trPr>
          <w:trHeight w:val="779" w:hRule="atLeast"/>
        </w:trPr>
        <w:tc>
          <w:tcPr>
            <w:tcW w:w="2131" w:type="dxa"/>
            <w:tcBorders>
              <w:bottom w:val="single" w:sz="4" w:space="0" w:color="000000"/>
            </w:tcBorders>
          </w:tcPr>
          <w:p>
            <w:pPr>
              <w:pStyle w:val="TableParagraph"/>
              <w:spacing w:before="256"/>
              <w:rPr>
                <w:sz w:val="24"/>
              </w:rPr>
            </w:pPr>
            <w:r>
              <w:rPr>
                <w:spacing w:val="-2"/>
                <w:sz w:val="24"/>
              </w:rPr>
              <w:t>Glim8pm+Nife8am</w:t>
            </w:r>
          </w:p>
        </w:tc>
        <w:tc>
          <w:tcPr>
            <w:tcW w:w="1556" w:type="dxa"/>
            <w:tcBorders>
              <w:bottom w:val="single" w:sz="4" w:space="0" w:color="000000"/>
            </w:tcBorders>
          </w:tcPr>
          <w:p>
            <w:pPr>
              <w:pStyle w:val="TableParagraph"/>
              <w:spacing w:before="256"/>
              <w:ind w:left="108"/>
              <w:rPr>
                <w:sz w:val="24"/>
              </w:rPr>
            </w:pPr>
            <w:r>
              <w:rPr>
                <w:spacing w:val="-2"/>
                <w:sz w:val="24"/>
              </w:rPr>
              <w:t>51.46±7.95</w:t>
            </w:r>
            <w:r>
              <w:rPr>
                <w:spacing w:val="-2"/>
                <w:sz w:val="24"/>
                <w:vertAlign w:val="superscript"/>
              </w:rPr>
              <w:t>#</w:t>
            </w:r>
          </w:p>
        </w:tc>
        <w:tc>
          <w:tcPr>
            <w:tcW w:w="1361" w:type="dxa"/>
            <w:tcBorders>
              <w:bottom w:val="single" w:sz="4" w:space="0" w:color="000000"/>
            </w:tcBorders>
          </w:tcPr>
          <w:p>
            <w:pPr>
              <w:pStyle w:val="TableParagraph"/>
              <w:spacing w:before="256"/>
              <w:rPr>
                <w:sz w:val="24"/>
              </w:rPr>
            </w:pPr>
            <w:r>
              <w:rPr>
                <w:spacing w:val="-2"/>
                <w:sz w:val="24"/>
              </w:rPr>
              <w:t>4.20±0.58</w:t>
            </w:r>
            <w:r>
              <w:rPr>
                <w:spacing w:val="-2"/>
                <w:sz w:val="24"/>
                <w:vertAlign w:val="superscript"/>
              </w:rPr>
              <w:t>#</w:t>
            </w:r>
          </w:p>
        </w:tc>
        <w:tc>
          <w:tcPr>
            <w:tcW w:w="1398" w:type="dxa"/>
            <w:tcBorders>
              <w:bottom w:val="single" w:sz="4" w:space="0" w:color="000000"/>
            </w:tcBorders>
          </w:tcPr>
          <w:p>
            <w:pPr>
              <w:pStyle w:val="TableParagraph"/>
              <w:spacing w:before="256"/>
              <w:ind w:left="80" w:right="116"/>
              <w:jc w:val="center"/>
              <w:rPr>
                <w:sz w:val="24"/>
              </w:rPr>
            </w:pPr>
            <w:r>
              <w:rPr>
                <w:spacing w:val="-2"/>
                <w:sz w:val="24"/>
              </w:rPr>
              <w:t>6.33±0.71</w:t>
            </w:r>
            <w:r>
              <w:rPr>
                <w:spacing w:val="-2"/>
                <w:sz w:val="24"/>
                <w:vertAlign w:val="superscript"/>
              </w:rPr>
              <w:t>#</w:t>
            </w:r>
          </w:p>
        </w:tc>
        <w:tc>
          <w:tcPr>
            <w:tcW w:w="1319" w:type="dxa"/>
            <w:tcBorders>
              <w:bottom w:val="single" w:sz="4" w:space="0" w:color="000000"/>
            </w:tcBorders>
          </w:tcPr>
          <w:p>
            <w:pPr>
              <w:pStyle w:val="TableParagraph"/>
              <w:spacing w:before="256"/>
              <w:ind w:left="152"/>
              <w:rPr>
                <w:sz w:val="24"/>
              </w:rPr>
            </w:pPr>
            <w:r>
              <w:rPr>
                <w:spacing w:val="-2"/>
                <w:sz w:val="24"/>
              </w:rPr>
              <w:t>12.60</w:t>
            </w:r>
          </w:p>
        </w:tc>
        <w:tc>
          <w:tcPr>
            <w:tcW w:w="1243" w:type="dxa"/>
            <w:tcBorders>
              <w:bottom w:val="single" w:sz="4" w:space="0" w:color="000000"/>
            </w:tcBorders>
          </w:tcPr>
          <w:p>
            <w:pPr>
              <w:pStyle w:val="TableParagraph"/>
              <w:spacing w:before="256"/>
              <w:ind w:left="168"/>
              <w:rPr>
                <w:sz w:val="24"/>
              </w:rPr>
            </w:pPr>
            <w:r>
              <w:rPr>
                <w:spacing w:val="-2"/>
                <w:sz w:val="24"/>
              </w:rPr>
              <w:t>15.20</w:t>
            </w:r>
          </w:p>
        </w:tc>
      </w:tr>
    </w:tbl>
    <w:p>
      <w:pPr>
        <w:pStyle w:val="BodyText"/>
        <w:spacing w:before="273"/>
        <w:rPr>
          <w:b/>
        </w:rPr>
      </w:pPr>
    </w:p>
    <w:p>
      <w:pPr>
        <w:pStyle w:val="BodyText"/>
        <w:spacing w:line="360" w:lineRule="auto"/>
        <w:ind w:left="296" w:right="1133"/>
        <w:jc w:val="both"/>
      </w:pPr>
      <w:r>
        <w:rPr/>
        <w:t>Data are mean ± SEM and mean rank (creatinine and uric acid), * = </w:t>
      </w:r>
      <w:r>
        <w:rPr>
          <w:i/>
        </w:rPr>
        <w:t>p </w:t>
      </w:r>
      <w:r>
        <w:rPr/>
        <w:t>≤ 0.05 compared to non-diabetic control, ** = </w:t>
      </w:r>
      <w:r>
        <w:rPr>
          <w:i/>
        </w:rPr>
        <w:t>p </w:t>
      </w:r>
      <w:r>
        <w:rPr/>
        <w:t>≤ 0.01 compared to non-diabetic control, </w:t>
      </w:r>
      <w:r>
        <w:rPr>
          <w:vertAlign w:val="superscript"/>
        </w:rPr>
        <w:t>#</w:t>
      </w:r>
      <w:r>
        <w:rPr>
          <w:vertAlign w:val="baseline"/>
        </w:rPr>
        <w:t> = </w:t>
      </w:r>
      <w:r>
        <w:rPr>
          <w:i/>
          <w:vertAlign w:val="baseline"/>
        </w:rPr>
        <w:t>p </w:t>
      </w:r>
      <w:r>
        <w:rPr>
          <w:vertAlign w:val="baseline"/>
        </w:rPr>
        <w:t>≤ 0.05 compared to diabetic control, one way ANOVA followed by Hochberg </w:t>
      </w:r>
      <w:r>
        <w:rPr>
          <w:i/>
          <w:vertAlign w:val="baseline"/>
        </w:rPr>
        <w:t>post hoc </w:t>
      </w:r>
      <w:r>
        <w:rPr>
          <w:vertAlign w:val="baseline"/>
        </w:rPr>
        <w:t>test for albumin, protein and urea respectively. Kruskal Wallis followed by Dunn- Bonferoni </w:t>
      </w:r>
      <w:r>
        <w:rPr>
          <w:i/>
          <w:vertAlign w:val="baseline"/>
        </w:rPr>
        <w:t>post hoc </w:t>
      </w:r>
      <w:r>
        <w:rPr>
          <w:vertAlign w:val="baseline"/>
        </w:rPr>
        <w:t>for creatinine and uric acid, n = 5-8, Glim8pm+Nife8am = treated with glimepiride at</w:t>
      </w:r>
      <w:r>
        <w:rPr>
          <w:spacing w:val="40"/>
          <w:vertAlign w:val="baseline"/>
        </w:rPr>
        <w:t> </w:t>
      </w:r>
      <w:r>
        <w:rPr>
          <w:vertAlign w:val="baseline"/>
        </w:rPr>
        <w:t>8 pm and nifedipine at 8 am; Glim8pm+Nife8pm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2"/>
          <w:numId w:val="17"/>
        </w:numPr>
        <w:tabs>
          <w:tab w:pos="1016" w:val="left" w:leader="none"/>
        </w:tabs>
        <w:spacing w:line="240" w:lineRule="auto" w:before="76" w:after="0"/>
        <w:ind w:left="1016" w:right="0" w:hanging="720"/>
        <w:jc w:val="both"/>
      </w:pPr>
      <w:bookmarkStart w:name="_TOC_250013" w:id="68"/>
      <w:r>
        <w:rPr/>
        <w:t>Relative</w:t>
      </w:r>
      <w:r>
        <w:rPr>
          <w:spacing w:val="-2"/>
        </w:rPr>
        <w:t> </w:t>
      </w:r>
      <w:r>
        <w:rPr/>
        <w:t>kidney</w:t>
      </w:r>
      <w:r>
        <w:rPr>
          <w:spacing w:val="-1"/>
        </w:rPr>
        <w:t> </w:t>
      </w:r>
      <w:bookmarkEnd w:id="68"/>
      <w:r>
        <w:rPr>
          <w:spacing w:val="-2"/>
        </w:rPr>
        <w:t>weight</w:t>
      </w:r>
    </w:p>
    <w:p>
      <w:pPr>
        <w:pStyle w:val="BodyText"/>
        <w:spacing w:line="480" w:lineRule="auto" w:before="272"/>
        <w:ind w:left="296" w:right="1134"/>
        <w:jc w:val="both"/>
      </w:pPr>
      <w:r>
        <w:rPr/>
        <w:t>The relative kidney weight for the diabetic control group (0.89±0.08) was significantly (</w:t>
      </w:r>
      <w:r>
        <w:rPr>
          <w:i/>
        </w:rPr>
        <w:t>p</w:t>
      </w:r>
      <w:r>
        <w:rPr/>
        <w:t>&lt;0.05) higher when compared to the non-diabetic control group (0.52±0.07). Treatment with glimepiride at 8 pm; and concurrent administration of glimepiride and nifedipine at 8 pm did not reveal any significant difference in kidney weight when compared to the diabetic control. However, treatment with glimepiride at 8 pm and nifedipine at 8 am revealed a significantly (</w:t>
      </w:r>
      <w:r>
        <w:rPr>
          <w:i/>
        </w:rPr>
        <w:t>p</w:t>
      </w:r>
      <w:r>
        <w:rPr/>
        <w:t>&lt;0.05) lower kidney weight (0.58±0.01) when compared to the diabetic control group as shown in table 4.5.</w:t>
      </w:r>
    </w:p>
    <w:p>
      <w:pPr>
        <w:spacing w:after="0" w:line="480" w:lineRule="auto"/>
        <w:jc w:val="both"/>
        <w:sectPr>
          <w:pgSz w:w="12240" w:h="15840"/>
          <w:pgMar w:header="0" w:footer="1015" w:top="1360" w:bottom="1200" w:left="1720" w:right="300"/>
        </w:sectPr>
      </w:pPr>
    </w:p>
    <w:p>
      <w:pPr>
        <w:spacing w:line="480" w:lineRule="auto" w:before="76" w:after="4"/>
        <w:ind w:left="296" w:right="1138" w:firstLine="0"/>
        <w:jc w:val="both"/>
        <w:rPr>
          <w:b/>
          <w:sz w:val="24"/>
        </w:rPr>
      </w:pPr>
      <w:r>
        <w:rPr>
          <w:b/>
          <w:sz w:val="24"/>
        </w:rPr>
        <w:t>Table</w:t>
      </w:r>
      <w:r>
        <w:rPr>
          <w:b/>
          <w:spacing w:val="-3"/>
          <w:sz w:val="24"/>
        </w:rPr>
        <w:t> </w:t>
      </w:r>
      <w:r>
        <w:rPr>
          <w:b/>
          <w:sz w:val="24"/>
        </w:rPr>
        <w:t>4.5</w:t>
      </w:r>
      <w:r>
        <w:rPr>
          <w:b/>
          <w:spacing w:val="40"/>
          <w:sz w:val="24"/>
        </w:rPr>
        <w:t>  </w:t>
      </w:r>
      <w:r>
        <w:rPr>
          <w:b/>
          <w:sz w:val="24"/>
        </w:rPr>
        <w:t>Effect of 21-day chronomodulated nifedipine administration on relative kidney weight in glimepiride-treated hyperglycaemic rats</w:t>
      </w: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7"/>
        <w:gridCol w:w="3840"/>
      </w:tblGrid>
      <w:tr>
        <w:trPr>
          <w:trHeight w:val="613" w:hRule="atLeast"/>
        </w:trPr>
        <w:tc>
          <w:tcPr>
            <w:tcW w:w="2847" w:type="dxa"/>
            <w:tcBorders>
              <w:top w:val="single" w:sz="4" w:space="0" w:color="000000"/>
              <w:bottom w:val="single" w:sz="4" w:space="0" w:color="000000"/>
            </w:tcBorders>
          </w:tcPr>
          <w:p>
            <w:pPr>
              <w:pStyle w:val="TableParagraph"/>
              <w:spacing w:line="270" w:lineRule="exact"/>
              <w:rPr>
                <w:sz w:val="24"/>
              </w:rPr>
            </w:pPr>
            <w:r>
              <w:rPr>
                <w:spacing w:val="-2"/>
                <w:sz w:val="24"/>
              </w:rPr>
              <w:t>Groups</w:t>
            </w:r>
          </w:p>
        </w:tc>
        <w:tc>
          <w:tcPr>
            <w:tcW w:w="3840" w:type="dxa"/>
            <w:tcBorders>
              <w:top w:val="single" w:sz="4" w:space="0" w:color="000000"/>
              <w:bottom w:val="single" w:sz="4" w:space="0" w:color="000000"/>
            </w:tcBorders>
          </w:tcPr>
          <w:p>
            <w:pPr>
              <w:pStyle w:val="TableParagraph"/>
              <w:spacing w:line="270" w:lineRule="exact"/>
              <w:ind w:left="705"/>
              <w:rPr>
                <w:sz w:val="24"/>
              </w:rPr>
            </w:pPr>
            <w:r>
              <w:rPr>
                <w:sz w:val="24"/>
              </w:rPr>
              <w:t>Relative kidney</w:t>
            </w:r>
            <w:r>
              <w:rPr>
                <w:spacing w:val="-3"/>
                <w:sz w:val="24"/>
              </w:rPr>
              <w:t> </w:t>
            </w:r>
            <w:r>
              <w:rPr>
                <w:spacing w:val="-2"/>
                <w:sz w:val="24"/>
              </w:rPr>
              <w:t>weight</w:t>
            </w:r>
          </w:p>
        </w:tc>
      </w:tr>
      <w:tr>
        <w:trPr>
          <w:trHeight w:val="444" w:hRule="atLeast"/>
        </w:trPr>
        <w:tc>
          <w:tcPr>
            <w:tcW w:w="2847" w:type="dxa"/>
            <w:tcBorders>
              <w:top w:val="single" w:sz="4" w:space="0" w:color="000000"/>
            </w:tcBorders>
          </w:tcPr>
          <w:p>
            <w:pPr>
              <w:pStyle w:val="TableParagraph"/>
              <w:spacing w:line="270" w:lineRule="exact"/>
              <w:rPr>
                <w:sz w:val="24"/>
              </w:rPr>
            </w:pPr>
            <w:r>
              <w:rPr>
                <w:sz w:val="24"/>
              </w:rPr>
              <w:t>Non-diabetic</w:t>
            </w:r>
            <w:r>
              <w:rPr>
                <w:spacing w:val="-5"/>
                <w:sz w:val="24"/>
              </w:rPr>
              <w:t> </w:t>
            </w:r>
            <w:r>
              <w:rPr>
                <w:spacing w:val="-2"/>
                <w:sz w:val="24"/>
              </w:rPr>
              <w:t>control</w:t>
            </w:r>
          </w:p>
        </w:tc>
        <w:tc>
          <w:tcPr>
            <w:tcW w:w="3840" w:type="dxa"/>
            <w:tcBorders>
              <w:top w:val="single" w:sz="4" w:space="0" w:color="000000"/>
            </w:tcBorders>
          </w:tcPr>
          <w:p>
            <w:pPr>
              <w:pStyle w:val="TableParagraph"/>
              <w:spacing w:line="270" w:lineRule="exact"/>
              <w:ind w:left="705"/>
              <w:rPr>
                <w:sz w:val="24"/>
              </w:rPr>
            </w:pPr>
            <w:r>
              <w:rPr>
                <w:sz w:val="24"/>
              </w:rPr>
              <w:t>0.52 ± </w:t>
            </w:r>
            <w:r>
              <w:rPr>
                <w:spacing w:val="-4"/>
                <w:sz w:val="24"/>
              </w:rPr>
              <w:t>0.07</w:t>
            </w:r>
          </w:p>
        </w:tc>
      </w:tr>
      <w:tr>
        <w:trPr>
          <w:trHeight w:val="614" w:hRule="atLeast"/>
        </w:trPr>
        <w:tc>
          <w:tcPr>
            <w:tcW w:w="2847" w:type="dxa"/>
          </w:tcPr>
          <w:p>
            <w:pPr>
              <w:pStyle w:val="TableParagraph"/>
              <w:spacing w:before="164"/>
              <w:rPr>
                <w:sz w:val="24"/>
              </w:rPr>
            </w:pPr>
            <w:r>
              <w:rPr>
                <w:sz w:val="24"/>
              </w:rPr>
              <w:t>Diabetic</w:t>
            </w:r>
            <w:r>
              <w:rPr>
                <w:spacing w:val="-3"/>
                <w:sz w:val="24"/>
              </w:rPr>
              <w:t> </w:t>
            </w:r>
            <w:r>
              <w:rPr>
                <w:spacing w:val="-2"/>
                <w:sz w:val="24"/>
              </w:rPr>
              <w:t>control</w:t>
            </w:r>
          </w:p>
        </w:tc>
        <w:tc>
          <w:tcPr>
            <w:tcW w:w="3840" w:type="dxa"/>
          </w:tcPr>
          <w:p>
            <w:pPr>
              <w:pStyle w:val="TableParagraph"/>
              <w:spacing w:before="164"/>
              <w:ind w:left="705"/>
              <w:rPr>
                <w:sz w:val="24"/>
              </w:rPr>
            </w:pPr>
            <w:r>
              <w:rPr>
                <w:sz w:val="24"/>
              </w:rPr>
              <w:t>0.89 ± </w:t>
            </w:r>
            <w:r>
              <w:rPr>
                <w:spacing w:val="-2"/>
                <w:sz w:val="24"/>
              </w:rPr>
              <w:t>0.08*</w:t>
            </w:r>
          </w:p>
        </w:tc>
      </w:tr>
      <w:tr>
        <w:trPr>
          <w:trHeight w:val="614" w:hRule="atLeast"/>
        </w:trPr>
        <w:tc>
          <w:tcPr>
            <w:tcW w:w="2847" w:type="dxa"/>
          </w:tcPr>
          <w:p>
            <w:pPr>
              <w:pStyle w:val="TableParagraph"/>
              <w:spacing w:before="164"/>
              <w:rPr>
                <w:sz w:val="24"/>
              </w:rPr>
            </w:pPr>
            <w:r>
              <w:rPr>
                <w:sz w:val="24"/>
              </w:rPr>
              <w:t>Glimepiride</w:t>
            </w:r>
            <w:r>
              <w:rPr>
                <w:spacing w:val="-2"/>
                <w:sz w:val="24"/>
              </w:rPr>
              <w:t> </w:t>
            </w:r>
            <w:r>
              <w:rPr>
                <w:sz w:val="24"/>
              </w:rPr>
              <w:t>8 </w:t>
            </w:r>
            <w:r>
              <w:rPr>
                <w:spacing w:val="-5"/>
                <w:sz w:val="24"/>
              </w:rPr>
              <w:t>pm</w:t>
            </w:r>
          </w:p>
        </w:tc>
        <w:tc>
          <w:tcPr>
            <w:tcW w:w="3840" w:type="dxa"/>
          </w:tcPr>
          <w:p>
            <w:pPr>
              <w:pStyle w:val="TableParagraph"/>
              <w:spacing w:before="164"/>
              <w:ind w:left="705"/>
              <w:rPr>
                <w:sz w:val="24"/>
              </w:rPr>
            </w:pPr>
            <w:r>
              <w:rPr>
                <w:sz w:val="24"/>
              </w:rPr>
              <w:t>0.72 ± </w:t>
            </w:r>
            <w:r>
              <w:rPr>
                <w:spacing w:val="-4"/>
                <w:sz w:val="24"/>
              </w:rPr>
              <w:t>0.03</w:t>
            </w:r>
          </w:p>
        </w:tc>
      </w:tr>
      <w:tr>
        <w:trPr>
          <w:trHeight w:val="593" w:hRule="atLeast"/>
        </w:trPr>
        <w:tc>
          <w:tcPr>
            <w:tcW w:w="2847" w:type="dxa"/>
          </w:tcPr>
          <w:p>
            <w:pPr>
              <w:pStyle w:val="TableParagraph"/>
              <w:spacing w:before="164"/>
              <w:rPr>
                <w:sz w:val="24"/>
              </w:rPr>
            </w:pPr>
            <w:r>
              <w:rPr>
                <w:sz w:val="24"/>
              </w:rPr>
              <w:t>Glim8pm + </w:t>
            </w:r>
            <w:r>
              <w:rPr>
                <w:spacing w:val="-2"/>
                <w:sz w:val="24"/>
              </w:rPr>
              <w:t>Nife8pm</w:t>
            </w:r>
          </w:p>
        </w:tc>
        <w:tc>
          <w:tcPr>
            <w:tcW w:w="3840" w:type="dxa"/>
          </w:tcPr>
          <w:p>
            <w:pPr>
              <w:pStyle w:val="TableParagraph"/>
              <w:spacing w:before="164"/>
              <w:ind w:left="705"/>
              <w:rPr>
                <w:sz w:val="24"/>
              </w:rPr>
            </w:pPr>
            <w:r>
              <w:rPr>
                <w:sz w:val="24"/>
              </w:rPr>
              <w:t>0.70 ± </w:t>
            </w:r>
            <w:r>
              <w:rPr>
                <w:spacing w:val="-4"/>
                <w:sz w:val="24"/>
              </w:rPr>
              <w:t>0.03</w:t>
            </w:r>
          </w:p>
        </w:tc>
      </w:tr>
      <w:tr>
        <w:trPr>
          <w:trHeight w:val="802" w:hRule="atLeast"/>
        </w:trPr>
        <w:tc>
          <w:tcPr>
            <w:tcW w:w="2847" w:type="dxa"/>
            <w:tcBorders>
              <w:bottom w:val="single" w:sz="4" w:space="0" w:color="000000"/>
            </w:tcBorders>
          </w:tcPr>
          <w:p>
            <w:pPr>
              <w:pStyle w:val="TableParagraph"/>
              <w:spacing w:before="183"/>
              <w:rPr>
                <w:sz w:val="24"/>
              </w:rPr>
            </w:pPr>
            <w:r>
              <w:rPr>
                <w:sz w:val="24"/>
              </w:rPr>
              <w:t>Glim8pm + </w:t>
            </w:r>
            <w:r>
              <w:rPr>
                <w:spacing w:val="-2"/>
                <w:sz w:val="24"/>
              </w:rPr>
              <w:t>Nife8am</w:t>
            </w:r>
          </w:p>
        </w:tc>
        <w:tc>
          <w:tcPr>
            <w:tcW w:w="3840" w:type="dxa"/>
            <w:tcBorders>
              <w:bottom w:val="single" w:sz="4" w:space="0" w:color="000000"/>
            </w:tcBorders>
          </w:tcPr>
          <w:p>
            <w:pPr>
              <w:pStyle w:val="TableParagraph"/>
              <w:spacing w:before="183"/>
              <w:ind w:left="705"/>
              <w:rPr>
                <w:sz w:val="24"/>
              </w:rPr>
            </w:pPr>
            <w:r>
              <w:rPr>
                <w:sz w:val="24"/>
              </w:rPr>
              <w:t>0.58 ± </w:t>
            </w:r>
            <w:r>
              <w:rPr>
                <w:spacing w:val="-2"/>
                <w:sz w:val="24"/>
              </w:rPr>
              <w:t>0.01</w:t>
            </w:r>
            <w:r>
              <w:rPr>
                <w:spacing w:val="-2"/>
                <w:sz w:val="24"/>
                <w:vertAlign w:val="superscript"/>
              </w:rPr>
              <w:t>#</w:t>
            </w:r>
          </w:p>
        </w:tc>
      </w:tr>
    </w:tbl>
    <w:p>
      <w:pPr>
        <w:pStyle w:val="BodyText"/>
        <w:spacing w:before="136"/>
        <w:rPr>
          <w:b/>
        </w:rPr>
      </w:pPr>
    </w:p>
    <w:p>
      <w:pPr>
        <w:pStyle w:val="BodyText"/>
        <w:spacing w:line="360" w:lineRule="auto" w:before="1"/>
        <w:ind w:left="296" w:right="1133"/>
        <w:jc w:val="both"/>
      </w:pPr>
      <w:r>
        <w:rPr/>
        <w:t>Data are mean ± SEM, * = </w:t>
      </w:r>
      <w:r>
        <w:rPr>
          <w:i/>
        </w:rPr>
        <w:t>p </w:t>
      </w:r>
      <w:r>
        <w:rPr/>
        <w:t>≤ 0.05 compared to non-diabetic control, </w:t>
      </w:r>
      <w:r>
        <w:rPr>
          <w:vertAlign w:val="superscript"/>
        </w:rPr>
        <w:t>#</w:t>
      </w:r>
      <w:r>
        <w:rPr>
          <w:vertAlign w:val="baseline"/>
        </w:rPr>
        <w:t> = </w:t>
      </w:r>
      <w:r>
        <w:rPr>
          <w:i/>
          <w:vertAlign w:val="baseline"/>
        </w:rPr>
        <w:t>p </w:t>
      </w:r>
      <w:r>
        <w:rPr>
          <w:vertAlign w:val="baseline"/>
        </w:rPr>
        <w:t>≤ 0.05 compared to the diabetic control– One way ANOVA and Hochberg </w:t>
      </w:r>
      <w:r>
        <w:rPr>
          <w:i/>
          <w:vertAlign w:val="baseline"/>
        </w:rPr>
        <w:t>post hoc </w:t>
      </w:r>
      <w:r>
        <w:rPr>
          <w:vertAlign w:val="baseline"/>
        </w:rPr>
        <w:t>test, n = 5-8; Glim8pm+Nife8am = treated with glimepiride at 8 pm and nifedipine at 8 am; Glim8pm+Nife8pm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2"/>
          <w:numId w:val="17"/>
        </w:numPr>
        <w:tabs>
          <w:tab w:pos="1016" w:val="left" w:leader="none"/>
        </w:tabs>
        <w:spacing w:line="240" w:lineRule="auto" w:before="76" w:after="0"/>
        <w:ind w:left="1016" w:right="0" w:hanging="720"/>
        <w:jc w:val="both"/>
      </w:pPr>
      <w:bookmarkStart w:name="_TOC_250012" w:id="69"/>
      <w:r>
        <w:rPr/>
        <w:t>Kidney</w:t>
      </w:r>
      <w:bookmarkEnd w:id="69"/>
      <w:r>
        <w:rPr>
          <w:spacing w:val="-2"/>
        </w:rPr>
        <w:t> histology</w:t>
      </w:r>
    </w:p>
    <w:p>
      <w:pPr>
        <w:pStyle w:val="BodyText"/>
        <w:spacing w:line="480" w:lineRule="auto" w:before="272"/>
        <w:ind w:left="296" w:right="1137"/>
        <w:jc w:val="both"/>
      </w:pPr>
      <w:r>
        <w:rPr/>
        <w:t>Histology of kidney sections of diabetic rats showed severe tubular and glomerular</w:t>
      </w:r>
      <w:r>
        <w:rPr>
          <w:spacing w:val="40"/>
        </w:rPr>
        <w:t> </w:t>
      </w:r>
      <w:r>
        <w:rPr/>
        <w:t>necrosis</w:t>
      </w:r>
      <w:r>
        <w:rPr>
          <w:spacing w:val="-3"/>
        </w:rPr>
        <w:t> </w:t>
      </w:r>
      <w:r>
        <w:rPr/>
        <w:t>with</w:t>
      </w:r>
      <w:r>
        <w:rPr>
          <w:spacing w:val="-3"/>
        </w:rPr>
        <w:t> </w:t>
      </w:r>
      <w:r>
        <w:rPr/>
        <w:t>lymphocyte</w:t>
      </w:r>
      <w:r>
        <w:rPr>
          <w:spacing w:val="-3"/>
        </w:rPr>
        <w:t> </w:t>
      </w:r>
      <w:r>
        <w:rPr/>
        <w:t>hyperplasia</w:t>
      </w:r>
      <w:r>
        <w:rPr>
          <w:spacing w:val="-1"/>
        </w:rPr>
        <w:t> </w:t>
      </w:r>
      <w:r>
        <w:rPr/>
        <w:t>(Plate</w:t>
      </w:r>
      <w:r>
        <w:rPr>
          <w:spacing w:val="-2"/>
        </w:rPr>
        <w:t> </w:t>
      </w:r>
      <w:r>
        <w:rPr/>
        <w:t>II).</w:t>
      </w:r>
      <w:r>
        <w:rPr>
          <w:spacing w:val="-1"/>
        </w:rPr>
        <w:t> </w:t>
      </w:r>
      <w:r>
        <w:rPr/>
        <w:t>Both</w:t>
      </w:r>
      <w:r>
        <w:rPr>
          <w:spacing w:val="-3"/>
        </w:rPr>
        <w:t> </w:t>
      </w:r>
      <w:r>
        <w:rPr/>
        <w:t>the</w:t>
      </w:r>
      <w:r>
        <w:rPr>
          <w:spacing w:val="-2"/>
        </w:rPr>
        <w:t> </w:t>
      </w:r>
      <w:r>
        <w:rPr/>
        <w:t>rats</w:t>
      </w:r>
      <w:r>
        <w:rPr>
          <w:spacing w:val="-3"/>
        </w:rPr>
        <w:t> </w:t>
      </w:r>
      <w:r>
        <w:rPr/>
        <w:t>that</w:t>
      </w:r>
      <w:r>
        <w:rPr>
          <w:spacing w:val="-3"/>
        </w:rPr>
        <w:t> </w:t>
      </w:r>
      <w:r>
        <w:rPr/>
        <w:t>received</w:t>
      </w:r>
      <w:r>
        <w:rPr>
          <w:spacing w:val="-1"/>
        </w:rPr>
        <w:t> </w:t>
      </w:r>
      <w:r>
        <w:rPr/>
        <w:t>glimepiride</w:t>
      </w:r>
      <w:r>
        <w:rPr>
          <w:spacing w:val="-2"/>
        </w:rPr>
        <w:t> </w:t>
      </w:r>
      <w:r>
        <w:rPr/>
        <w:t>at</w:t>
      </w:r>
      <w:r>
        <w:rPr>
          <w:spacing w:val="-1"/>
        </w:rPr>
        <w:t> </w:t>
      </w:r>
      <w:r>
        <w:rPr/>
        <w:t>8 pm (Plate III), and those that received concurrent administration of glimepiride and nifedipine at 8 pm (Plate IV), showed abnormal features with tubular necrosis and slight lymphocyte infiltrations. However, administration of glimepiride at 8 pm and nifedipine at 8 am, produced histological features similar to those of the non-diabetic control, except for slight tubular necrosis with slight lymphocyte infiltrations (Plate V).</w:t>
      </w:r>
    </w:p>
    <w:p>
      <w:pPr>
        <w:spacing w:after="0" w:line="480" w:lineRule="auto"/>
        <w:jc w:val="both"/>
        <w:sectPr>
          <w:pgSz w:w="12240" w:h="15840"/>
          <w:pgMar w:header="0" w:footer="1015" w:top="1360" w:bottom="1200" w:left="1720" w:right="300"/>
        </w:sectPr>
      </w:pPr>
    </w:p>
    <w:p>
      <w:pPr>
        <w:pStyle w:val="BodyText"/>
        <w:ind w:left="326"/>
        <w:rPr>
          <w:sz w:val="20"/>
        </w:rPr>
      </w:pPr>
      <w:r>
        <w:rPr>
          <w:sz w:val="20"/>
        </w:rPr>
        <mc:AlternateContent>
          <mc:Choice Requires="wps">
            <w:drawing>
              <wp:inline distT="0" distB="0" distL="0" distR="0">
                <wp:extent cx="5173980" cy="2743200"/>
                <wp:effectExtent l="0" t="0" r="0" b="0"/>
                <wp:docPr id="135" name="Group 135"/>
                <wp:cNvGraphicFramePr>
                  <a:graphicFrameLocks/>
                </wp:cNvGraphicFramePr>
                <a:graphic>
                  <a:graphicData uri="http://schemas.microsoft.com/office/word/2010/wordprocessingGroup">
                    <wpg:wgp>
                      <wpg:cNvPr id="135" name="Group 135"/>
                      <wpg:cNvGrpSpPr/>
                      <wpg:grpSpPr>
                        <a:xfrm>
                          <a:off x="0" y="0"/>
                          <a:ext cx="5173980" cy="2743200"/>
                          <a:chExt cx="5173980" cy="2743200"/>
                        </a:xfrm>
                      </wpg:grpSpPr>
                      <pic:pic>
                        <pic:nvPicPr>
                          <pic:cNvPr id="136" name="Image 136"/>
                          <pic:cNvPicPr/>
                        </pic:nvPicPr>
                        <pic:blipFill>
                          <a:blip r:embed="rId28" cstate="print"/>
                          <a:stretch>
                            <a:fillRect/>
                          </a:stretch>
                        </pic:blipFill>
                        <pic:spPr>
                          <a:xfrm>
                            <a:off x="0" y="0"/>
                            <a:ext cx="5173980" cy="2743200"/>
                          </a:xfrm>
                          <a:prstGeom prst="rect">
                            <a:avLst/>
                          </a:prstGeom>
                        </pic:spPr>
                      </pic:pic>
                      <wps:wsp>
                        <wps:cNvPr id="137" name="Graphic 137"/>
                        <wps:cNvSpPr/>
                        <wps:spPr>
                          <a:xfrm>
                            <a:off x="903351" y="621410"/>
                            <a:ext cx="817244" cy="1264920"/>
                          </a:xfrm>
                          <a:custGeom>
                            <a:avLst/>
                            <a:gdLst/>
                            <a:ahLst/>
                            <a:cxnLst/>
                            <a:rect l="l" t="t" r="r" b="b"/>
                            <a:pathLst>
                              <a:path w="817244" h="1264920">
                                <a:moveTo>
                                  <a:pt x="216789" y="283464"/>
                                </a:moveTo>
                                <a:lnTo>
                                  <a:pt x="208610" y="240030"/>
                                </a:lnTo>
                                <a:lnTo>
                                  <a:pt x="201041" y="199771"/>
                                </a:lnTo>
                                <a:lnTo>
                                  <a:pt x="175831" y="218871"/>
                                </a:lnTo>
                                <a:lnTo>
                                  <a:pt x="12319" y="3429"/>
                                </a:lnTo>
                                <a:lnTo>
                                  <a:pt x="10160" y="635"/>
                                </a:lnTo>
                                <a:lnTo>
                                  <a:pt x="6223" y="0"/>
                                </a:lnTo>
                                <a:lnTo>
                                  <a:pt x="635" y="4318"/>
                                </a:lnTo>
                                <a:lnTo>
                                  <a:pt x="0" y="8255"/>
                                </a:lnTo>
                                <a:lnTo>
                                  <a:pt x="2159" y="11049"/>
                                </a:lnTo>
                                <a:lnTo>
                                  <a:pt x="165646" y="226580"/>
                                </a:lnTo>
                                <a:lnTo>
                                  <a:pt x="140335" y="245745"/>
                                </a:lnTo>
                                <a:lnTo>
                                  <a:pt x="216789" y="283464"/>
                                </a:lnTo>
                                <a:close/>
                              </a:path>
                              <a:path w="817244" h="1264920">
                                <a:moveTo>
                                  <a:pt x="816864" y="1264539"/>
                                </a:moveTo>
                                <a:lnTo>
                                  <a:pt x="808685" y="1221105"/>
                                </a:lnTo>
                                <a:lnTo>
                                  <a:pt x="801116" y="1180846"/>
                                </a:lnTo>
                                <a:lnTo>
                                  <a:pt x="775906" y="1199946"/>
                                </a:lnTo>
                                <a:lnTo>
                                  <a:pt x="612394" y="984504"/>
                                </a:lnTo>
                                <a:lnTo>
                                  <a:pt x="610235" y="981710"/>
                                </a:lnTo>
                                <a:lnTo>
                                  <a:pt x="606298" y="981075"/>
                                </a:lnTo>
                                <a:lnTo>
                                  <a:pt x="600710" y="985393"/>
                                </a:lnTo>
                                <a:lnTo>
                                  <a:pt x="600075" y="989330"/>
                                </a:lnTo>
                                <a:lnTo>
                                  <a:pt x="602234" y="992124"/>
                                </a:lnTo>
                                <a:lnTo>
                                  <a:pt x="765721" y="1207655"/>
                                </a:lnTo>
                                <a:lnTo>
                                  <a:pt x="740410" y="1226820"/>
                                </a:lnTo>
                                <a:lnTo>
                                  <a:pt x="816864" y="12645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7.4pt;height:216pt;mso-position-horizontal-relative:char;mso-position-vertical-relative:line" id="docshapegroup132" coordorigin="0,0" coordsize="8148,4320">
                <v:shape style="position:absolute;left:0;top:0;width:8148;height:4320" type="#_x0000_t75" id="docshape133" stroked="false">
                  <v:imagedata r:id="rId28" o:title=""/>
                </v:shape>
                <v:shape style="position:absolute;left:1422;top:978;width:1287;height:1992" id="docshape134" coordorigin="1423,979" coordsize="1287,1992" path="m1764,1425l1751,1357,1739,1293,1700,1323,1442,984,1439,980,1432,979,1424,985,1423,992,1426,996,1683,1335,1644,1366,1764,1425xm2709,2970l2696,2902,2684,2838,2645,2868,2387,2529,2384,2525,2377,2524,2369,2530,2368,2537,2371,2541,2628,2880,2589,2911,2709,2970xe" filled="true" fillcolor="#000000" stroked="false">
                  <v:path arrowok="t"/>
                  <v:fill type="solid"/>
                </v:shape>
              </v:group>
            </w:pict>
          </mc:Fallback>
        </mc:AlternateContent>
      </w:r>
      <w:r>
        <w:rPr>
          <w:sz w:val="20"/>
        </w:rPr>
      </w:r>
    </w:p>
    <w:p>
      <w:pPr>
        <w:tabs>
          <w:tab w:pos="1736" w:val="left" w:leader="none"/>
        </w:tabs>
        <w:spacing w:line="480" w:lineRule="auto" w:before="248"/>
        <w:ind w:left="296" w:right="1135" w:firstLine="0"/>
        <w:jc w:val="both"/>
        <w:rPr>
          <w:b/>
          <w:sz w:val="24"/>
        </w:rPr>
      </w:pPr>
      <w:r>
        <w:rPr>
          <w:b/>
          <w:sz w:val="24"/>
        </w:rPr>
        <w:t>Plate I:</w:t>
        <w:tab/>
        <w:t>Photomicrograph of a kidney section of a non-diabetic rat treated with PEG+H</w:t>
      </w:r>
      <w:r>
        <w:rPr>
          <w:b/>
          <w:sz w:val="24"/>
          <w:vertAlign w:val="subscript"/>
        </w:rPr>
        <w:t>2</w:t>
      </w:r>
      <w:r>
        <w:rPr>
          <w:b/>
          <w:sz w:val="24"/>
          <w:vertAlign w:val="baseline"/>
        </w:rPr>
        <w:t>O, showing normal Glomeruli (G) and tubules (T) H&amp;E ×250</w:t>
      </w:r>
    </w:p>
    <w:p>
      <w:pPr>
        <w:pStyle w:val="BodyText"/>
        <w:rPr>
          <w:b/>
          <w:sz w:val="20"/>
        </w:rPr>
      </w:pPr>
    </w:p>
    <w:p>
      <w:pPr>
        <w:pStyle w:val="BodyText"/>
        <w:spacing w:before="71"/>
        <w:rPr>
          <w:b/>
          <w:sz w:val="20"/>
        </w:rPr>
      </w:pPr>
      <w:r>
        <w:rPr/>
        <mc:AlternateContent>
          <mc:Choice Requires="wps">
            <w:drawing>
              <wp:anchor distT="0" distB="0" distL="0" distR="0" allowOverlap="1" layoutInCell="1" locked="0" behindDoc="1" simplePos="0" relativeHeight="487601664">
                <wp:simplePos x="0" y="0"/>
                <wp:positionH relativeFrom="page">
                  <wp:posOffset>1299210</wp:posOffset>
                </wp:positionH>
                <wp:positionV relativeFrom="paragraph">
                  <wp:posOffset>206446</wp:posOffset>
                </wp:positionV>
                <wp:extent cx="4986020" cy="2932430"/>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4986020" cy="2932430"/>
                          <a:chExt cx="4986020" cy="2932430"/>
                        </a:xfrm>
                      </wpg:grpSpPr>
                      <pic:pic>
                        <pic:nvPicPr>
                          <pic:cNvPr id="139" name="Image 139"/>
                          <pic:cNvPicPr/>
                        </pic:nvPicPr>
                        <pic:blipFill>
                          <a:blip r:embed="rId29" cstate="print"/>
                          <a:stretch>
                            <a:fillRect/>
                          </a:stretch>
                        </pic:blipFill>
                        <pic:spPr>
                          <a:xfrm>
                            <a:off x="0" y="0"/>
                            <a:ext cx="4986020" cy="2932303"/>
                          </a:xfrm>
                          <a:prstGeom prst="rect">
                            <a:avLst/>
                          </a:prstGeom>
                        </pic:spPr>
                      </pic:pic>
                      <wps:wsp>
                        <wps:cNvPr id="140" name="Graphic 140"/>
                        <wps:cNvSpPr/>
                        <wps:spPr>
                          <a:xfrm>
                            <a:off x="2703576" y="213740"/>
                            <a:ext cx="1588770" cy="1998345"/>
                          </a:xfrm>
                          <a:custGeom>
                            <a:avLst/>
                            <a:gdLst/>
                            <a:ahLst/>
                            <a:cxnLst/>
                            <a:rect l="l" t="t" r="r" b="b"/>
                            <a:pathLst>
                              <a:path w="1588770" h="1998345">
                                <a:moveTo>
                                  <a:pt x="216789" y="283464"/>
                                </a:moveTo>
                                <a:lnTo>
                                  <a:pt x="208610" y="240030"/>
                                </a:lnTo>
                                <a:lnTo>
                                  <a:pt x="201041" y="199771"/>
                                </a:lnTo>
                                <a:lnTo>
                                  <a:pt x="175831" y="218871"/>
                                </a:lnTo>
                                <a:lnTo>
                                  <a:pt x="12319" y="3429"/>
                                </a:lnTo>
                                <a:lnTo>
                                  <a:pt x="10160" y="635"/>
                                </a:lnTo>
                                <a:lnTo>
                                  <a:pt x="6223" y="0"/>
                                </a:lnTo>
                                <a:lnTo>
                                  <a:pt x="635" y="4318"/>
                                </a:lnTo>
                                <a:lnTo>
                                  <a:pt x="0" y="8255"/>
                                </a:lnTo>
                                <a:lnTo>
                                  <a:pt x="2159" y="11049"/>
                                </a:lnTo>
                                <a:lnTo>
                                  <a:pt x="165646" y="226580"/>
                                </a:lnTo>
                                <a:lnTo>
                                  <a:pt x="140335" y="245745"/>
                                </a:lnTo>
                                <a:lnTo>
                                  <a:pt x="216789" y="283464"/>
                                </a:lnTo>
                                <a:close/>
                              </a:path>
                              <a:path w="1588770" h="1998345">
                                <a:moveTo>
                                  <a:pt x="616839" y="1997964"/>
                                </a:moveTo>
                                <a:lnTo>
                                  <a:pt x="608660" y="1954530"/>
                                </a:lnTo>
                                <a:lnTo>
                                  <a:pt x="601091" y="1914271"/>
                                </a:lnTo>
                                <a:lnTo>
                                  <a:pt x="575881" y="1933371"/>
                                </a:lnTo>
                                <a:lnTo>
                                  <a:pt x="412369" y="1717929"/>
                                </a:lnTo>
                                <a:lnTo>
                                  <a:pt x="410210" y="1715135"/>
                                </a:lnTo>
                                <a:lnTo>
                                  <a:pt x="406273" y="1714500"/>
                                </a:lnTo>
                                <a:lnTo>
                                  <a:pt x="400685" y="1718818"/>
                                </a:lnTo>
                                <a:lnTo>
                                  <a:pt x="400050" y="1722755"/>
                                </a:lnTo>
                                <a:lnTo>
                                  <a:pt x="402209" y="1725549"/>
                                </a:lnTo>
                                <a:lnTo>
                                  <a:pt x="565696" y="1941080"/>
                                </a:lnTo>
                                <a:lnTo>
                                  <a:pt x="540385" y="1960245"/>
                                </a:lnTo>
                                <a:lnTo>
                                  <a:pt x="616839" y="1997964"/>
                                </a:lnTo>
                                <a:close/>
                              </a:path>
                              <a:path w="1588770" h="1998345">
                                <a:moveTo>
                                  <a:pt x="1588389" y="1131189"/>
                                </a:moveTo>
                                <a:lnTo>
                                  <a:pt x="1580210" y="1087755"/>
                                </a:lnTo>
                                <a:lnTo>
                                  <a:pt x="1572641" y="1047496"/>
                                </a:lnTo>
                                <a:lnTo>
                                  <a:pt x="1547431" y="1066596"/>
                                </a:lnTo>
                                <a:lnTo>
                                  <a:pt x="1383919" y="851154"/>
                                </a:lnTo>
                                <a:lnTo>
                                  <a:pt x="1381760" y="848360"/>
                                </a:lnTo>
                                <a:lnTo>
                                  <a:pt x="1377823" y="847725"/>
                                </a:lnTo>
                                <a:lnTo>
                                  <a:pt x="1372235" y="852043"/>
                                </a:lnTo>
                                <a:lnTo>
                                  <a:pt x="1371600" y="855980"/>
                                </a:lnTo>
                                <a:lnTo>
                                  <a:pt x="1373759" y="858774"/>
                                </a:lnTo>
                                <a:lnTo>
                                  <a:pt x="1537246" y="1074305"/>
                                </a:lnTo>
                                <a:lnTo>
                                  <a:pt x="1511935" y="1093470"/>
                                </a:lnTo>
                                <a:lnTo>
                                  <a:pt x="1588389" y="113118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2.300003pt;margin-top:16.255665pt;width:392.6pt;height:230.9pt;mso-position-horizontal-relative:page;mso-position-vertical-relative:paragraph;z-index:-15714816;mso-wrap-distance-left:0;mso-wrap-distance-right:0" id="docshapegroup135" coordorigin="2046,325" coordsize="7852,4618">
                <v:shape style="position:absolute;left:2046;top:325;width:7852;height:4618" type="#_x0000_t75" id="docshape136" stroked="false">
                  <v:imagedata r:id="rId29" o:title=""/>
                </v:shape>
                <v:shape style="position:absolute;left:6303;top:661;width:2502;height:3147" id="docshape137" coordorigin="6304,662" coordsize="2502,3147" path="m6645,1108l6632,1040,6620,976,6581,1006,6323,667,6320,663,6313,662,6305,669,6304,675,6307,679,6564,1019,6525,1049,6645,1108xm7275,3808l7262,3740,7250,3676,7211,3706,6953,3367,6950,3363,6943,3362,6935,3369,6934,3375,6937,3379,7194,3719,7155,3749,7275,3808xm8805,2443l8792,2375,8780,2311,8741,2341,8483,2002,8480,1998,8473,1997,8465,2004,8464,2010,8467,2014,8724,2354,8685,2384,8805,2443xe" filled="true" fillcolor="#000000" stroked="false">
                  <v:path arrowok="t"/>
                  <v:fill type="solid"/>
                </v:shape>
                <w10:wrap type="topAndBottom"/>
              </v:group>
            </w:pict>
          </mc:Fallback>
        </mc:AlternateContent>
      </w:r>
    </w:p>
    <w:p>
      <w:pPr>
        <w:spacing w:line="480" w:lineRule="auto" w:before="274"/>
        <w:ind w:left="296" w:right="1135" w:firstLine="0"/>
        <w:jc w:val="both"/>
        <w:rPr>
          <w:b/>
          <w:sz w:val="24"/>
        </w:rPr>
      </w:pPr>
      <w:r>
        <w:rPr>
          <w:b/>
          <w:sz w:val="24"/>
        </w:rPr>
        <w:t>Plate</w:t>
      </w:r>
      <w:r>
        <w:rPr>
          <w:b/>
          <w:spacing w:val="40"/>
          <w:sz w:val="24"/>
        </w:rPr>
        <w:t> </w:t>
      </w:r>
      <w:r>
        <w:rPr>
          <w:b/>
          <w:sz w:val="24"/>
        </w:rPr>
        <w:t>II:</w:t>
      </w:r>
      <w:r>
        <w:rPr>
          <w:b/>
          <w:spacing w:val="80"/>
          <w:w w:val="150"/>
          <w:sz w:val="24"/>
        </w:rPr>
        <w:t>  </w:t>
      </w:r>
      <w:r>
        <w:rPr>
          <w:b/>
          <w:sz w:val="24"/>
        </w:rPr>
        <w:t>Photomicrograph of a kidney section of a diabetic control rat</w:t>
      </w:r>
      <w:r>
        <w:rPr>
          <w:b/>
          <w:spacing w:val="34"/>
          <w:sz w:val="24"/>
        </w:rPr>
        <w:t> </w:t>
      </w:r>
      <w:r>
        <w:rPr>
          <w:b/>
          <w:sz w:val="24"/>
        </w:rPr>
        <w:t>treated</w:t>
      </w:r>
      <w:r>
        <w:rPr>
          <w:b/>
          <w:spacing w:val="40"/>
          <w:sz w:val="24"/>
        </w:rPr>
        <w:t> </w:t>
      </w:r>
      <w:r>
        <w:rPr>
          <w:b/>
          <w:sz w:val="24"/>
        </w:rPr>
        <w:t>with PEG+H</w:t>
      </w:r>
      <w:r>
        <w:rPr>
          <w:b/>
          <w:sz w:val="24"/>
          <w:vertAlign w:val="subscript"/>
        </w:rPr>
        <w:t>2</w:t>
      </w:r>
      <w:r>
        <w:rPr>
          <w:b/>
          <w:sz w:val="24"/>
          <w:vertAlign w:val="baseline"/>
        </w:rPr>
        <w:t>O, showing tubular (TN) and glomerular necrosis (GN) with</w:t>
      </w:r>
      <w:r>
        <w:rPr>
          <w:b/>
          <w:spacing w:val="40"/>
          <w:sz w:val="24"/>
          <w:vertAlign w:val="baseline"/>
        </w:rPr>
        <w:t> </w:t>
      </w:r>
      <w:r>
        <w:rPr>
          <w:b/>
          <w:sz w:val="24"/>
          <w:vertAlign w:val="baseline"/>
        </w:rPr>
        <w:t>lymphocyte hyperplasia (LH) H&amp;E ×250</w:t>
      </w:r>
    </w:p>
    <w:p>
      <w:pPr>
        <w:spacing w:after="0" w:line="480" w:lineRule="auto"/>
        <w:jc w:val="both"/>
        <w:rPr>
          <w:sz w:val="24"/>
        </w:rPr>
        <w:sectPr>
          <w:pgSz w:w="12240" w:h="15840"/>
          <w:pgMar w:header="0" w:footer="1015" w:top="1440" w:bottom="1200" w:left="1720" w:right="300"/>
        </w:sectPr>
      </w:pPr>
    </w:p>
    <w:p>
      <w:pPr>
        <w:pStyle w:val="BodyText"/>
        <w:ind w:left="326"/>
        <w:rPr>
          <w:sz w:val="20"/>
        </w:rPr>
      </w:pPr>
      <w:r>
        <w:rPr>
          <w:sz w:val="20"/>
        </w:rPr>
        <mc:AlternateContent>
          <mc:Choice Requires="wps">
            <w:drawing>
              <wp:inline distT="0" distB="0" distL="0" distR="0">
                <wp:extent cx="5505450" cy="2846705"/>
                <wp:effectExtent l="0" t="0" r="0" b="1269"/>
                <wp:docPr id="141" name="Group 141"/>
                <wp:cNvGraphicFramePr>
                  <a:graphicFrameLocks/>
                </wp:cNvGraphicFramePr>
                <a:graphic>
                  <a:graphicData uri="http://schemas.microsoft.com/office/word/2010/wordprocessingGroup">
                    <wpg:wgp>
                      <wpg:cNvPr id="141" name="Group 141"/>
                      <wpg:cNvGrpSpPr/>
                      <wpg:grpSpPr>
                        <a:xfrm>
                          <a:off x="0" y="0"/>
                          <a:ext cx="5505450" cy="2846705"/>
                          <a:chExt cx="5505450" cy="2846705"/>
                        </a:xfrm>
                      </wpg:grpSpPr>
                      <pic:pic>
                        <pic:nvPicPr>
                          <pic:cNvPr id="142" name="Image 142"/>
                          <pic:cNvPicPr/>
                        </pic:nvPicPr>
                        <pic:blipFill>
                          <a:blip r:embed="rId30" cstate="print"/>
                          <a:stretch>
                            <a:fillRect/>
                          </a:stretch>
                        </pic:blipFill>
                        <pic:spPr>
                          <a:xfrm>
                            <a:off x="0" y="0"/>
                            <a:ext cx="5505068" cy="2846704"/>
                          </a:xfrm>
                          <a:prstGeom prst="rect">
                            <a:avLst/>
                          </a:prstGeom>
                        </pic:spPr>
                      </pic:pic>
                      <wps:wsp>
                        <wps:cNvPr id="143" name="Graphic 143"/>
                        <wps:cNvSpPr/>
                        <wps:spPr>
                          <a:xfrm>
                            <a:off x="1084326" y="1802510"/>
                            <a:ext cx="3903345" cy="769620"/>
                          </a:xfrm>
                          <a:custGeom>
                            <a:avLst/>
                            <a:gdLst/>
                            <a:ahLst/>
                            <a:cxnLst/>
                            <a:rect l="l" t="t" r="r" b="b"/>
                            <a:pathLst>
                              <a:path w="3903345" h="769620">
                                <a:moveTo>
                                  <a:pt x="226314" y="769239"/>
                                </a:moveTo>
                                <a:lnTo>
                                  <a:pt x="218554" y="725424"/>
                                </a:lnTo>
                                <a:lnTo>
                                  <a:pt x="211455" y="685292"/>
                                </a:lnTo>
                                <a:lnTo>
                                  <a:pt x="185953" y="704278"/>
                                </a:lnTo>
                                <a:lnTo>
                                  <a:pt x="12319" y="470154"/>
                                </a:lnTo>
                                <a:lnTo>
                                  <a:pt x="10287" y="467360"/>
                                </a:lnTo>
                                <a:lnTo>
                                  <a:pt x="6223" y="466725"/>
                                </a:lnTo>
                                <a:lnTo>
                                  <a:pt x="3429" y="468884"/>
                                </a:lnTo>
                                <a:lnTo>
                                  <a:pt x="635" y="470916"/>
                                </a:lnTo>
                                <a:lnTo>
                                  <a:pt x="0" y="474980"/>
                                </a:lnTo>
                                <a:lnTo>
                                  <a:pt x="2159" y="477774"/>
                                </a:lnTo>
                                <a:lnTo>
                                  <a:pt x="175818" y="711809"/>
                                </a:lnTo>
                                <a:lnTo>
                                  <a:pt x="150368" y="730758"/>
                                </a:lnTo>
                                <a:lnTo>
                                  <a:pt x="226314" y="769239"/>
                                </a:lnTo>
                                <a:close/>
                              </a:path>
                              <a:path w="3903345" h="769620">
                                <a:moveTo>
                                  <a:pt x="3902964" y="302514"/>
                                </a:moveTo>
                                <a:lnTo>
                                  <a:pt x="3895204" y="258699"/>
                                </a:lnTo>
                                <a:lnTo>
                                  <a:pt x="3888105" y="218567"/>
                                </a:lnTo>
                                <a:lnTo>
                                  <a:pt x="3862603" y="237553"/>
                                </a:lnTo>
                                <a:lnTo>
                                  <a:pt x="3688969" y="3429"/>
                                </a:lnTo>
                                <a:lnTo>
                                  <a:pt x="3686937" y="635"/>
                                </a:lnTo>
                                <a:lnTo>
                                  <a:pt x="3682873" y="0"/>
                                </a:lnTo>
                                <a:lnTo>
                                  <a:pt x="3680079" y="2159"/>
                                </a:lnTo>
                                <a:lnTo>
                                  <a:pt x="3677285" y="4191"/>
                                </a:lnTo>
                                <a:lnTo>
                                  <a:pt x="3676650" y="8255"/>
                                </a:lnTo>
                                <a:lnTo>
                                  <a:pt x="3678809" y="11049"/>
                                </a:lnTo>
                                <a:lnTo>
                                  <a:pt x="3852468" y="245084"/>
                                </a:lnTo>
                                <a:lnTo>
                                  <a:pt x="3827018" y="264033"/>
                                </a:lnTo>
                                <a:lnTo>
                                  <a:pt x="3902964" y="30251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3.5pt;height:224.15pt;mso-position-horizontal-relative:char;mso-position-vertical-relative:line" id="docshapegroup138" coordorigin="0,0" coordsize="8670,4483">
                <v:shape style="position:absolute;left:0;top:0;width:8670;height:4483" type="#_x0000_t75" id="docshape139" stroked="false">
                  <v:imagedata r:id="rId30" o:title=""/>
                </v:shape>
                <v:shape style="position:absolute;left:1707;top:2838;width:6147;height:1212" id="docshape140" coordorigin="1708,2839" coordsize="6147,1212" path="m2064,4050l2052,3981,2041,3918,2000,3948,1727,3579,1724,3575,1717,3574,1713,3577,1709,3580,1708,3587,1711,3591,1984,3960,1944,3989,2064,4050xm7854,3315l7842,3246,7831,3183,7790,3213,7517,2844,7514,2840,7507,2839,7503,2842,7499,2845,7498,2852,7501,2856,7774,3225,7734,3254,7854,3315xe" filled="true" fillcolor="#000000" stroked="false">
                  <v:path arrowok="t"/>
                  <v:fill type="solid"/>
                </v:shape>
              </v:group>
            </w:pict>
          </mc:Fallback>
        </mc:AlternateContent>
      </w:r>
      <w:r>
        <w:rPr>
          <w:sz w:val="20"/>
        </w:rPr>
      </w:r>
    </w:p>
    <w:p>
      <w:pPr>
        <w:spacing w:line="480" w:lineRule="auto" w:before="247"/>
        <w:ind w:left="296" w:right="1135" w:firstLine="0"/>
        <w:jc w:val="both"/>
        <w:rPr>
          <w:b/>
          <w:sz w:val="24"/>
        </w:rPr>
      </w:pPr>
      <w:r>
        <w:rPr>
          <w:b/>
          <w:sz w:val="24"/>
        </w:rPr>
        <w:t>Plate</w:t>
      </w:r>
      <w:r>
        <w:rPr>
          <w:b/>
          <w:spacing w:val="-3"/>
          <w:sz w:val="24"/>
        </w:rPr>
        <w:t> </w:t>
      </w:r>
      <w:r>
        <w:rPr>
          <w:b/>
          <w:sz w:val="24"/>
        </w:rPr>
        <w:t>III:</w:t>
      </w:r>
      <w:r>
        <w:rPr>
          <w:b/>
          <w:spacing w:val="80"/>
          <w:w w:val="150"/>
          <w:sz w:val="24"/>
        </w:rPr>
        <w:t> </w:t>
      </w:r>
      <w:r>
        <w:rPr>
          <w:b/>
          <w:sz w:val="24"/>
        </w:rPr>
        <w:t>Photomicrograph of a kidney section of a diabetic rat treated with glimepiride at 8 pm, showing lymphocyte hyperplasia (LH) with tubular necrosis</w:t>
      </w:r>
      <w:r>
        <w:rPr>
          <w:b/>
          <w:spacing w:val="40"/>
          <w:sz w:val="24"/>
        </w:rPr>
        <w:t> </w:t>
      </w:r>
      <w:r>
        <w:rPr>
          <w:b/>
          <w:sz w:val="24"/>
        </w:rPr>
        <w:t>(TN) H&amp;E ×250</w:t>
      </w:r>
    </w:p>
    <w:p>
      <w:pPr>
        <w:spacing w:after="0" w:line="480" w:lineRule="auto"/>
        <w:jc w:val="both"/>
        <w:rPr>
          <w:sz w:val="24"/>
        </w:rPr>
        <w:sectPr>
          <w:pgSz w:w="12240" w:h="15840"/>
          <w:pgMar w:header="0" w:footer="1015" w:top="1440" w:bottom="1200" w:left="1720" w:right="300"/>
        </w:sectPr>
      </w:pPr>
    </w:p>
    <w:p>
      <w:pPr>
        <w:pStyle w:val="BodyText"/>
        <w:ind w:left="326"/>
        <w:rPr>
          <w:sz w:val="20"/>
        </w:rPr>
      </w:pPr>
      <w:r>
        <w:rPr>
          <w:sz w:val="20"/>
        </w:rPr>
        <mc:AlternateContent>
          <mc:Choice Requires="wps">
            <w:drawing>
              <wp:inline distT="0" distB="0" distL="0" distR="0">
                <wp:extent cx="5372100" cy="2924175"/>
                <wp:effectExtent l="0" t="0" r="0" b="0"/>
                <wp:docPr id="144" name="Group 144"/>
                <wp:cNvGraphicFramePr>
                  <a:graphicFrameLocks/>
                </wp:cNvGraphicFramePr>
                <a:graphic>
                  <a:graphicData uri="http://schemas.microsoft.com/office/word/2010/wordprocessingGroup">
                    <wpg:wgp>
                      <wpg:cNvPr id="144" name="Group 144"/>
                      <wpg:cNvGrpSpPr/>
                      <wpg:grpSpPr>
                        <a:xfrm>
                          <a:off x="0" y="0"/>
                          <a:ext cx="5372100" cy="2924175"/>
                          <a:chExt cx="5372100" cy="2924175"/>
                        </a:xfrm>
                      </wpg:grpSpPr>
                      <pic:pic>
                        <pic:nvPicPr>
                          <pic:cNvPr id="145" name="Image 145"/>
                          <pic:cNvPicPr/>
                        </pic:nvPicPr>
                        <pic:blipFill>
                          <a:blip r:embed="rId31" cstate="print"/>
                          <a:stretch>
                            <a:fillRect/>
                          </a:stretch>
                        </pic:blipFill>
                        <pic:spPr>
                          <a:xfrm>
                            <a:off x="0" y="0"/>
                            <a:ext cx="5372099" cy="2924175"/>
                          </a:xfrm>
                          <a:prstGeom prst="rect">
                            <a:avLst/>
                          </a:prstGeom>
                        </pic:spPr>
                      </pic:pic>
                      <wps:wsp>
                        <wps:cNvPr id="146" name="Graphic 146"/>
                        <wps:cNvSpPr/>
                        <wps:spPr>
                          <a:xfrm>
                            <a:off x="303530" y="2539"/>
                            <a:ext cx="2826385" cy="1102360"/>
                          </a:xfrm>
                          <a:custGeom>
                            <a:avLst/>
                            <a:gdLst/>
                            <a:ahLst/>
                            <a:cxnLst/>
                            <a:rect l="l" t="t" r="r" b="b"/>
                            <a:pathLst>
                              <a:path w="2826385" h="1102360">
                                <a:moveTo>
                                  <a:pt x="292735" y="302260"/>
                                </a:moveTo>
                                <a:lnTo>
                                  <a:pt x="280543" y="263652"/>
                                </a:lnTo>
                                <a:lnTo>
                                  <a:pt x="267081" y="220980"/>
                                </a:lnTo>
                                <a:lnTo>
                                  <a:pt x="244246" y="243078"/>
                                </a:lnTo>
                                <a:lnTo>
                                  <a:pt x="11557" y="2540"/>
                                </a:lnTo>
                                <a:lnTo>
                                  <a:pt x="9144" y="0"/>
                                </a:lnTo>
                                <a:lnTo>
                                  <a:pt x="5080" y="0"/>
                                </a:lnTo>
                                <a:lnTo>
                                  <a:pt x="0" y="4826"/>
                                </a:lnTo>
                                <a:lnTo>
                                  <a:pt x="0" y="8890"/>
                                </a:lnTo>
                                <a:lnTo>
                                  <a:pt x="2413" y="11430"/>
                                </a:lnTo>
                                <a:lnTo>
                                  <a:pt x="235140" y="251879"/>
                                </a:lnTo>
                                <a:lnTo>
                                  <a:pt x="212344" y="273939"/>
                                </a:lnTo>
                                <a:lnTo>
                                  <a:pt x="292735" y="302260"/>
                                </a:lnTo>
                                <a:close/>
                              </a:path>
                              <a:path w="2826385" h="1102360">
                                <a:moveTo>
                                  <a:pt x="2826385" y="1102360"/>
                                </a:moveTo>
                                <a:lnTo>
                                  <a:pt x="2814193" y="1063752"/>
                                </a:lnTo>
                                <a:lnTo>
                                  <a:pt x="2800731" y="1021080"/>
                                </a:lnTo>
                                <a:lnTo>
                                  <a:pt x="2777896" y="1043178"/>
                                </a:lnTo>
                                <a:lnTo>
                                  <a:pt x="2545207" y="802640"/>
                                </a:lnTo>
                                <a:lnTo>
                                  <a:pt x="2542794" y="800100"/>
                                </a:lnTo>
                                <a:lnTo>
                                  <a:pt x="2538730" y="800100"/>
                                </a:lnTo>
                                <a:lnTo>
                                  <a:pt x="2533650" y="804926"/>
                                </a:lnTo>
                                <a:lnTo>
                                  <a:pt x="2533650" y="808990"/>
                                </a:lnTo>
                                <a:lnTo>
                                  <a:pt x="2536063" y="811530"/>
                                </a:lnTo>
                                <a:lnTo>
                                  <a:pt x="2768790" y="1051979"/>
                                </a:lnTo>
                                <a:lnTo>
                                  <a:pt x="2745994" y="1074039"/>
                                </a:lnTo>
                                <a:lnTo>
                                  <a:pt x="2826385" y="11023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3pt;height:230.25pt;mso-position-horizontal-relative:char;mso-position-vertical-relative:line" id="docshapegroup141" coordorigin="0,0" coordsize="8460,4605">
                <v:shape style="position:absolute;left:0;top:0;width:8460;height:4605" type="#_x0000_t75" id="docshape142" stroked="false">
                  <v:imagedata r:id="rId31" o:title=""/>
                </v:shape>
                <v:shape style="position:absolute;left:478;top:4;width:4451;height:1736" id="docshape143" coordorigin="478,4" coordsize="4451,1736" path="m939,480l920,419,899,352,863,387,496,8,492,4,486,4,478,12,478,18,482,22,848,401,812,435,939,480xm4929,1740l4910,1679,4889,1612,4853,1647,4486,1268,4482,1264,4476,1264,4468,1272,4468,1278,4472,1282,4838,1661,4802,1695,4929,1740xe" filled="true" fillcolor="#000000" stroked="false">
                  <v:path arrowok="t"/>
                  <v:fill type="solid"/>
                </v:shape>
              </v:group>
            </w:pict>
          </mc:Fallback>
        </mc:AlternateContent>
      </w:r>
      <w:r>
        <w:rPr>
          <w:sz w:val="20"/>
        </w:rPr>
      </w:r>
    </w:p>
    <w:p>
      <w:pPr>
        <w:spacing w:line="480" w:lineRule="auto" w:before="249"/>
        <w:ind w:left="296" w:right="1138" w:firstLine="0"/>
        <w:jc w:val="both"/>
        <w:rPr>
          <w:b/>
          <w:sz w:val="24"/>
        </w:rPr>
      </w:pPr>
      <w:r>
        <w:rPr>
          <w:b/>
          <w:sz w:val="24"/>
        </w:rPr>
        <w:t>Plate</w:t>
      </w:r>
      <w:r>
        <w:rPr>
          <w:b/>
          <w:spacing w:val="-3"/>
          <w:sz w:val="24"/>
        </w:rPr>
        <w:t> </w:t>
      </w:r>
      <w:r>
        <w:rPr>
          <w:b/>
          <w:sz w:val="24"/>
        </w:rPr>
        <w:t>IV:</w:t>
      </w:r>
      <w:r>
        <w:rPr>
          <w:b/>
          <w:spacing w:val="80"/>
          <w:w w:val="150"/>
          <w:sz w:val="24"/>
        </w:rPr>
        <w:t> </w:t>
      </w:r>
      <w:r>
        <w:rPr>
          <w:b/>
          <w:sz w:val="24"/>
        </w:rPr>
        <w:t>Photomicrograph of a kidney section of a diabetic rat treated with glimepiride at 8 pm and nifedipine at 8 pm, showing moderate lymphocyte hyperplasia (LH) with slight tubular necrosis (TN) H&amp;E ×250</w:t>
      </w:r>
    </w:p>
    <w:p>
      <w:pPr>
        <w:spacing w:after="0" w:line="480" w:lineRule="auto"/>
        <w:jc w:val="both"/>
        <w:rPr>
          <w:sz w:val="24"/>
        </w:rPr>
        <w:sectPr>
          <w:pgSz w:w="12240" w:h="15840"/>
          <w:pgMar w:header="0" w:footer="1015" w:top="1440" w:bottom="1200" w:left="1720" w:right="300"/>
        </w:sectPr>
      </w:pPr>
    </w:p>
    <w:p>
      <w:pPr>
        <w:pStyle w:val="BodyText"/>
        <w:ind w:left="326"/>
        <w:rPr>
          <w:sz w:val="20"/>
        </w:rPr>
      </w:pPr>
      <w:r>
        <w:rPr>
          <w:sz w:val="20"/>
        </w:rPr>
        <mc:AlternateContent>
          <mc:Choice Requires="wps">
            <w:drawing>
              <wp:inline distT="0" distB="0" distL="0" distR="0">
                <wp:extent cx="5605145" cy="2846705"/>
                <wp:effectExtent l="0" t="0" r="0" b="1269"/>
                <wp:docPr id="147" name="Group 147"/>
                <wp:cNvGraphicFramePr>
                  <a:graphicFrameLocks/>
                </wp:cNvGraphicFramePr>
                <a:graphic>
                  <a:graphicData uri="http://schemas.microsoft.com/office/word/2010/wordprocessingGroup">
                    <wpg:wgp>
                      <wpg:cNvPr id="147" name="Group 147"/>
                      <wpg:cNvGrpSpPr/>
                      <wpg:grpSpPr>
                        <a:xfrm>
                          <a:off x="0" y="0"/>
                          <a:ext cx="5605145" cy="2846705"/>
                          <a:chExt cx="5605145" cy="2846705"/>
                        </a:xfrm>
                      </wpg:grpSpPr>
                      <pic:pic>
                        <pic:nvPicPr>
                          <pic:cNvPr id="148" name="Image 148"/>
                          <pic:cNvPicPr/>
                        </pic:nvPicPr>
                        <pic:blipFill>
                          <a:blip r:embed="rId32" cstate="print"/>
                          <a:stretch>
                            <a:fillRect/>
                          </a:stretch>
                        </pic:blipFill>
                        <pic:spPr>
                          <a:xfrm>
                            <a:off x="0" y="0"/>
                            <a:ext cx="5605145" cy="2846704"/>
                          </a:xfrm>
                          <a:prstGeom prst="rect">
                            <a:avLst/>
                          </a:prstGeom>
                        </pic:spPr>
                      </pic:pic>
                      <wps:wsp>
                        <wps:cNvPr id="149" name="Graphic 149"/>
                        <wps:cNvSpPr/>
                        <wps:spPr>
                          <a:xfrm>
                            <a:off x="2579751" y="1640585"/>
                            <a:ext cx="2312670" cy="998219"/>
                          </a:xfrm>
                          <a:custGeom>
                            <a:avLst/>
                            <a:gdLst/>
                            <a:ahLst/>
                            <a:cxnLst/>
                            <a:rect l="l" t="t" r="r" b="b"/>
                            <a:pathLst>
                              <a:path w="2312670" h="998219">
                                <a:moveTo>
                                  <a:pt x="235839" y="997839"/>
                                </a:moveTo>
                                <a:lnTo>
                                  <a:pt x="230644" y="951738"/>
                                </a:lnTo>
                                <a:lnTo>
                                  <a:pt x="226314" y="913142"/>
                                </a:lnTo>
                                <a:lnTo>
                                  <a:pt x="199720" y="930427"/>
                                </a:lnTo>
                                <a:lnTo>
                                  <a:pt x="10668" y="639064"/>
                                </a:lnTo>
                                <a:lnTo>
                                  <a:pt x="6731" y="638175"/>
                                </a:lnTo>
                                <a:lnTo>
                                  <a:pt x="889" y="641985"/>
                                </a:lnTo>
                                <a:lnTo>
                                  <a:pt x="0" y="645922"/>
                                </a:lnTo>
                                <a:lnTo>
                                  <a:pt x="189026" y="937374"/>
                                </a:lnTo>
                                <a:lnTo>
                                  <a:pt x="162433" y="954659"/>
                                </a:lnTo>
                                <a:lnTo>
                                  <a:pt x="235839" y="997839"/>
                                </a:lnTo>
                                <a:close/>
                              </a:path>
                              <a:path w="2312670" h="998219">
                                <a:moveTo>
                                  <a:pt x="2312289" y="359664"/>
                                </a:moveTo>
                                <a:lnTo>
                                  <a:pt x="2307094" y="313563"/>
                                </a:lnTo>
                                <a:lnTo>
                                  <a:pt x="2302764" y="274955"/>
                                </a:lnTo>
                                <a:lnTo>
                                  <a:pt x="2276170" y="292252"/>
                                </a:lnTo>
                                <a:lnTo>
                                  <a:pt x="2087118" y="889"/>
                                </a:lnTo>
                                <a:lnTo>
                                  <a:pt x="2083181" y="0"/>
                                </a:lnTo>
                                <a:lnTo>
                                  <a:pt x="2077339" y="3810"/>
                                </a:lnTo>
                                <a:lnTo>
                                  <a:pt x="2076450" y="7747"/>
                                </a:lnTo>
                                <a:lnTo>
                                  <a:pt x="2265476" y="299199"/>
                                </a:lnTo>
                                <a:lnTo>
                                  <a:pt x="2238883" y="316484"/>
                                </a:lnTo>
                                <a:lnTo>
                                  <a:pt x="2312289" y="3596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1.35pt;height:224.15pt;mso-position-horizontal-relative:char;mso-position-vertical-relative:line" id="docshapegroup144" coordorigin="0,0" coordsize="8827,4483">
                <v:shape style="position:absolute;left:0;top:0;width:8827;height:4483" type="#_x0000_t75" id="docshape145" stroked="false">
                  <v:imagedata r:id="rId32" o:title=""/>
                </v:shape>
                <v:shape style="position:absolute;left:4062;top:2583;width:3642;height:1572" id="docshape146" coordorigin="4063,2584" coordsize="3642,1572" path="m4434,4155l4426,4082,4419,4022,4377,4049,4079,3590,4073,3589,4064,3595,4063,3601,4360,4060,4318,4087,4434,4155xm7704,3150l7696,3077,7689,3017,7647,3044,7349,2585,7343,2584,7334,2590,7333,2596,7630,3055,7588,3082,7704,3150xe" filled="true" fillcolor="#000000" stroked="false">
                  <v:path arrowok="t"/>
                  <v:fill type="solid"/>
                </v:shape>
              </v:group>
            </w:pict>
          </mc:Fallback>
        </mc:AlternateContent>
      </w:r>
      <w:r>
        <w:rPr>
          <w:sz w:val="20"/>
        </w:rPr>
      </w:r>
    </w:p>
    <w:p>
      <w:pPr>
        <w:spacing w:line="480" w:lineRule="auto" w:before="247"/>
        <w:ind w:left="296" w:right="1132" w:firstLine="0"/>
        <w:jc w:val="both"/>
        <w:rPr>
          <w:b/>
          <w:sz w:val="24"/>
        </w:rPr>
      </w:pPr>
      <w:r>
        <w:rPr>
          <w:b/>
          <w:sz w:val="24"/>
        </w:rPr>
        <w:t>Plate</w:t>
      </w:r>
      <w:r>
        <w:rPr>
          <w:b/>
          <w:spacing w:val="-2"/>
          <w:sz w:val="24"/>
        </w:rPr>
        <w:t> </w:t>
      </w:r>
      <w:r>
        <w:rPr>
          <w:b/>
          <w:sz w:val="24"/>
        </w:rPr>
        <w:t>V:</w:t>
      </w:r>
      <w:r>
        <w:rPr>
          <w:b/>
          <w:spacing w:val="40"/>
          <w:sz w:val="24"/>
        </w:rPr>
        <w:t>  </w:t>
      </w:r>
      <w:r>
        <w:rPr>
          <w:b/>
          <w:sz w:val="24"/>
        </w:rPr>
        <w:t>Photomicrograph of a kidney section of a diabetic rat treated with glimepiride at 8 pm and nifedipine at 8 am, showing slight tubular adhesion (TA)</w:t>
      </w:r>
      <w:r>
        <w:rPr>
          <w:b/>
          <w:spacing w:val="40"/>
          <w:sz w:val="24"/>
        </w:rPr>
        <w:t> </w:t>
      </w:r>
      <w:r>
        <w:rPr>
          <w:b/>
          <w:sz w:val="24"/>
        </w:rPr>
        <w:t>with moderate lymphocyte infiltration (LI) H&amp;E ×250</w:t>
      </w:r>
    </w:p>
    <w:p>
      <w:pPr>
        <w:spacing w:after="0" w:line="480" w:lineRule="auto"/>
        <w:jc w:val="both"/>
        <w:rPr>
          <w:sz w:val="24"/>
        </w:rPr>
        <w:sectPr>
          <w:pgSz w:w="12240" w:h="15840"/>
          <w:pgMar w:header="0" w:footer="1015" w:top="1440" w:bottom="1200" w:left="1720" w:right="300"/>
        </w:sectPr>
      </w:pPr>
    </w:p>
    <w:p>
      <w:pPr>
        <w:pStyle w:val="Heading2"/>
        <w:numPr>
          <w:ilvl w:val="1"/>
          <w:numId w:val="17"/>
        </w:numPr>
        <w:tabs>
          <w:tab w:pos="1044" w:val="left" w:leader="none"/>
          <w:tab w:pos="2639" w:val="left" w:leader="none"/>
        </w:tabs>
        <w:spacing w:line="480" w:lineRule="auto" w:before="76" w:after="0"/>
        <w:ind w:left="2639" w:right="1168" w:hanging="2315"/>
        <w:jc w:val="both"/>
      </w:pPr>
      <w:bookmarkStart w:name="_TOC_250011" w:id="70"/>
      <w:r>
        <w:rPr/>
        <w:t>Effect</w:t>
      </w:r>
      <w:r>
        <w:rPr>
          <w:spacing w:val="-5"/>
        </w:rPr>
        <w:t> </w:t>
      </w:r>
      <w:r>
        <w:rPr/>
        <w:t>of</w:t>
      </w:r>
      <w:r>
        <w:rPr>
          <w:spacing w:val="-4"/>
        </w:rPr>
        <w:t> </w:t>
      </w:r>
      <w:r>
        <w:rPr/>
        <w:t>21-day</w:t>
      </w:r>
      <w:r>
        <w:rPr>
          <w:spacing w:val="-5"/>
        </w:rPr>
        <w:t> </w:t>
      </w:r>
      <w:r>
        <w:rPr/>
        <w:t>chronomodulated</w:t>
      </w:r>
      <w:r>
        <w:rPr>
          <w:spacing w:val="-5"/>
        </w:rPr>
        <w:t> </w:t>
      </w:r>
      <w:r>
        <w:rPr/>
        <w:t>nifedipine</w:t>
      </w:r>
      <w:r>
        <w:rPr>
          <w:spacing w:val="-6"/>
        </w:rPr>
        <w:t> </w:t>
      </w:r>
      <w:r>
        <w:rPr/>
        <w:t>administration</w:t>
      </w:r>
      <w:r>
        <w:rPr>
          <w:spacing w:val="-4"/>
        </w:rPr>
        <w:t> </w:t>
      </w:r>
      <w:r>
        <w:rPr/>
        <w:t>on</w:t>
      </w:r>
      <w:r>
        <w:rPr>
          <w:spacing w:val="-5"/>
        </w:rPr>
        <w:t> </w:t>
      </w:r>
      <w:r>
        <w:rPr/>
        <w:t>retinopathy</w:t>
      </w:r>
      <w:r>
        <w:rPr>
          <w:spacing w:val="-5"/>
        </w:rPr>
        <w:t> </w:t>
      </w:r>
      <w:bookmarkEnd w:id="70"/>
      <w:r>
        <w:rPr/>
        <w:t>in glimepiride treated hyperglycaemic rats</w:t>
      </w:r>
    </w:p>
    <w:p>
      <w:pPr>
        <w:pStyle w:val="Heading2"/>
        <w:numPr>
          <w:ilvl w:val="2"/>
          <w:numId w:val="17"/>
        </w:numPr>
        <w:tabs>
          <w:tab w:pos="1016" w:val="left" w:leader="none"/>
        </w:tabs>
        <w:spacing w:line="240" w:lineRule="auto" w:before="1" w:after="0"/>
        <w:ind w:left="1016" w:right="0" w:hanging="720"/>
        <w:jc w:val="both"/>
      </w:pPr>
      <w:bookmarkStart w:name="_TOC_250010" w:id="71"/>
      <w:r>
        <w:rPr/>
        <w:t>Serum</w:t>
      </w:r>
      <w:r>
        <w:rPr>
          <w:spacing w:val="-5"/>
        </w:rPr>
        <w:t> </w:t>
      </w:r>
      <w:r>
        <w:rPr/>
        <w:t>ocular</w:t>
      </w:r>
      <w:r>
        <w:rPr>
          <w:spacing w:val="1"/>
        </w:rPr>
        <w:t> </w:t>
      </w:r>
      <w:bookmarkEnd w:id="71"/>
      <w:r>
        <w:rPr>
          <w:spacing w:val="-2"/>
        </w:rPr>
        <w:t>markers</w:t>
      </w:r>
    </w:p>
    <w:p>
      <w:pPr>
        <w:pStyle w:val="BodyText"/>
        <w:spacing w:line="480" w:lineRule="auto" w:before="271"/>
        <w:ind w:left="296" w:right="1134"/>
        <w:jc w:val="both"/>
      </w:pPr>
      <w:r>
        <w:rPr/>
        <w:t>The serum magnesium levels for the diabetic control group was significantly (</w:t>
      </w:r>
      <w:r>
        <w:rPr>
          <w:i/>
        </w:rPr>
        <w:t>p</w:t>
      </w:r>
      <w:r>
        <w:rPr/>
        <w:t>&lt;0.05) lower than the non diabetic control. Treatment with glimepiride alone at 8 pm, and concurrent administration of glimepiride and nifedipine at 8 pm did not reveal any significant difference in serum magnesium level when compared to the diabetic control group. However, treatment with glimepiride at 8 pm and nifedipine at 8 am revealed significantly (</w:t>
      </w:r>
      <w:r>
        <w:rPr>
          <w:i/>
        </w:rPr>
        <w:t>p</w:t>
      </w:r>
      <w:r>
        <w:rPr/>
        <w:t>&lt;0.05) higher serum magnesium levels when compared to the diabetic control group.</w:t>
      </w:r>
    </w:p>
    <w:p>
      <w:pPr>
        <w:pStyle w:val="BodyText"/>
      </w:pPr>
    </w:p>
    <w:p>
      <w:pPr>
        <w:pStyle w:val="BodyText"/>
        <w:spacing w:before="200"/>
      </w:pPr>
    </w:p>
    <w:p>
      <w:pPr>
        <w:pStyle w:val="BodyText"/>
        <w:spacing w:line="480" w:lineRule="auto"/>
        <w:ind w:left="296" w:right="1135"/>
        <w:jc w:val="both"/>
      </w:pPr>
      <w:r>
        <w:rPr/>
        <w:t>The serum cholesterol and triglyceride levels for the diabetic control group were significantly</w:t>
      </w:r>
      <w:r>
        <w:rPr>
          <w:spacing w:val="-3"/>
        </w:rPr>
        <w:t> </w:t>
      </w:r>
      <w:r>
        <w:rPr/>
        <w:t>(</w:t>
      </w:r>
      <w:r>
        <w:rPr>
          <w:i/>
        </w:rPr>
        <w:t>p</w:t>
      </w:r>
      <w:r>
        <w:rPr/>
        <w:t>&lt;0.01) higher</w:t>
      </w:r>
      <w:r>
        <w:rPr>
          <w:spacing w:val="-1"/>
        </w:rPr>
        <w:t> </w:t>
      </w:r>
      <w:r>
        <w:rPr/>
        <w:t>than the</w:t>
      </w:r>
      <w:r>
        <w:rPr>
          <w:spacing w:val="-1"/>
        </w:rPr>
        <w:t> </w:t>
      </w:r>
      <w:r>
        <w:rPr/>
        <w:t>non diabetic</w:t>
      </w:r>
      <w:r>
        <w:rPr>
          <w:spacing w:val="-1"/>
        </w:rPr>
        <w:t> </w:t>
      </w:r>
      <w:r>
        <w:rPr/>
        <w:t>control. Treatment with glimepiride at 8 pm, and concurrent administration of glimepiride and nifedipine at 8 pm did not reveal any significant difference in serum cholesterol and triglyceride levels when compared to the diabetic control group. However, treatment with glimepiride at 8 pm and nifedipine at 8</w:t>
      </w:r>
      <w:r>
        <w:rPr>
          <w:spacing w:val="80"/>
        </w:rPr>
        <w:t> </w:t>
      </w:r>
      <w:r>
        <w:rPr/>
        <w:t>am revealed a significantly (</w:t>
      </w:r>
      <w:r>
        <w:rPr>
          <w:i/>
        </w:rPr>
        <w:t>p</w:t>
      </w:r>
      <w:r>
        <w:rPr/>
        <w:t>&lt;0.05) lower serum cholesterol and triglyceride levels when compared to the diabetic control group.</w:t>
      </w:r>
    </w:p>
    <w:p>
      <w:pPr>
        <w:spacing w:after="0" w:line="480" w:lineRule="auto"/>
        <w:jc w:val="both"/>
        <w:sectPr>
          <w:pgSz w:w="12240" w:h="15840"/>
          <w:pgMar w:header="0" w:footer="1015" w:top="1360" w:bottom="1200" w:left="1720" w:right="300"/>
        </w:sectPr>
      </w:pPr>
    </w:p>
    <w:p>
      <w:pPr>
        <w:tabs>
          <w:tab w:pos="1736" w:val="left" w:leader="none"/>
        </w:tabs>
        <w:spacing w:line="480" w:lineRule="auto" w:before="76"/>
        <w:ind w:left="296" w:right="1614" w:firstLine="0"/>
        <w:jc w:val="left"/>
        <w:rPr>
          <w:b/>
          <w:sz w:val="24"/>
        </w:rPr>
      </w:pPr>
      <w:r>
        <w:rPr>
          <w:b/>
          <w:sz w:val="24"/>
        </w:rPr>
        <w:t>Table 4.6</w:t>
        <w:tab/>
        <w:t>Effect</w:t>
      </w:r>
      <w:r>
        <w:rPr>
          <w:b/>
          <w:spacing w:val="-7"/>
          <w:sz w:val="24"/>
        </w:rPr>
        <w:t> </w:t>
      </w:r>
      <w:r>
        <w:rPr>
          <w:b/>
          <w:sz w:val="24"/>
        </w:rPr>
        <w:t>of</w:t>
      </w:r>
      <w:r>
        <w:rPr>
          <w:b/>
          <w:spacing w:val="-5"/>
          <w:sz w:val="24"/>
        </w:rPr>
        <w:t> </w:t>
      </w:r>
      <w:r>
        <w:rPr>
          <w:b/>
          <w:sz w:val="24"/>
        </w:rPr>
        <w:t>21-day</w:t>
      </w:r>
      <w:r>
        <w:rPr>
          <w:b/>
          <w:spacing w:val="-7"/>
          <w:sz w:val="24"/>
        </w:rPr>
        <w:t> </w:t>
      </w:r>
      <w:r>
        <w:rPr>
          <w:b/>
          <w:sz w:val="24"/>
        </w:rPr>
        <w:t>chronomodulated</w:t>
      </w:r>
      <w:r>
        <w:rPr>
          <w:b/>
          <w:spacing w:val="-7"/>
          <w:sz w:val="24"/>
        </w:rPr>
        <w:t> </w:t>
      </w:r>
      <w:r>
        <w:rPr>
          <w:b/>
          <w:sz w:val="24"/>
        </w:rPr>
        <w:t>nifedipine</w:t>
      </w:r>
      <w:r>
        <w:rPr>
          <w:b/>
          <w:spacing w:val="-8"/>
          <w:sz w:val="24"/>
        </w:rPr>
        <w:t> </w:t>
      </w:r>
      <w:r>
        <w:rPr>
          <w:b/>
          <w:sz w:val="24"/>
        </w:rPr>
        <w:t>administration</w:t>
      </w:r>
      <w:r>
        <w:rPr>
          <w:b/>
          <w:spacing w:val="-6"/>
          <w:sz w:val="24"/>
        </w:rPr>
        <w:t> </w:t>
      </w:r>
      <w:r>
        <w:rPr>
          <w:b/>
          <w:sz w:val="24"/>
        </w:rPr>
        <w:t>serum renal markers in glimepiride-treated hyperglycaemic rats</w:t>
      </w:r>
    </w:p>
    <w:p>
      <w:pPr>
        <w:pStyle w:val="BodyText"/>
        <w:spacing w:before="50"/>
        <w:rPr>
          <w:b/>
          <w:sz w:val="20"/>
        </w:rPr>
      </w:pPr>
    </w:p>
    <w:tbl>
      <w:tblPr>
        <w:tblW w:w="0" w:type="auto"/>
        <w:jc w:val="left"/>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2"/>
        <w:gridCol w:w="1912"/>
        <w:gridCol w:w="2525"/>
        <w:gridCol w:w="2287"/>
      </w:tblGrid>
      <w:tr>
        <w:trPr>
          <w:trHeight w:val="757" w:hRule="atLeast"/>
        </w:trPr>
        <w:tc>
          <w:tcPr>
            <w:tcW w:w="2282" w:type="dxa"/>
            <w:tcBorders>
              <w:top w:val="single" w:sz="4" w:space="0" w:color="000000"/>
              <w:bottom w:val="single" w:sz="4" w:space="0" w:color="000000"/>
            </w:tcBorders>
          </w:tcPr>
          <w:p>
            <w:pPr>
              <w:pStyle w:val="TableParagraph"/>
              <w:spacing w:before="234"/>
              <w:rPr>
                <w:sz w:val="24"/>
              </w:rPr>
            </w:pPr>
            <w:r>
              <w:rPr>
                <w:spacing w:val="-2"/>
                <w:sz w:val="24"/>
              </w:rPr>
              <w:t>Groups</w:t>
            </w:r>
          </w:p>
        </w:tc>
        <w:tc>
          <w:tcPr>
            <w:tcW w:w="1912" w:type="dxa"/>
            <w:tcBorders>
              <w:top w:val="single" w:sz="4" w:space="0" w:color="000000"/>
              <w:bottom w:val="single" w:sz="4" w:space="0" w:color="000000"/>
            </w:tcBorders>
          </w:tcPr>
          <w:p>
            <w:pPr>
              <w:pStyle w:val="TableParagraph"/>
              <w:spacing w:before="234"/>
              <w:ind w:left="176"/>
              <w:rPr>
                <w:sz w:val="24"/>
              </w:rPr>
            </w:pPr>
            <w:r>
              <w:rPr>
                <w:sz w:val="24"/>
              </w:rPr>
              <w:t>Mg</w:t>
            </w:r>
            <w:r>
              <w:rPr>
                <w:sz w:val="24"/>
                <w:vertAlign w:val="superscript"/>
              </w:rPr>
              <w:t>2+</w:t>
            </w:r>
            <w:r>
              <w:rPr>
                <w:spacing w:val="-1"/>
                <w:sz w:val="24"/>
                <w:vertAlign w:val="baseline"/>
              </w:rPr>
              <w:t> </w:t>
            </w:r>
            <w:r>
              <w:rPr>
                <w:spacing w:val="-2"/>
                <w:sz w:val="24"/>
                <w:vertAlign w:val="baseline"/>
              </w:rPr>
              <w:t>(mg/dl)</w:t>
            </w:r>
          </w:p>
        </w:tc>
        <w:tc>
          <w:tcPr>
            <w:tcW w:w="2525" w:type="dxa"/>
            <w:tcBorders>
              <w:top w:val="single" w:sz="4" w:space="0" w:color="000000"/>
              <w:bottom w:val="single" w:sz="4" w:space="0" w:color="000000"/>
            </w:tcBorders>
          </w:tcPr>
          <w:p>
            <w:pPr>
              <w:pStyle w:val="TableParagraph"/>
              <w:spacing w:before="234"/>
              <w:ind w:left="455"/>
              <w:rPr>
                <w:sz w:val="24"/>
              </w:rPr>
            </w:pPr>
            <w:r>
              <w:rPr>
                <w:sz w:val="24"/>
              </w:rPr>
              <w:t>Cholesterol</w:t>
            </w:r>
            <w:r>
              <w:rPr>
                <w:spacing w:val="-2"/>
                <w:sz w:val="24"/>
              </w:rPr>
              <w:t> (mg/dl)</w:t>
            </w:r>
          </w:p>
        </w:tc>
        <w:tc>
          <w:tcPr>
            <w:tcW w:w="2287" w:type="dxa"/>
            <w:tcBorders>
              <w:top w:val="single" w:sz="4" w:space="0" w:color="000000"/>
              <w:bottom w:val="single" w:sz="4" w:space="0" w:color="000000"/>
            </w:tcBorders>
          </w:tcPr>
          <w:p>
            <w:pPr>
              <w:pStyle w:val="TableParagraph"/>
              <w:spacing w:before="234"/>
              <w:ind w:left="189"/>
              <w:rPr>
                <w:sz w:val="24"/>
              </w:rPr>
            </w:pPr>
            <w:r>
              <w:rPr>
                <w:sz w:val="24"/>
              </w:rPr>
              <w:t>Triglyceride</w:t>
            </w:r>
            <w:r>
              <w:rPr>
                <w:spacing w:val="-3"/>
                <w:sz w:val="24"/>
              </w:rPr>
              <w:t> </w:t>
            </w:r>
            <w:r>
              <w:rPr>
                <w:spacing w:val="-2"/>
                <w:sz w:val="24"/>
              </w:rPr>
              <w:t>(mg/dl)</w:t>
            </w:r>
          </w:p>
        </w:tc>
      </w:tr>
      <w:tr>
        <w:trPr>
          <w:trHeight w:val="755" w:hRule="atLeast"/>
        </w:trPr>
        <w:tc>
          <w:tcPr>
            <w:tcW w:w="2282" w:type="dxa"/>
            <w:tcBorders>
              <w:top w:val="single" w:sz="4" w:space="0" w:color="000000"/>
            </w:tcBorders>
          </w:tcPr>
          <w:p>
            <w:pPr>
              <w:pStyle w:val="TableParagraph"/>
              <w:spacing w:before="234"/>
              <w:rPr>
                <w:sz w:val="24"/>
              </w:rPr>
            </w:pPr>
            <w:r>
              <w:rPr>
                <w:sz w:val="24"/>
              </w:rPr>
              <w:t>Non-diabetic</w:t>
            </w:r>
            <w:r>
              <w:rPr>
                <w:spacing w:val="-5"/>
                <w:sz w:val="24"/>
              </w:rPr>
              <w:t> </w:t>
            </w:r>
            <w:r>
              <w:rPr>
                <w:spacing w:val="-2"/>
                <w:sz w:val="24"/>
              </w:rPr>
              <w:t>control</w:t>
            </w:r>
          </w:p>
        </w:tc>
        <w:tc>
          <w:tcPr>
            <w:tcW w:w="1912" w:type="dxa"/>
            <w:tcBorders>
              <w:top w:val="single" w:sz="4" w:space="0" w:color="000000"/>
            </w:tcBorders>
          </w:tcPr>
          <w:p>
            <w:pPr>
              <w:pStyle w:val="TableParagraph"/>
              <w:spacing w:before="234"/>
              <w:ind w:left="176"/>
              <w:rPr>
                <w:sz w:val="24"/>
              </w:rPr>
            </w:pPr>
            <w:r>
              <w:rPr>
                <w:spacing w:val="-2"/>
                <w:sz w:val="24"/>
              </w:rPr>
              <w:t>2.38±0.12</w:t>
            </w:r>
          </w:p>
        </w:tc>
        <w:tc>
          <w:tcPr>
            <w:tcW w:w="2525" w:type="dxa"/>
            <w:tcBorders>
              <w:top w:val="single" w:sz="4" w:space="0" w:color="000000"/>
            </w:tcBorders>
          </w:tcPr>
          <w:p>
            <w:pPr>
              <w:pStyle w:val="TableParagraph"/>
              <w:spacing w:before="234"/>
              <w:ind w:left="455"/>
              <w:rPr>
                <w:sz w:val="24"/>
              </w:rPr>
            </w:pPr>
            <w:r>
              <w:rPr>
                <w:spacing w:val="-2"/>
                <w:sz w:val="24"/>
              </w:rPr>
              <w:t>65.21±12.55</w:t>
            </w:r>
          </w:p>
        </w:tc>
        <w:tc>
          <w:tcPr>
            <w:tcW w:w="2287" w:type="dxa"/>
            <w:tcBorders>
              <w:top w:val="single" w:sz="4" w:space="0" w:color="000000"/>
            </w:tcBorders>
          </w:tcPr>
          <w:p>
            <w:pPr>
              <w:pStyle w:val="TableParagraph"/>
              <w:spacing w:before="234"/>
              <w:ind w:left="189"/>
              <w:rPr>
                <w:sz w:val="24"/>
              </w:rPr>
            </w:pPr>
            <w:r>
              <w:rPr>
                <w:spacing w:val="-4"/>
                <w:sz w:val="24"/>
              </w:rPr>
              <w:t>5.00</w:t>
            </w:r>
          </w:p>
        </w:tc>
      </w:tr>
      <w:tr>
        <w:trPr>
          <w:trHeight w:val="757" w:hRule="atLeast"/>
        </w:trPr>
        <w:tc>
          <w:tcPr>
            <w:tcW w:w="2282" w:type="dxa"/>
          </w:tcPr>
          <w:p>
            <w:pPr>
              <w:pStyle w:val="TableParagraph"/>
              <w:spacing w:before="235"/>
              <w:rPr>
                <w:sz w:val="24"/>
              </w:rPr>
            </w:pPr>
            <w:r>
              <w:rPr>
                <w:sz w:val="24"/>
              </w:rPr>
              <w:t>Diabetic</w:t>
            </w:r>
            <w:r>
              <w:rPr>
                <w:spacing w:val="-3"/>
                <w:sz w:val="24"/>
              </w:rPr>
              <w:t> </w:t>
            </w:r>
            <w:r>
              <w:rPr>
                <w:spacing w:val="-2"/>
                <w:sz w:val="24"/>
              </w:rPr>
              <w:t>control</w:t>
            </w:r>
          </w:p>
        </w:tc>
        <w:tc>
          <w:tcPr>
            <w:tcW w:w="1912" w:type="dxa"/>
          </w:tcPr>
          <w:p>
            <w:pPr>
              <w:pStyle w:val="TableParagraph"/>
              <w:spacing w:before="235"/>
              <w:ind w:left="176"/>
              <w:rPr>
                <w:sz w:val="24"/>
              </w:rPr>
            </w:pPr>
            <w:r>
              <w:rPr>
                <w:spacing w:val="-2"/>
                <w:sz w:val="24"/>
              </w:rPr>
              <w:t>1.08±0.21*</w:t>
            </w:r>
          </w:p>
        </w:tc>
        <w:tc>
          <w:tcPr>
            <w:tcW w:w="2525" w:type="dxa"/>
          </w:tcPr>
          <w:p>
            <w:pPr>
              <w:pStyle w:val="TableParagraph"/>
              <w:spacing w:before="235"/>
              <w:ind w:left="455"/>
              <w:rPr>
                <w:sz w:val="24"/>
              </w:rPr>
            </w:pPr>
            <w:r>
              <w:rPr>
                <w:spacing w:val="-2"/>
                <w:sz w:val="24"/>
              </w:rPr>
              <w:t>187.97±6.77**</w:t>
            </w:r>
          </w:p>
        </w:tc>
        <w:tc>
          <w:tcPr>
            <w:tcW w:w="2287" w:type="dxa"/>
          </w:tcPr>
          <w:p>
            <w:pPr>
              <w:pStyle w:val="TableParagraph"/>
              <w:spacing w:before="235"/>
              <w:ind w:left="189"/>
              <w:rPr>
                <w:sz w:val="24"/>
              </w:rPr>
            </w:pPr>
            <w:r>
              <w:rPr>
                <w:spacing w:val="-2"/>
                <w:sz w:val="24"/>
              </w:rPr>
              <w:t>18.20*</w:t>
            </w:r>
          </w:p>
        </w:tc>
      </w:tr>
      <w:tr>
        <w:trPr>
          <w:trHeight w:val="758" w:hRule="atLeast"/>
        </w:trPr>
        <w:tc>
          <w:tcPr>
            <w:tcW w:w="2282" w:type="dxa"/>
          </w:tcPr>
          <w:p>
            <w:pPr>
              <w:pStyle w:val="TableParagraph"/>
              <w:spacing w:before="236"/>
              <w:rPr>
                <w:sz w:val="24"/>
              </w:rPr>
            </w:pPr>
            <w:r>
              <w:rPr>
                <w:sz w:val="24"/>
              </w:rPr>
              <w:t>Glimepiride</w:t>
            </w:r>
            <w:r>
              <w:rPr>
                <w:spacing w:val="-2"/>
                <w:sz w:val="24"/>
              </w:rPr>
              <w:t> </w:t>
            </w:r>
            <w:r>
              <w:rPr>
                <w:sz w:val="24"/>
              </w:rPr>
              <w:t>8 </w:t>
            </w:r>
            <w:r>
              <w:rPr>
                <w:spacing w:val="-5"/>
                <w:sz w:val="24"/>
              </w:rPr>
              <w:t>pm</w:t>
            </w:r>
          </w:p>
        </w:tc>
        <w:tc>
          <w:tcPr>
            <w:tcW w:w="1912" w:type="dxa"/>
          </w:tcPr>
          <w:p>
            <w:pPr>
              <w:pStyle w:val="TableParagraph"/>
              <w:spacing w:before="236"/>
              <w:ind w:left="176"/>
              <w:rPr>
                <w:sz w:val="24"/>
              </w:rPr>
            </w:pPr>
            <w:r>
              <w:rPr>
                <w:spacing w:val="-2"/>
                <w:sz w:val="24"/>
              </w:rPr>
              <w:t>1.51±0.13</w:t>
            </w:r>
          </w:p>
        </w:tc>
        <w:tc>
          <w:tcPr>
            <w:tcW w:w="2525" w:type="dxa"/>
          </w:tcPr>
          <w:p>
            <w:pPr>
              <w:pStyle w:val="TableParagraph"/>
              <w:spacing w:before="236"/>
              <w:ind w:left="455"/>
              <w:rPr>
                <w:sz w:val="24"/>
              </w:rPr>
            </w:pPr>
            <w:r>
              <w:rPr>
                <w:spacing w:val="-2"/>
                <w:sz w:val="24"/>
              </w:rPr>
              <w:t>158.74±8.74*</w:t>
            </w:r>
          </w:p>
        </w:tc>
        <w:tc>
          <w:tcPr>
            <w:tcW w:w="2287" w:type="dxa"/>
          </w:tcPr>
          <w:p>
            <w:pPr>
              <w:pStyle w:val="TableParagraph"/>
              <w:spacing w:before="236"/>
              <w:ind w:left="189"/>
              <w:rPr>
                <w:sz w:val="24"/>
              </w:rPr>
            </w:pPr>
            <w:r>
              <w:rPr>
                <w:spacing w:val="-2"/>
                <w:sz w:val="24"/>
              </w:rPr>
              <w:t>17.00</w:t>
            </w:r>
          </w:p>
        </w:tc>
      </w:tr>
      <w:tr>
        <w:trPr>
          <w:trHeight w:val="737" w:hRule="atLeast"/>
        </w:trPr>
        <w:tc>
          <w:tcPr>
            <w:tcW w:w="2282" w:type="dxa"/>
          </w:tcPr>
          <w:p>
            <w:pPr>
              <w:pStyle w:val="TableParagraph"/>
              <w:spacing w:before="236"/>
              <w:rPr>
                <w:sz w:val="24"/>
              </w:rPr>
            </w:pPr>
            <w:r>
              <w:rPr>
                <w:spacing w:val="-2"/>
                <w:sz w:val="24"/>
              </w:rPr>
              <w:t>Glim8pm+Nife8pm</w:t>
            </w:r>
          </w:p>
        </w:tc>
        <w:tc>
          <w:tcPr>
            <w:tcW w:w="1912" w:type="dxa"/>
          </w:tcPr>
          <w:p>
            <w:pPr>
              <w:pStyle w:val="TableParagraph"/>
              <w:spacing w:before="236"/>
              <w:ind w:left="176"/>
              <w:rPr>
                <w:sz w:val="24"/>
              </w:rPr>
            </w:pPr>
            <w:r>
              <w:rPr>
                <w:spacing w:val="-2"/>
                <w:sz w:val="24"/>
              </w:rPr>
              <w:t>1.65±0.26</w:t>
            </w:r>
          </w:p>
        </w:tc>
        <w:tc>
          <w:tcPr>
            <w:tcW w:w="2525" w:type="dxa"/>
          </w:tcPr>
          <w:p>
            <w:pPr>
              <w:pStyle w:val="TableParagraph"/>
              <w:spacing w:before="236"/>
              <w:ind w:left="455"/>
              <w:rPr>
                <w:sz w:val="24"/>
              </w:rPr>
            </w:pPr>
            <w:r>
              <w:rPr>
                <w:spacing w:val="-2"/>
                <w:sz w:val="24"/>
              </w:rPr>
              <w:t>145.12±5.86*</w:t>
            </w:r>
          </w:p>
        </w:tc>
        <w:tc>
          <w:tcPr>
            <w:tcW w:w="2287" w:type="dxa"/>
          </w:tcPr>
          <w:p>
            <w:pPr>
              <w:pStyle w:val="TableParagraph"/>
              <w:spacing w:before="236"/>
              <w:ind w:left="189"/>
              <w:rPr>
                <w:sz w:val="24"/>
              </w:rPr>
            </w:pPr>
            <w:r>
              <w:rPr>
                <w:spacing w:val="-2"/>
                <w:sz w:val="24"/>
              </w:rPr>
              <w:t>18.20</w:t>
            </w:r>
          </w:p>
        </w:tc>
      </w:tr>
      <w:tr>
        <w:trPr>
          <w:trHeight w:val="778" w:hRule="atLeast"/>
        </w:trPr>
        <w:tc>
          <w:tcPr>
            <w:tcW w:w="2282" w:type="dxa"/>
            <w:tcBorders>
              <w:bottom w:val="single" w:sz="4" w:space="0" w:color="000000"/>
            </w:tcBorders>
          </w:tcPr>
          <w:p>
            <w:pPr>
              <w:pStyle w:val="TableParagraph"/>
              <w:spacing w:before="255"/>
              <w:rPr>
                <w:sz w:val="24"/>
              </w:rPr>
            </w:pPr>
            <w:r>
              <w:rPr>
                <w:spacing w:val="-2"/>
                <w:sz w:val="24"/>
              </w:rPr>
              <w:t>Glim8pm+Nife8am</w:t>
            </w:r>
          </w:p>
        </w:tc>
        <w:tc>
          <w:tcPr>
            <w:tcW w:w="1912" w:type="dxa"/>
            <w:tcBorders>
              <w:bottom w:val="single" w:sz="4" w:space="0" w:color="000000"/>
            </w:tcBorders>
          </w:tcPr>
          <w:p>
            <w:pPr>
              <w:pStyle w:val="TableParagraph"/>
              <w:spacing w:before="255"/>
              <w:ind w:left="176"/>
              <w:rPr>
                <w:sz w:val="24"/>
              </w:rPr>
            </w:pPr>
            <w:r>
              <w:rPr>
                <w:spacing w:val="-2"/>
                <w:sz w:val="24"/>
              </w:rPr>
              <w:t>2.35±0.16</w:t>
            </w:r>
            <w:r>
              <w:rPr>
                <w:spacing w:val="-2"/>
                <w:sz w:val="24"/>
                <w:vertAlign w:val="superscript"/>
              </w:rPr>
              <w:t>#</w:t>
            </w:r>
          </w:p>
        </w:tc>
        <w:tc>
          <w:tcPr>
            <w:tcW w:w="2525" w:type="dxa"/>
            <w:tcBorders>
              <w:bottom w:val="single" w:sz="4" w:space="0" w:color="000000"/>
            </w:tcBorders>
          </w:tcPr>
          <w:p>
            <w:pPr>
              <w:pStyle w:val="TableParagraph"/>
              <w:spacing w:before="255"/>
              <w:ind w:left="455"/>
              <w:rPr>
                <w:sz w:val="24"/>
              </w:rPr>
            </w:pPr>
            <w:r>
              <w:rPr>
                <w:spacing w:val="-2"/>
                <w:sz w:val="24"/>
              </w:rPr>
              <w:t>63.68±5.57</w:t>
            </w:r>
            <w:r>
              <w:rPr>
                <w:spacing w:val="-2"/>
                <w:sz w:val="24"/>
                <w:vertAlign w:val="superscript"/>
              </w:rPr>
              <w:t>##</w:t>
            </w:r>
          </w:p>
        </w:tc>
        <w:tc>
          <w:tcPr>
            <w:tcW w:w="2287" w:type="dxa"/>
            <w:tcBorders>
              <w:bottom w:val="single" w:sz="4" w:space="0" w:color="000000"/>
            </w:tcBorders>
          </w:tcPr>
          <w:p>
            <w:pPr>
              <w:pStyle w:val="TableParagraph"/>
              <w:spacing w:before="255"/>
              <w:ind w:left="189"/>
              <w:rPr>
                <w:sz w:val="24"/>
              </w:rPr>
            </w:pPr>
            <w:r>
              <w:rPr>
                <w:spacing w:val="-2"/>
                <w:sz w:val="24"/>
              </w:rPr>
              <w:t>6.60</w:t>
            </w:r>
            <w:r>
              <w:rPr>
                <w:spacing w:val="-2"/>
                <w:sz w:val="24"/>
                <w:vertAlign w:val="superscript"/>
              </w:rPr>
              <w:t>#</w:t>
            </w:r>
          </w:p>
        </w:tc>
      </w:tr>
    </w:tbl>
    <w:p>
      <w:pPr>
        <w:pStyle w:val="BodyText"/>
        <w:spacing w:line="360" w:lineRule="auto" w:before="273"/>
        <w:ind w:left="296" w:right="1131"/>
        <w:jc w:val="both"/>
      </w:pPr>
      <w:r>
        <w:rPr/>
        <w:t>Data are mean ± SEM and mean rank (Triglyceride) * =</w:t>
      </w:r>
      <w:r>
        <w:rPr>
          <w:i/>
        </w:rPr>
        <w:t>p </w:t>
      </w:r>
      <w:r>
        <w:rPr/>
        <w:t>≤ 0.05 compared to non-diabetic control, ** = </w:t>
      </w:r>
      <w:r>
        <w:rPr>
          <w:i/>
        </w:rPr>
        <w:t>p </w:t>
      </w:r>
      <w:r>
        <w:rPr/>
        <w:t>≤ 0.01 compared to non-diabetic control, </w:t>
      </w:r>
      <w:r>
        <w:rPr>
          <w:vertAlign w:val="superscript"/>
        </w:rPr>
        <w:t>#</w:t>
      </w:r>
      <w:r>
        <w:rPr>
          <w:vertAlign w:val="baseline"/>
        </w:rPr>
        <w:t> = </w:t>
      </w:r>
      <w:r>
        <w:rPr>
          <w:i/>
          <w:vertAlign w:val="baseline"/>
        </w:rPr>
        <w:t>p </w:t>
      </w:r>
      <w:r>
        <w:rPr>
          <w:vertAlign w:val="baseline"/>
        </w:rPr>
        <w:t>≤ 0.05 compared to diabetic control, </w:t>
      </w:r>
      <w:r>
        <w:rPr>
          <w:vertAlign w:val="superscript"/>
        </w:rPr>
        <w:t>##</w:t>
      </w:r>
      <w:r>
        <w:rPr>
          <w:vertAlign w:val="baseline"/>
        </w:rPr>
        <w:t> = </w:t>
      </w:r>
      <w:r>
        <w:rPr>
          <w:i/>
          <w:vertAlign w:val="baseline"/>
        </w:rPr>
        <w:t>p </w:t>
      </w:r>
      <w:r>
        <w:rPr>
          <w:vertAlign w:val="baseline"/>
        </w:rPr>
        <w:t>≤ 0.01 compared to diabetic control one way ANOVA followed by Bonferoni</w:t>
      </w:r>
      <w:r>
        <w:rPr>
          <w:spacing w:val="-8"/>
          <w:vertAlign w:val="baseline"/>
        </w:rPr>
        <w:t> </w:t>
      </w:r>
      <w:r>
        <w:rPr>
          <w:i/>
          <w:vertAlign w:val="baseline"/>
        </w:rPr>
        <w:t>post</w:t>
      </w:r>
      <w:r>
        <w:rPr>
          <w:i/>
          <w:spacing w:val="-2"/>
          <w:vertAlign w:val="baseline"/>
        </w:rPr>
        <w:t> </w:t>
      </w:r>
      <w:r>
        <w:rPr>
          <w:i/>
          <w:vertAlign w:val="baseline"/>
        </w:rPr>
        <w:t>hoc</w:t>
      </w:r>
      <w:r>
        <w:rPr>
          <w:i/>
          <w:spacing w:val="-2"/>
          <w:vertAlign w:val="baseline"/>
        </w:rPr>
        <w:t> </w:t>
      </w:r>
      <w:r>
        <w:rPr>
          <w:vertAlign w:val="baseline"/>
        </w:rPr>
        <w:t>test</w:t>
      </w:r>
      <w:r>
        <w:rPr>
          <w:spacing w:val="-2"/>
          <w:vertAlign w:val="baseline"/>
        </w:rPr>
        <w:t> </w:t>
      </w:r>
      <w:r>
        <w:rPr>
          <w:vertAlign w:val="baseline"/>
        </w:rPr>
        <w:t>for</w:t>
      </w:r>
      <w:r>
        <w:rPr>
          <w:spacing w:val="-2"/>
          <w:vertAlign w:val="baseline"/>
        </w:rPr>
        <w:t> </w:t>
      </w:r>
      <w:r>
        <w:rPr>
          <w:vertAlign w:val="baseline"/>
        </w:rPr>
        <w:t>Mg</w:t>
      </w:r>
      <w:r>
        <w:rPr>
          <w:vertAlign w:val="superscript"/>
        </w:rPr>
        <w:t>2+</w:t>
      </w:r>
      <w:r>
        <w:rPr>
          <w:spacing w:val="-15"/>
          <w:vertAlign w:val="baseline"/>
        </w:rPr>
        <w:t> </w:t>
      </w:r>
      <w:r>
        <w:rPr>
          <w:vertAlign w:val="baseline"/>
        </w:rPr>
        <w:t>and</w:t>
      </w:r>
      <w:r>
        <w:rPr>
          <w:spacing w:val="-2"/>
          <w:vertAlign w:val="baseline"/>
        </w:rPr>
        <w:t> </w:t>
      </w:r>
      <w:r>
        <w:rPr>
          <w:vertAlign w:val="baseline"/>
        </w:rPr>
        <w:t>Cholesterol,</w:t>
      </w:r>
      <w:r>
        <w:rPr>
          <w:spacing w:val="-3"/>
          <w:vertAlign w:val="baseline"/>
        </w:rPr>
        <w:t> </w:t>
      </w:r>
      <w:r>
        <w:rPr>
          <w:vertAlign w:val="baseline"/>
        </w:rPr>
        <w:t>Kruskal</w:t>
      </w:r>
      <w:r>
        <w:rPr>
          <w:spacing w:val="-3"/>
          <w:vertAlign w:val="baseline"/>
        </w:rPr>
        <w:t> </w:t>
      </w:r>
      <w:r>
        <w:rPr>
          <w:vertAlign w:val="baseline"/>
        </w:rPr>
        <w:t>Wallis</w:t>
      </w:r>
      <w:r>
        <w:rPr>
          <w:spacing w:val="-2"/>
          <w:vertAlign w:val="baseline"/>
        </w:rPr>
        <w:t> </w:t>
      </w:r>
      <w:r>
        <w:rPr>
          <w:vertAlign w:val="baseline"/>
        </w:rPr>
        <w:t>and</w:t>
      </w:r>
      <w:r>
        <w:rPr>
          <w:spacing w:val="-2"/>
          <w:vertAlign w:val="baseline"/>
        </w:rPr>
        <w:t> </w:t>
      </w:r>
      <w:r>
        <w:rPr>
          <w:vertAlign w:val="baseline"/>
        </w:rPr>
        <w:t>Dunn-Bonferoni</w:t>
      </w:r>
      <w:r>
        <w:rPr>
          <w:spacing w:val="-2"/>
          <w:vertAlign w:val="baseline"/>
        </w:rPr>
        <w:t> </w:t>
      </w:r>
      <w:r>
        <w:rPr>
          <w:i/>
          <w:vertAlign w:val="baseline"/>
        </w:rPr>
        <w:t>post hoc </w:t>
      </w:r>
      <w:r>
        <w:rPr>
          <w:vertAlign w:val="baseline"/>
        </w:rPr>
        <w:t>test for triglyceride, n =5-8, Glim8pm+ Nife8am = treated with glimepiride at 8 pm</w:t>
      </w:r>
      <w:r>
        <w:rPr>
          <w:spacing w:val="40"/>
          <w:vertAlign w:val="baseline"/>
        </w:rPr>
        <w:t> </w:t>
      </w:r>
      <w:r>
        <w:rPr>
          <w:vertAlign w:val="baseline"/>
        </w:rPr>
        <w:t>and nifedipine at 8 am; Glim8pm+ Nife8pm = treated with glimepiride at 8 pm and nifedipine at 8 pm</w:t>
      </w:r>
    </w:p>
    <w:p>
      <w:pPr>
        <w:spacing w:after="0" w:line="360" w:lineRule="auto"/>
        <w:jc w:val="both"/>
        <w:sectPr>
          <w:pgSz w:w="12240" w:h="15840"/>
          <w:pgMar w:header="0" w:footer="1015" w:top="1360" w:bottom="1200" w:left="1720" w:right="300"/>
        </w:sectPr>
      </w:pPr>
    </w:p>
    <w:p>
      <w:pPr>
        <w:pStyle w:val="Heading2"/>
        <w:numPr>
          <w:ilvl w:val="2"/>
          <w:numId w:val="17"/>
        </w:numPr>
        <w:tabs>
          <w:tab w:pos="1016" w:val="left" w:leader="none"/>
        </w:tabs>
        <w:spacing w:line="240" w:lineRule="auto" w:before="76" w:after="0"/>
        <w:ind w:left="1016" w:right="0" w:hanging="720"/>
        <w:jc w:val="both"/>
      </w:pPr>
      <w:bookmarkStart w:name="_TOC_250009" w:id="72"/>
      <w:r>
        <w:rPr/>
        <w:t>Histology</w:t>
      </w:r>
      <w:r>
        <w:rPr>
          <w:spacing w:val="-1"/>
        </w:rPr>
        <w:t> </w:t>
      </w:r>
      <w:r>
        <w:rPr/>
        <w:t>of</w:t>
      </w:r>
      <w:r>
        <w:rPr>
          <w:spacing w:val="1"/>
        </w:rPr>
        <w:t> </w:t>
      </w:r>
      <w:r>
        <w:rPr/>
        <w:t>the</w:t>
      </w:r>
      <w:r>
        <w:rPr>
          <w:spacing w:val="-1"/>
        </w:rPr>
        <w:t> </w:t>
      </w:r>
      <w:bookmarkEnd w:id="72"/>
      <w:r>
        <w:rPr>
          <w:spacing w:val="-2"/>
        </w:rPr>
        <w:t>retina</w:t>
      </w:r>
    </w:p>
    <w:p>
      <w:pPr>
        <w:pStyle w:val="BodyText"/>
        <w:spacing w:line="480" w:lineRule="auto" w:before="272"/>
        <w:ind w:left="296" w:right="1135"/>
        <w:jc w:val="both"/>
      </w:pPr>
      <w:r>
        <w:rPr/>
        <w:t>Examination of retinal sections of diabetic control rats showed severe distortion of the retinal</w:t>
      </w:r>
      <w:r>
        <w:rPr>
          <w:spacing w:val="-3"/>
        </w:rPr>
        <w:t> </w:t>
      </w:r>
      <w:r>
        <w:rPr/>
        <w:t>layers</w:t>
      </w:r>
      <w:r>
        <w:rPr>
          <w:spacing w:val="-3"/>
        </w:rPr>
        <w:t> </w:t>
      </w:r>
      <w:r>
        <w:rPr/>
        <w:t>(Plate</w:t>
      </w:r>
      <w:r>
        <w:rPr>
          <w:spacing w:val="-4"/>
        </w:rPr>
        <w:t> </w:t>
      </w:r>
      <w:r>
        <w:rPr/>
        <w:t>VII).</w:t>
      </w:r>
      <w:r>
        <w:rPr>
          <w:spacing w:val="-1"/>
        </w:rPr>
        <w:t> </w:t>
      </w:r>
      <w:r>
        <w:rPr/>
        <w:t>Representative</w:t>
      </w:r>
      <w:r>
        <w:rPr>
          <w:spacing w:val="-3"/>
        </w:rPr>
        <w:t> </w:t>
      </w:r>
      <w:r>
        <w:rPr/>
        <w:t>photomicrographs</w:t>
      </w:r>
      <w:r>
        <w:rPr>
          <w:spacing w:val="-3"/>
        </w:rPr>
        <w:t> </w:t>
      </w:r>
      <w:r>
        <w:rPr/>
        <w:t>of</w:t>
      </w:r>
      <w:r>
        <w:rPr>
          <w:spacing w:val="-2"/>
        </w:rPr>
        <w:t> </w:t>
      </w:r>
      <w:r>
        <w:rPr/>
        <w:t>the</w:t>
      </w:r>
      <w:r>
        <w:rPr>
          <w:spacing w:val="-4"/>
        </w:rPr>
        <w:t> </w:t>
      </w:r>
      <w:r>
        <w:rPr/>
        <w:t>retina</w:t>
      </w:r>
      <w:r>
        <w:rPr>
          <w:spacing w:val="-4"/>
        </w:rPr>
        <w:t> </w:t>
      </w:r>
      <w:r>
        <w:rPr/>
        <w:t>of rats</w:t>
      </w:r>
      <w:r>
        <w:rPr>
          <w:spacing w:val="-3"/>
        </w:rPr>
        <w:t> </w:t>
      </w:r>
      <w:r>
        <w:rPr/>
        <w:t>treated</w:t>
      </w:r>
      <w:r>
        <w:rPr>
          <w:spacing w:val="-3"/>
        </w:rPr>
        <w:t> </w:t>
      </w:r>
      <w:r>
        <w:rPr/>
        <w:t>with glimepiride alone at 8 pm showed necrosis of the rods and cones and the outer nuclear</w:t>
      </w:r>
      <w:r>
        <w:rPr>
          <w:spacing w:val="40"/>
        </w:rPr>
        <w:t> </w:t>
      </w:r>
      <w:r>
        <w:rPr/>
        <w:t>layer cells (Plate VIII). Rats treated with concurrent administration of glimepiride and nifedipine at 8 pm revealed slight necrosis of the inner and outer layer cells (Plate IX) while the representative photomicrograph of the retina of the of rats treated with glimepiride at 8 pm and nifedipine at 8 am revealed normal histo-architectural retinal</w:t>
      </w:r>
      <w:r>
        <w:rPr>
          <w:spacing w:val="40"/>
        </w:rPr>
        <w:t> </w:t>
      </w:r>
      <w:r>
        <w:rPr/>
        <w:t>layers (Plate X) similar to that of the non-diabetic control group (VI).</w:t>
      </w:r>
    </w:p>
    <w:p>
      <w:pPr>
        <w:spacing w:after="0" w:line="480" w:lineRule="auto"/>
        <w:jc w:val="both"/>
        <w:sectPr>
          <w:pgSz w:w="12240" w:h="15840"/>
          <w:pgMar w:header="0" w:footer="1015" w:top="1360" w:bottom="1200" w:left="1720" w:right="300"/>
        </w:sectPr>
      </w:pPr>
    </w:p>
    <w:p>
      <w:pPr>
        <w:pStyle w:val="BodyText"/>
        <w:ind w:left="326"/>
        <w:rPr>
          <w:sz w:val="20"/>
        </w:rPr>
      </w:pPr>
      <w:r>
        <w:rPr>
          <w:sz w:val="20"/>
        </w:rPr>
        <mc:AlternateContent>
          <mc:Choice Requires="wps">
            <w:drawing>
              <wp:inline distT="0" distB="0" distL="0" distR="0">
                <wp:extent cx="5269865" cy="2803525"/>
                <wp:effectExtent l="0" t="0" r="0" b="6350"/>
                <wp:docPr id="150" name="Group 150"/>
                <wp:cNvGraphicFramePr>
                  <a:graphicFrameLocks/>
                </wp:cNvGraphicFramePr>
                <a:graphic>
                  <a:graphicData uri="http://schemas.microsoft.com/office/word/2010/wordprocessingGroup">
                    <wpg:wgp>
                      <wpg:cNvPr id="150" name="Group 150"/>
                      <wpg:cNvGrpSpPr/>
                      <wpg:grpSpPr>
                        <a:xfrm>
                          <a:off x="0" y="0"/>
                          <a:ext cx="5269865" cy="2803525"/>
                          <a:chExt cx="5269865" cy="2803525"/>
                        </a:xfrm>
                      </wpg:grpSpPr>
                      <pic:pic>
                        <pic:nvPicPr>
                          <pic:cNvPr id="151" name="Image 151"/>
                          <pic:cNvPicPr/>
                        </pic:nvPicPr>
                        <pic:blipFill>
                          <a:blip r:embed="rId33" cstate="print"/>
                          <a:stretch>
                            <a:fillRect/>
                          </a:stretch>
                        </pic:blipFill>
                        <pic:spPr>
                          <a:xfrm>
                            <a:off x="0" y="0"/>
                            <a:ext cx="5269865" cy="2803525"/>
                          </a:xfrm>
                          <a:prstGeom prst="rect">
                            <a:avLst/>
                          </a:prstGeom>
                        </pic:spPr>
                      </pic:pic>
                      <pic:pic>
                        <pic:nvPicPr>
                          <pic:cNvPr id="152" name="Image 152"/>
                          <pic:cNvPicPr/>
                        </pic:nvPicPr>
                        <pic:blipFill>
                          <a:blip r:embed="rId34" cstate="print"/>
                          <a:stretch>
                            <a:fillRect/>
                          </a:stretch>
                        </pic:blipFill>
                        <pic:spPr>
                          <a:xfrm>
                            <a:off x="560705" y="774065"/>
                            <a:ext cx="245110" cy="245109"/>
                          </a:xfrm>
                          <a:prstGeom prst="rect">
                            <a:avLst/>
                          </a:prstGeom>
                        </pic:spPr>
                      </pic:pic>
                      <pic:pic>
                        <pic:nvPicPr>
                          <pic:cNvPr id="153" name="Image 153"/>
                          <pic:cNvPicPr/>
                        </pic:nvPicPr>
                        <pic:blipFill>
                          <a:blip r:embed="rId34" cstate="print"/>
                          <a:stretch>
                            <a:fillRect/>
                          </a:stretch>
                        </pic:blipFill>
                        <pic:spPr>
                          <a:xfrm>
                            <a:off x="1284605" y="1002664"/>
                            <a:ext cx="245110" cy="245109"/>
                          </a:xfrm>
                          <a:prstGeom prst="rect">
                            <a:avLst/>
                          </a:prstGeom>
                        </pic:spPr>
                      </pic:pic>
                      <pic:pic>
                        <pic:nvPicPr>
                          <pic:cNvPr id="154" name="Image 154"/>
                          <pic:cNvPicPr/>
                        </pic:nvPicPr>
                        <pic:blipFill>
                          <a:blip r:embed="rId34" cstate="print"/>
                          <a:stretch>
                            <a:fillRect/>
                          </a:stretch>
                        </pic:blipFill>
                        <pic:spPr>
                          <a:xfrm>
                            <a:off x="2418079" y="1497964"/>
                            <a:ext cx="245110" cy="245109"/>
                          </a:xfrm>
                          <a:prstGeom prst="rect">
                            <a:avLst/>
                          </a:prstGeom>
                        </pic:spPr>
                      </pic:pic>
                      <pic:pic>
                        <pic:nvPicPr>
                          <pic:cNvPr id="155" name="Image 155"/>
                          <pic:cNvPicPr/>
                        </pic:nvPicPr>
                        <pic:blipFill>
                          <a:blip r:embed="rId34" cstate="print"/>
                          <a:stretch>
                            <a:fillRect/>
                          </a:stretch>
                        </pic:blipFill>
                        <pic:spPr>
                          <a:xfrm>
                            <a:off x="4037329" y="1650364"/>
                            <a:ext cx="245110" cy="245109"/>
                          </a:xfrm>
                          <a:prstGeom prst="rect">
                            <a:avLst/>
                          </a:prstGeom>
                        </pic:spPr>
                      </pic:pic>
                      <pic:pic>
                        <pic:nvPicPr>
                          <pic:cNvPr id="156" name="Image 156"/>
                          <pic:cNvPicPr/>
                        </pic:nvPicPr>
                        <pic:blipFill>
                          <a:blip r:embed="rId34" cstate="print"/>
                          <a:stretch>
                            <a:fillRect/>
                          </a:stretch>
                        </pic:blipFill>
                        <pic:spPr>
                          <a:xfrm>
                            <a:off x="1475105" y="1888489"/>
                            <a:ext cx="245110" cy="245109"/>
                          </a:xfrm>
                          <a:prstGeom prst="rect">
                            <a:avLst/>
                          </a:prstGeom>
                        </pic:spPr>
                      </pic:pic>
                    </wpg:wgp>
                  </a:graphicData>
                </a:graphic>
              </wp:inline>
            </w:drawing>
          </mc:Choice>
          <mc:Fallback>
            <w:pict>
              <v:group style="width:414.95pt;height:220.75pt;mso-position-horizontal-relative:char;mso-position-vertical-relative:line" id="docshapegroup147" coordorigin="0,0" coordsize="8299,4415">
                <v:shape style="position:absolute;left:0;top:0;width:8299;height:4415" type="#_x0000_t75" id="docshape148" stroked="false">
                  <v:imagedata r:id="rId33" o:title=""/>
                </v:shape>
                <v:shape style="position:absolute;left:883;top:1219;width:386;height:386" type="#_x0000_t75" id="docshape149" stroked="false">
                  <v:imagedata r:id="rId34" o:title=""/>
                </v:shape>
                <v:shape style="position:absolute;left:2023;top:1579;width:386;height:386" type="#_x0000_t75" id="docshape150" stroked="false">
                  <v:imagedata r:id="rId34" o:title=""/>
                </v:shape>
                <v:shape style="position:absolute;left:3808;top:2359;width:386;height:386" type="#_x0000_t75" id="docshape151" stroked="false">
                  <v:imagedata r:id="rId34" o:title=""/>
                </v:shape>
                <v:shape style="position:absolute;left:6358;top:2599;width:386;height:386" type="#_x0000_t75" id="docshape152" stroked="false">
                  <v:imagedata r:id="rId34" o:title=""/>
                </v:shape>
                <v:shape style="position:absolute;left:2323;top:2974;width:386;height:386" type="#_x0000_t75" id="docshape153" stroked="false">
                  <v:imagedata r:id="rId34" o:title=""/>
                </v:shape>
              </v:group>
            </w:pict>
          </mc:Fallback>
        </mc:AlternateContent>
      </w:r>
      <w:r>
        <w:rPr>
          <w:sz w:val="20"/>
        </w:rPr>
      </w:r>
    </w:p>
    <w:p>
      <w:pPr>
        <w:spacing w:line="360" w:lineRule="auto" w:before="267"/>
        <w:ind w:left="296" w:right="1137" w:firstLine="0"/>
        <w:jc w:val="both"/>
        <w:rPr>
          <w:b/>
          <w:sz w:val="24"/>
        </w:rPr>
      </w:pPr>
      <w:r>
        <w:rPr>
          <w:b/>
          <w:sz w:val="24"/>
        </w:rPr>
        <w:t>Plate</w:t>
      </w:r>
      <w:r>
        <w:rPr>
          <w:b/>
          <w:spacing w:val="-3"/>
          <w:sz w:val="24"/>
        </w:rPr>
        <w:t> </w:t>
      </w:r>
      <w:r>
        <w:rPr>
          <w:b/>
          <w:sz w:val="24"/>
        </w:rPr>
        <w:t>VI:</w:t>
      </w:r>
      <w:r>
        <w:rPr>
          <w:b/>
          <w:spacing w:val="80"/>
          <w:w w:val="150"/>
          <w:sz w:val="24"/>
        </w:rPr>
        <w:t> </w:t>
      </w:r>
      <w:r>
        <w:rPr>
          <w:b/>
          <w:sz w:val="24"/>
        </w:rPr>
        <w:t>Photomicrograph of retina section of non-diabetic rat treated with PEG+H</w:t>
      </w:r>
      <w:r>
        <w:rPr>
          <w:b/>
          <w:sz w:val="24"/>
          <w:vertAlign w:val="subscript"/>
        </w:rPr>
        <w:t>2</w:t>
      </w:r>
      <w:r>
        <w:rPr>
          <w:b/>
          <w:sz w:val="24"/>
          <w:vertAlign w:val="baseline"/>
        </w:rPr>
        <w:t>O, showing normal histo-architectural retinal layers with rods and cones (RC),</w:t>
      </w:r>
      <w:r>
        <w:rPr>
          <w:b/>
          <w:spacing w:val="-3"/>
          <w:sz w:val="24"/>
          <w:vertAlign w:val="baseline"/>
        </w:rPr>
        <w:t> </w:t>
      </w:r>
      <w:r>
        <w:rPr>
          <w:b/>
          <w:sz w:val="24"/>
          <w:vertAlign w:val="baseline"/>
        </w:rPr>
        <w:t>outer</w:t>
      </w:r>
      <w:r>
        <w:rPr>
          <w:b/>
          <w:spacing w:val="-4"/>
          <w:sz w:val="24"/>
          <w:vertAlign w:val="baseline"/>
        </w:rPr>
        <w:t> </w:t>
      </w:r>
      <w:r>
        <w:rPr>
          <w:b/>
          <w:sz w:val="24"/>
          <w:vertAlign w:val="baseline"/>
        </w:rPr>
        <w:t>nuclear</w:t>
      </w:r>
      <w:r>
        <w:rPr>
          <w:b/>
          <w:spacing w:val="-3"/>
          <w:sz w:val="24"/>
          <w:vertAlign w:val="baseline"/>
        </w:rPr>
        <w:t> </w:t>
      </w:r>
      <w:r>
        <w:rPr>
          <w:b/>
          <w:sz w:val="24"/>
          <w:vertAlign w:val="baseline"/>
        </w:rPr>
        <w:t>layer</w:t>
      </w:r>
      <w:r>
        <w:rPr>
          <w:b/>
          <w:spacing w:val="-5"/>
          <w:sz w:val="24"/>
          <w:vertAlign w:val="baseline"/>
        </w:rPr>
        <w:t> </w:t>
      </w:r>
      <w:r>
        <w:rPr>
          <w:b/>
          <w:sz w:val="24"/>
          <w:vertAlign w:val="baseline"/>
        </w:rPr>
        <w:t>(ONL),</w:t>
      </w:r>
      <w:r>
        <w:rPr>
          <w:b/>
          <w:spacing w:val="-3"/>
          <w:sz w:val="24"/>
          <w:vertAlign w:val="baseline"/>
        </w:rPr>
        <w:t> </w:t>
      </w:r>
      <w:r>
        <w:rPr>
          <w:b/>
          <w:sz w:val="24"/>
          <w:vertAlign w:val="baseline"/>
        </w:rPr>
        <w:t>inner</w:t>
      </w:r>
      <w:r>
        <w:rPr>
          <w:b/>
          <w:spacing w:val="-4"/>
          <w:sz w:val="24"/>
          <w:vertAlign w:val="baseline"/>
        </w:rPr>
        <w:t> </w:t>
      </w:r>
      <w:r>
        <w:rPr>
          <w:b/>
          <w:sz w:val="24"/>
          <w:vertAlign w:val="baseline"/>
        </w:rPr>
        <w:t>nuclear</w:t>
      </w:r>
      <w:r>
        <w:rPr>
          <w:b/>
          <w:spacing w:val="-2"/>
          <w:sz w:val="24"/>
          <w:vertAlign w:val="baseline"/>
        </w:rPr>
        <w:t> </w:t>
      </w:r>
      <w:r>
        <w:rPr>
          <w:b/>
          <w:sz w:val="24"/>
          <w:vertAlign w:val="baseline"/>
        </w:rPr>
        <w:t>layer</w:t>
      </w:r>
      <w:r>
        <w:rPr>
          <w:b/>
          <w:spacing w:val="-5"/>
          <w:sz w:val="24"/>
          <w:vertAlign w:val="baseline"/>
        </w:rPr>
        <w:t> </w:t>
      </w:r>
      <w:r>
        <w:rPr>
          <w:b/>
          <w:sz w:val="24"/>
          <w:vertAlign w:val="baseline"/>
        </w:rPr>
        <w:t>(INL),</w:t>
      </w:r>
      <w:r>
        <w:rPr>
          <w:b/>
          <w:spacing w:val="-2"/>
          <w:sz w:val="24"/>
          <w:vertAlign w:val="baseline"/>
        </w:rPr>
        <w:t> </w:t>
      </w:r>
      <w:r>
        <w:rPr>
          <w:b/>
          <w:sz w:val="24"/>
          <w:vertAlign w:val="baseline"/>
        </w:rPr>
        <w:t>ganglion</w:t>
      </w:r>
      <w:r>
        <w:rPr>
          <w:b/>
          <w:spacing w:val="-3"/>
          <w:sz w:val="24"/>
          <w:vertAlign w:val="baseline"/>
        </w:rPr>
        <w:t> </w:t>
      </w:r>
      <w:r>
        <w:rPr>
          <w:b/>
          <w:sz w:val="24"/>
          <w:vertAlign w:val="baseline"/>
        </w:rPr>
        <w:t>cell</w:t>
      </w:r>
      <w:r>
        <w:rPr>
          <w:b/>
          <w:spacing w:val="-3"/>
          <w:sz w:val="24"/>
          <w:vertAlign w:val="baseline"/>
        </w:rPr>
        <w:t> </w:t>
      </w:r>
      <w:r>
        <w:rPr>
          <w:b/>
          <w:sz w:val="24"/>
          <w:vertAlign w:val="baseline"/>
        </w:rPr>
        <w:t>layer</w:t>
      </w:r>
      <w:r>
        <w:rPr>
          <w:b/>
          <w:spacing w:val="-5"/>
          <w:sz w:val="24"/>
          <w:vertAlign w:val="baseline"/>
        </w:rPr>
        <w:t> </w:t>
      </w:r>
      <w:r>
        <w:rPr>
          <w:b/>
          <w:sz w:val="24"/>
          <w:vertAlign w:val="baseline"/>
        </w:rPr>
        <w:t>(GCL) and optic nerve fibers (ONF) H&amp;E × 100</w:t>
      </w:r>
    </w:p>
    <w:p>
      <w:pPr>
        <w:pStyle w:val="BodyText"/>
        <w:rPr>
          <w:b/>
          <w:sz w:val="20"/>
        </w:rPr>
      </w:pPr>
    </w:p>
    <w:p>
      <w:pPr>
        <w:pStyle w:val="BodyText"/>
        <w:spacing w:before="68"/>
        <w:rPr>
          <w:b/>
          <w:sz w:val="20"/>
        </w:rPr>
      </w:pPr>
      <w:r>
        <w:rPr/>
        <mc:AlternateContent>
          <mc:Choice Requires="wps">
            <w:drawing>
              <wp:anchor distT="0" distB="0" distL="0" distR="0" allowOverlap="1" layoutInCell="1" locked="0" behindDoc="1" simplePos="0" relativeHeight="487604224">
                <wp:simplePos x="0" y="0"/>
                <wp:positionH relativeFrom="page">
                  <wp:posOffset>1299210</wp:posOffset>
                </wp:positionH>
                <wp:positionV relativeFrom="paragraph">
                  <wp:posOffset>204571</wp:posOffset>
                </wp:positionV>
                <wp:extent cx="5537835" cy="2681605"/>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5537835" cy="2681605"/>
                          <a:chExt cx="5537835" cy="2681605"/>
                        </a:xfrm>
                      </wpg:grpSpPr>
                      <pic:pic>
                        <pic:nvPicPr>
                          <pic:cNvPr id="158" name="Image 158"/>
                          <pic:cNvPicPr/>
                        </pic:nvPicPr>
                        <pic:blipFill>
                          <a:blip r:embed="rId35" cstate="print"/>
                          <a:stretch>
                            <a:fillRect/>
                          </a:stretch>
                        </pic:blipFill>
                        <pic:spPr>
                          <a:xfrm>
                            <a:off x="0" y="0"/>
                            <a:ext cx="5537835" cy="2681478"/>
                          </a:xfrm>
                          <a:prstGeom prst="rect">
                            <a:avLst/>
                          </a:prstGeom>
                        </pic:spPr>
                      </pic:pic>
                      <wps:wsp>
                        <wps:cNvPr id="159" name="Graphic 159"/>
                        <wps:cNvSpPr/>
                        <wps:spPr>
                          <a:xfrm>
                            <a:off x="1998979" y="1021714"/>
                            <a:ext cx="264160" cy="245110"/>
                          </a:xfrm>
                          <a:custGeom>
                            <a:avLst/>
                            <a:gdLst/>
                            <a:ahLst/>
                            <a:cxnLst/>
                            <a:rect l="l" t="t" r="r" b="b"/>
                            <a:pathLst>
                              <a:path w="264160" h="245110">
                                <a:moveTo>
                                  <a:pt x="203914" y="198001"/>
                                </a:moveTo>
                                <a:lnTo>
                                  <a:pt x="182372" y="221234"/>
                                </a:lnTo>
                                <a:lnTo>
                                  <a:pt x="264160" y="245110"/>
                                </a:lnTo>
                                <a:lnTo>
                                  <a:pt x="250605" y="209042"/>
                                </a:lnTo>
                                <a:lnTo>
                                  <a:pt x="215773" y="209042"/>
                                </a:lnTo>
                                <a:lnTo>
                                  <a:pt x="213233" y="206629"/>
                                </a:lnTo>
                                <a:lnTo>
                                  <a:pt x="203914" y="198001"/>
                                </a:lnTo>
                                <a:close/>
                              </a:path>
                              <a:path w="264160" h="245110">
                                <a:moveTo>
                                  <a:pt x="212532" y="188708"/>
                                </a:moveTo>
                                <a:lnTo>
                                  <a:pt x="203914" y="198001"/>
                                </a:lnTo>
                                <a:lnTo>
                                  <a:pt x="213233" y="206629"/>
                                </a:lnTo>
                                <a:lnTo>
                                  <a:pt x="215773" y="209042"/>
                                </a:lnTo>
                                <a:lnTo>
                                  <a:pt x="219837" y="208914"/>
                                </a:lnTo>
                                <a:lnTo>
                                  <a:pt x="222250" y="206248"/>
                                </a:lnTo>
                                <a:lnTo>
                                  <a:pt x="224662" y="203708"/>
                                </a:lnTo>
                                <a:lnTo>
                                  <a:pt x="224409" y="199644"/>
                                </a:lnTo>
                                <a:lnTo>
                                  <a:pt x="221869" y="197358"/>
                                </a:lnTo>
                                <a:lnTo>
                                  <a:pt x="212532" y="188708"/>
                                </a:lnTo>
                                <a:close/>
                              </a:path>
                              <a:path w="264160" h="245110">
                                <a:moveTo>
                                  <a:pt x="234187" y="165354"/>
                                </a:moveTo>
                                <a:lnTo>
                                  <a:pt x="212532" y="188708"/>
                                </a:lnTo>
                                <a:lnTo>
                                  <a:pt x="221869" y="197358"/>
                                </a:lnTo>
                                <a:lnTo>
                                  <a:pt x="224409" y="199644"/>
                                </a:lnTo>
                                <a:lnTo>
                                  <a:pt x="224662" y="203708"/>
                                </a:lnTo>
                                <a:lnTo>
                                  <a:pt x="222250" y="206248"/>
                                </a:lnTo>
                                <a:lnTo>
                                  <a:pt x="219837" y="208914"/>
                                </a:lnTo>
                                <a:lnTo>
                                  <a:pt x="215773" y="209042"/>
                                </a:lnTo>
                                <a:lnTo>
                                  <a:pt x="250605" y="209042"/>
                                </a:lnTo>
                                <a:lnTo>
                                  <a:pt x="234187" y="165354"/>
                                </a:lnTo>
                                <a:close/>
                              </a:path>
                              <a:path w="264160" h="245110">
                                <a:moveTo>
                                  <a:pt x="8762" y="0"/>
                                </a:moveTo>
                                <a:lnTo>
                                  <a:pt x="4699" y="126"/>
                                </a:lnTo>
                                <a:lnTo>
                                  <a:pt x="2286" y="2667"/>
                                </a:lnTo>
                                <a:lnTo>
                                  <a:pt x="0" y="5207"/>
                                </a:lnTo>
                                <a:lnTo>
                                  <a:pt x="126" y="9271"/>
                                </a:lnTo>
                                <a:lnTo>
                                  <a:pt x="2667" y="11684"/>
                                </a:lnTo>
                                <a:lnTo>
                                  <a:pt x="203914" y="198001"/>
                                </a:lnTo>
                                <a:lnTo>
                                  <a:pt x="212532" y="188708"/>
                                </a:lnTo>
                                <a:lnTo>
                                  <a:pt x="11302" y="2286"/>
                                </a:lnTo>
                                <a:lnTo>
                                  <a:pt x="87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2.300003pt;margin-top:16.108007pt;width:436.05pt;height:211.15pt;mso-position-horizontal-relative:page;mso-position-vertical-relative:paragraph;z-index:-15712256;mso-wrap-distance-left:0;mso-wrap-distance-right:0" id="docshapegroup154" coordorigin="2046,322" coordsize="8721,4223">
                <v:shape style="position:absolute;left:2046;top:322;width:8721;height:4223" type="#_x0000_t75" id="docshape155" stroked="false">
                  <v:imagedata r:id="rId35" o:title=""/>
                </v:shape>
                <v:shape style="position:absolute;left:5194;top:1931;width:416;height:386" id="docshape156" coordorigin="5194,1931" coordsize="416,386" path="m5515,2243l5481,2280,5610,2317,5589,2260,5534,2260,5530,2257,5515,2243xm5529,2228l5515,2243,5530,2257,5534,2260,5540,2260,5544,2256,5548,2252,5547,2246,5543,2242,5529,2228xm5563,2192l5529,2228,5543,2242,5547,2246,5548,2252,5544,2256,5540,2260,5534,2260,5589,2260,5563,2192xm5208,1931l5201,1931,5198,1935,5194,1939,5194,1946,5198,1950,5515,2243,5529,2228,5212,1935,5208,1931xe" filled="true" fillcolor="#000000" stroked="false">
                  <v:path arrowok="t"/>
                  <v:fill type="solid"/>
                </v:shape>
                <w10:wrap type="topAndBottom"/>
              </v:group>
            </w:pict>
          </mc:Fallback>
        </mc:AlternateContent>
      </w:r>
    </w:p>
    <w:p>
      <w:pPr>
        <w:spacing w:line="480" w:lineRule="auto" w:before="276"/>
        <w:ind w:left="296" w:right="1135" w:firstLine="0"/>
        <w:jc w:val="both"/>
        <w:rPr>
          <w:b/>
          <w:sz w:val="24"/>
        </w:rPr>
      </w:pPr>
      <w:r>
        <w:rPr>
          <w:b/>
          <w:sz w:val="24"/>
        </w:rPr>
        <w:t>Plate</w:t>
      </w:r>
      <w:r>
        <w:rPr>
          <w:b/>
          <w:spacing w:val="-2"/>
          <w:sz w:val="24"/>
        </w:rPr>
        <w:t> </w:t>
      </w:r>
      <w:r>
        <w:rPr>
          <w:b/>
          <w:sz w:val="24"/>
        </w:rPr>
        <w:t>VII:</w:t>
      </w:r>
      <w:r>
        <w:rPr>
          <w:b/>
          <w:spacing w:val="80"/>
          <w:w w:val="150"/>
          <w:sz w:val="24"/>
        </w:rPr>
        <w:t> </w:t>
      </w:r>
      <w:r>
        <w:rPr>
          <w:b/>
          <w:sz w:val="24"/>
        </w:rPr>
        <w:t>Photomicrograph</w:t>
      </w:r>
      <w:r>
        <w:rPr>
          <w:b/>
          <w:spacing w:val="40"/>
          <w:sz w:val="24"/>
        </w:rPr>
        <w:t> </w:t>
      </w:r>
      <w:r>
        <w:rPr>
          <w:b/>
          <w:sz w:val="24"/>
        </w:rPr>
        <w:t>of</w:t>
      </w:r>
      <w:r>
        <w:rPr>
          <w:b/>
          <w:spacing w:val="40"/>
          <w:sz w:val="24"/>
        </w:rPr>
        <w:t> </w:t>
      </w:r>
      <w:r>
        <w:rPr>
          <w:b/>
          <w:sz w:val="24"/>
        </w:rPr>
        <w:t>retina</w:t>
      </w:r>
      <w:r>
        <w:rPr>
          <w:b/>
          <w:spacing w:val="40"/>
          <w:sz w:val="24"/>
        </w:rPr>
        <w:t> </w:t>
      </w:r>
      <w:r>
        <w:rPr>
          <w:b/>
          <w:sz w:val="24"/>
        </w:rPr>
        <w:t>section</w:t>
      </w:r>
      <w:r>
        <w:rPr>
          <w:b/>
          <w:spacing w:val="40"/>
          <w:sz w:val="24"/>
        </w:rPr>
        <w:t> </w:t>
      </w:r>
      <w:r>
        <w:rPr>
          <w:b/>
          <w:sz w:val="24"/>
        </w:rPr>
        <w:t>of</w:t>
      </w:r>
      <w:r>
        <w:rPr>
          <w:b/>
          <w:spacing w:val="40"/>
          <w:sz w:val="24"/>
        </w:rPr>
        <w:t> </w:t>
      </w:r>
      <w:r>
        <w:rPr>
          <w:b/>
          <w:sz w:val="24"/>
        </w:rPr>
        <w:t>diabetic</w:t>
      </w:r>
      <w:r>
        <w:rPr>
          <w:b/>
          <w:spacing w:val="40"/>
          <w:sz w:val="24"/>
        </w:rPr>
        <w:t> </w:t>
      </w:r>
      <w:r>
        <w:rPr>
          <w:b/>
          <w:sz w:val="24"/>
        </w:rPr>
        <w:t>rat</w:t>
      </w:r>
      <w:r>
        <w:rPr>
          <w:b/>
          <w:spacing w:val="40"/>
          <w:sz w:val="24"/>
        </w:rPr>
        <w:t> </w:t>
      </w:r>
      <w:r>
        <w:rPr>
          <w:b/>
          <w:sz w:val="24"/>
        </w:rPr>
        <w:t>treated</w:t>
      </w:r>
      <w:r>
        <w:rPr>
          <w:b/>
          <w:spacing w:val="40"/>
          <w:sz w:val="24"/>
        </w:rPr>
        <w:t> </w:t>
      </w:r>
      <w:r>
        <w:rPr>
          <w:b/>
          <w:sz w:val="24"/>
        </w:rPr>
        <w:t>with PEG+H</w:t>
      </w:r>
      <w:r>
        <w:rPr>
          <w:b/>
          <w:sz w:val="24"/>
          <w:vertAlign w:val="subscript"/>
        </w:rPr>
        <w:t>2</w:t>
      </w:r>
      <w:r>
        <w:rPr>
          <w:b/>
          <w:sz w:val="24"/>
          <w:vertAlign w:val="baseline"/>
        </w:rPr>
        <w:t>O, showing distortion of the retinal layers (RD) H&amp;E × 100</w:t>
      </w:r>
    </w:p>
    <w:p>
      <w:pPr>
        <w:spacing w:after="0" w:line="480" w:lineRule="auto"/>
        <w:jc w:val="both"/>
        <w:rPr>
          <w:sz w:val="24"/>
        </w:rPr>
        <w:sectPr>
          <w:pgSz w:w="12240" w:h="15840"/>
          <w:pgMar w:header="0" w:footer="1015" w:top="1440" w:bottom="1200" w:left="1720" w:right="300"/>
        </w:sectPr>
      </w:pPr>
    </w:p>
    <w:p>
      <w:pPr>
        <w:pStyle w:val="BodyText"/>
        <w:ind w:left="326"/>
        <w:rPr>
          <w:sz w:val="20"/>
        </w:rPr>
      </w:pPr>
      <w:r>
        <w:rPr>
          <w:sz w:val="20"/>
        </w:rPr>
        <mc:AlternateContent>
          <mc:Choice Requires="wps">
            <w:drawing>
              <wp:inline distT="0" distB="0" distL="0" distR="0">
                <wp:extent cx="5570855" cy="2708275"/>
                <wp:effectExtent l="0" t="0" r="0" b="6350"/>
                <wp:docPr id="160" name="Group 160"/>
                <wp:cNvGraphicFramePr>
                  <a:graphicFrameLocks/>
                </wp:cNvGraphicFramePr>
                <a:graphic>
                  <a:graphicData uri="http://schemas.microsoft.com/office/word/2010/wordprocessingGroup">
                    <wpg:wgp>
                      <wpg:cNvPr id="160" name="Group 160"/>
                      <wpg:cNvGrpSpPr/>
                      <wpg:grpSpPr>
                        <a:xfrm>
                          <a:off x="0" y="0"/>
                          <a:ext cx="5570855" cy="2708275"/>
                          <a:chExt cx="5570855" cy="2708275"/>
                        </a:xfrm>
                      </wpg:grpSpPr>
                      <pic:pic>
                        <pic:nvPicPr>
                          <pic:cNvPr id="161" name="Image 161"/>
                          <pic:cNvPicPr/>
                        </pic:nvPicPr>
                        <pic:blipFill>
                          <a:blip r:embed="rId36" cstate="print"/>
                          <a:stretch>
                            <a:fillRect/>
                          </a:stretch>
                        </pic:blipFill>
                        <pic:spPr>
                          <a:xfrm>
                            <a:off x="0" y="0"/>
                            <a:ext cx="5570854" cy="2708275"/>
                          </a:xfrm>
                          <a:prstGeom prst="rect">
                            <a:avLst/>
                          </a:prstGeom>
                        </pic:spPr>
                      </pic:pic>
                      <wps:wsp>
                        <wps:cNvPr id="162" name="Graphic 162"/>
                        <wps:cNvSpPr/>
                        <wps:spPr>
                          <a:xfrm>
                            <a:off x="2046478" y="250062"/>
                            <a:ext cx="302895" cy="1312545"/>
                          </a:xfrm>
                          <a:custGeom>
                            <a:avLst/>
                            <a:gdLst/>
                            <a:ahLst/>
                            <a:cxnLst/>
                            <a:rect l="l" t="t" r="r" b="b"/>
                            <a:pathLst>
                              <a:path w="302895" h="1312545">
                                <a:moveTo>
                                  <a:pt x="273812" y="245237"/>
                                </a:moveTo>
                                <a:lnTo>
                                  <a:pt x="259803" y="210058"/>
                                </a:lnTo>
                                <a:lnTo>
                                  <a:pt x="242316" y="166116"/>
                                </a:lnTo>
                                <a:lnTo>
                                  <a:pt x="221170" y="189814"/>
                                </a:lnTo>
                                <a:lnTo>
                                  <a:pt x="11303" y="2413"/>
                                </a:lnTo>
                                <a:lnTo>
                                  <a:pt x="8763" y="0"/>
                                </a:lnTo>
                                <a:lnTo>
                                  <a:pt x="4699" y="254"/>
                                </a:lnTo>
                                <a:lnTo>
                                  <a:pt x="2413" y="2921"/>
                                </a:lnTo>
                                <a:lnTo>
                                  <a:pt x="0" y="5461"/>
                                </a:lnTo>
                                <a:lnTo>
                                  <a:pt x="254" y="9525"/>
                                </a:lnTo>
                                <a:lnTo>
                                  <a:pt x="2921" y="11811"/>
                                </a:lnTo>
                                <a:lnTo>
                                  <a:pt x="212775" y="199199"/>
                                </a:lnTo>
                                <a:lnTo>
                                  <a:pt x="191643" y="222885"/>
                                </a:lnTo>
                                <a:lnTo>
                                  <a:pt x="273812" y="245237"/>
                                </a:lnTo>
                                <a:close/>
                              </a:path>
                              <a:path w="302895" h="1312545">
                                <a:moveTo>
                                  <a:pt x="302387" y="1312037"/>
                                </a:moveTo>
                                <a:lnTo>
                                  <a:pt x="288378" y="1276858"/>
                                </a:lnTo>
                                <a:lnTo>
                                  <a:pt x="270891" y="1232916"/>
                                </a:lnTo>
                                <a:lnTo>
                                  <a:pt x="249745" y="1256614"/>
                                </a:lnTo>
                                <a:lnTo>
                                  <a:pt x="39878" y="1069213"/>
                                </a:lnTo>
                                <a:lnTo>
                                  <a:pt x="37338" y="1066800"/>
                                </a:lnTo>
                                <a:lnTo>
                                  <a:pt x="33274" y="1067054"/>
                                </a:lnTo>
                                <a:lnTo>
                                  <a:pt x="30988" y="1069721"/>
                                </a:lnTo>
                                <a:lnTo>
                                  <a:pt x="28575" y="1072261"/>
                                </a:lnTo>
                                <a:lnTo>
                                  <a:pt x="28829" y="1076325"/>
                                </a:lnTo>
                                <a:lnTo>
                                  <a:pt x="31496" y="1078611"/>
                                </a:lnTo>
                                <a:lnTo>
                                  <a:pt x="241350" y="1265999"/>
                                </a:lnTo>
                                <a:lnTo>
                                  <a:pt x="220218" y="1289685"/>
                                </a:lnTo>
                                <a:lnTo>
                                  <a:pt x="302387" y="131203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8.65pt;height:213.25pt;mso-position-horizontal-relative:char;mso-position-vertical-relative:line" id="docshapegroup157" coordorigin="0,0" coordsize="8773,4265">
                <v:shape style="position:absolute;left:0;top:0;width:8773;height:4265" type="#_x0000_t75" id="docshape158" stroked="false">
                  <v:imagedata r:id="rId36" o:title=""/>
                </v:shape>
                <v:shape style="position:absolute;left:3222;top:393;width:477;height:2067" id="docshape159" coordorigin="3223,394" coordsize="477,2067" path="m3654,780l3632,725,3604,655,3571,693,3241,398,3237,394,3230,394,3227,398,3223,402,3223,409,3227,412,3558,707,3525,745,3654,780xm3699,2460l3677,2405,3649,2335,3616,2373,3286,2078,3282,2074,3275,2074,3272,2078,3268,2082,3268,2089,3272,2092,3603,2387,3570,2425,3699,2460xe" filled="true" fillcolor="#000000" stroked="false">
                  <v:path arrowok="t"/>
                  <v:fill type="solid"/>
                </v:shape>
              </v:group>
            </w:pict>
          </mc:Fallback>
        </mc:AlternateContent>
      </w:r>
      <w:r>
        <w:rPr>
          <w:sz w:val="20"/>
        </w:rPr>
      </w:r>
    </w:p>
    <w:p>
      <w:pPr>
        <w:spacing w:line="360" w:lineRule="auto" w:before="241"/>
        <w:ind w:left="296" w:right="1134" w:firstLine="0"/>
        <w:jc w:val="both"/>
        <w:rPr>
          <w:b/>
          <w:sz w:val="24"/>
        </w:rPr>
      </w:pPr>
      <w:r>
        <w:rPr>
          <w:b/>
          <w:sz w:val="24"/>
        </w:rPr>
        <w:t>Plate</w:t>
      </w:r>
      <w:r>
        <w:rPr>
          <w:b/>
          <w:spacing w:val="-2"/>
          <w:sz w:val="24"/>
        </w:rPr>
        <w:t> </w:t>
      </w:r>
      <w:r>
        <w:rPr>
          <w:b/>
          <w:sz w:val="24"/>
        </w:rPr>
        <w:t>VIII:</w:t>
      </w:r>
      <w:r>
        <w:rPr>
          <w:b/>
          <w:spacing w:val="80"/>
          <w:sz w:val="24"/>
        </w:rPr>
        <w:t> </w:t>
      </w:r>
      <w:r>
        <w:rPr>
          <w:b/>
          <w:sz w:val="24"/>
        </w:rPr>
        <w:t>Photomicrograph</w:t>
      </w:r>
      <w:r>
        <w:rPr>
          <w:b/>
          <w:spacing w:val="40"/>
          <w:sz w:val="24"/>
        </w:rPr>
        <w:t> </w:t>
      </w:r>
      <w:r>
        <w:rPr>
          <w:b/>
          <w:sz w:val="24"/>
        </w:rPr>
        <w:t>of</w:t>
      </w:r>
      <w:r>
        <w:rPr>
          <w:b/>
          <w:spacing w:val="40"/>
          <w:sz w:val="24"/>
        </w:rPr>
        <w:t> </w:t>
      </w:r>
      <w:r>
        <w:rPr>
          <w:b/>
          <w:sz w:val="24"/>
        </w:rPr>
        <w:t>retina</w:t>
      </w:r>
      <w:r>
        <w:rPr>
          <w:b/>
          <w:spacing w:val="40"/>
          <w:sz w:val="24"/>
        </w:rPr>
        <w:t> </w:t>
      </w:r>
      <w:r>
        <w:rPr>
          <w:b/>
          <w:sz w:val="24"/>
        </w:rPr>
        <w:t>section</w:t>
      </w:r>
      <w:r>
        <w:rPr>
          <w:b/>
          <w:spacing w:val="40"/>
          <w:sz w:val="24"/>
        </w:rPr>
        <w:t> </w:t>
      </w:r>
      <w:r>
        <w:rPr>
          <w:b/>
          <w:sz w:val="24"/>
        </w:rPr>
        <w:t>of</w:t>
      </w:r>
      <w:r>
        <w:rPr>
          <w:b/>
          <w:spacing w:val="40"/>
          <w:sz w:val="24"/>
        </w:rPr>
        <w:t> </w:t>
      </w:r>
      <w:r>
        <w:rPr>
          <w:b/>
          <w:sz w:val="24"/>
        </w:rPr>
        <w:t>diabetic rat treated</w:t>
      </w:r>
      <w:r>
        <w:rPr>
          <w:b/>
          <w:spacing w:val="40"/>
          <w:sz w:val="24"/>
        </w:rPr>
        <w:t> </w:t>
      </w:r>
      <w:r>
        <w:rPr>
          <w:b/>
          <w:sz w:val="24"/>
        </w:rPr>
        <w:t>with glimepiride at 8 pm, showing slight necrosis of the rods and cones (RC) and outer layer cells (ONL) H&amp;E × 100</w:t>
      </w:r>
    </w:p>
    <w:p>
      <w:pPr>
        <w:pStyle w:val="BodyText"/>
        <w:spacing w:before="160"/>
        <w:rPr>
          <w:b/>
          <w:sz w:val="20"/>
        </w:rPr>
      </w:pPr>
      <w:r>
        <w:rPr/>
        <mc:AlternateContent>
          <mc:Choice Requires="wps">
            <w:drawing>
              <wp:anchor distT="0" distB="0" distL="0" distR="0" allowOverlap="1" layoutInCell="1" locked="0" behindDoc="1" simplePos="0" relativeHeight="487605248">
                <wp:simplePos x="0" y="0"/>
                <wp:positionH relativeFrom="page">
                  <wp:posOffset>1299210</wp:posOffset>
                </wp:positionH>
                <wp:positionV relativeFrom="paragraph">
                  <wp:posOffset>263210</wp:posOffset>
                </wp:positionV>
                <wp:extent cx="5665470" cy="2717165"/>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5665470" cy="2717165"/>
                          <a:chExt cx="5665470" cy="2717165"/>
                        </a:xfrm>
                      </wpg:grpSpPr>
                      <pic:pic>
                        <pic:nvPicPr>
                          <pic:cNvPr id="164" name="Image 164"/>
                          <pic:cNvPicPr/>
                        </pic:nvPicPr>
                        <pic:blipFill>
                          <a:blip r:embed="rId37" cstate="print"/>
                          <a:stretch>
                            <a:fillRect/>
                          </a:stretch>
                        </pic:blipFill>
                        <pic:spPr>
                          <a:xfrm>
                            <a:off x="0" y="0"/>
                            <a:ext cx="5665470" cy="2717165"/>
                          </a:xfrm>
                          <a:prstGeom prst="rect">
                            <a:avLst/>
                          </a:prstGeom>
                        </pic:spPr>
                      </pic:pic>
                      <pic:pic>
                        <pic:nvPicPr>
                          <pic:cNvPr id="165" name="Image 165"/>
                          <pic:cNvPicPr/>
                        </pic:nvPicPr>
                        <pic:blipFill>
                          <a:blip r:embed="rId38" cstate="print"/>
                          <a:stretch>
                            <a:fillRect/>
                          </a:stretch>
                        </pic:blipFill>
                        <pic:spPr>
                          <a:xfrm>
                            <a:off x="2189352" y="1039113"/>
                            <a:ext cx="235712" cy="207137"/>
                          </a:xfrm>
                          <a:prstGeom prst="rect">
                            <a:avLst/>
                          </a:prstGeom>
                        </pic:spPr>
                      </pic:pic>
                      <pic:pic>
                        <pic:nvPicPr>
                          <pic:cNvPr id="166" name="Image 166"/>
                          <pic:cNvPicPr/>
                        </pic:nvPicPr>
                        <pic:blipFill>
                          <a:blip r:embed="rId38" cstate="print"/>
                          <a:stretch>
                            <a:fillRect/>
                          </a:stretch>
                        </pic:blipFill>
                        <pic:spPr>
                          <a:xfrm>
                            <a:off x="3808603" y="1210563"/>
                            <a:ext cx="235712" cy="207137"/>
                          </a:xfrm>
                          <a:prstGeom prst="rect">
                            <a:avLst/>
                          </a:prstGeom>
                        </pic:spPr>
                      </pic:pic>
                    </wpg:wgp>
                  </a:graphicData>
                </a:graphic>
              </wp:anchor>
            </w:drawing>
          </mc:Choice>
          <mc:Fallback>
            <w:pict>
              <v:group style="position:absolute;margin-left:102.300003pt;margin-top:20.725273pt;width:446.1pt;height:213.95pt;mso-position-horizontal-relative:page;mso-position-vertical-relative:paragraph;z-index:-15711232;mso-wrap-distance-left:0;mso-wrap-distance-right:0" id="docshapegroup160" coordorigin="2046,415" coordsize="8922,4279">
                <v:shape style="position:absolute;left:2046;top:414;width:8922;height:4279" type="#_x0000_t75" id="docshape161" stroked="false">
                  <v:imagedata r:id="rId37" o:title=""/>
                </v:shape>
                <v:shape style="position:absolute;left:5493;top:2050;width:372;height:327" type="#_x0000_t75" id="docshape162" stroked="false">
                  <v:imagedata r:id="rId38" o:title=""/>
                </v:shape>
                <v:shape style="position:absolute;left:8043;top:2320;width:372;height:327" type="#_x0000_t75" id="docshape163" stroked="false">
                  <v:imagedata r:id="rId38" o:title=""/>
                </v:shape>
                <w10:wrap type="topAndBottom"/>
              </v:group>
            </w:pict>
          </mc:Fallback>
        </mc:AlternateContent>
      </w:r>
    </w:p>
    <w:p>
      <w:pPr>
        <w:pStyle w:val="BodyText"/>
        <w:rPr>
          <w:b/>
        </w:rPr>
      </w:pPr>
    </w:p>
    <w:p>
      <w:pPr>
        <w:spacing w:line="360" w:lineRule="auto" w:before="0"/>
        <w:ind w:left="296" w:right="1138" w:firstLine="0"/>
        <w:jc w:val="both"/>
        <w:rPr>
          <w:b/>
          <w:sz w:val="24"/>
        </w:rPr>
      </w:pPr>
      <w:r>
        <w:rPr>
          <w:b/>
          <w:sz w:val="24"/>
        </w:rPr>
        <w:t>Plate</w:t>
      </w:r>
      <w:r>
        <w:rPr>
          <w:b/>
          <w:spacing w:val="-2"/>
          <w:sz w:val="24"/>
        </w:rPr>
        <w:t> </w:t>
      </w:r>
      <w:r>
        <w:rPr>
          <w:b/>
          <w:sz w:val="24"/>
        </w:rPr>
        <w:t>IX:</w:t>
      </w:r>
      <w:r>
        <w:rPr>
          <w:b/>
          <w:spacing w:val="40"/>
          <w:sz w:val="24"/>
        </w:rPr>
        <w:t>  </w:t>
      </w:r>
      <w:r>
        <w:rPr>
          <w:b/>
          <w:sz w:val="24"/>
        </w:rPr>
        <w:t>Photomicrograph</w:t>
      </w:r>
      <w:r>
        <w:rPr>
          <w:b/>
          <w:spacing w:val="40"/>
          <w:sz w:val="24"/>
        </w:rPr>
        <w:t> </w:t>
      </w:r>
      <w:r>
        <w:rPr>
          <w:b/>
          <w:sz w:val="24"/>
        </w:rPr>
        <w:t>of</w:t>
      </w:r>
      <w:r>
        <w:rPr>
          <w:b/>
          <w:spacing w:val="40"/>
          <w:sz w:val="24"/>
        </w:rPr>
        <w:t> </w:t>
      </w:r>
      <w:r>
        <w:rPr>
          <w:b/>
          <w:sz w:val="24"/>
        </w:rPr>
        <w:t>retina</w:t>
      </w:r>
      <w:r>
        <w:rPr>
          <w:b/>
          <w:spacing w:val="40"/>
          <w:sz w:val="24"/>
        </w:rPr>
        <w:t> </w:t>
      </w:r>
      <w:r>
        <w:rPr>
          <w:b/>
          <w:sz w:val="24"/>
        </w:rPr>
        <w:t>section</w:t>
      </w:r>
      <w:r>
        <w:rPr>
          <w:b/>
          <w:spacing w:val="40"/>
          <w:sz w:val="24"/>
        </w:rPr>
        <w:t> </w:t>
      </w:r>
      <w:r>
        <w:rPr>
          <w:b/>
          <w:sz w:val="24"/>
        </w:rPr>
        <w:t>of</w:t>
      </w:r>
      <w:r>
        <w:rPr>
          <w:b/>
          <w:spacing w:val="40"/>
          <w:sz w:val="24"/>
        </w:rPr>
        <w:t> </w:t>
      </w:r>
      <w:r>
        <w:rPr>
          <w:b/>
          <w:sz w:val="24"/>
        </w:rPr>
        <w:t>diabetic</w:t>
      </w:r>
      <w:r>
        <w:rPr>
          <w:b/>
          <w:spacing w:val="40"/>
          <w:sz w:val="24"/>
        </w:rPr>
        <w:t> </w:t>
      </w:r>
      <w:r>
        <w:rPr>
          <w:b/>
          <w:sz w:val="24"/>
        </w:rPr>
        <w:t>rat</w:t>
      </w:r>
      <w:r>
        <w:rPr>
          <w:b/>
          <w:spacing w:val="40"/>
          <w:sz w:val="24"/>
        </w:rPr>
        <w:t> </w:t>
      </w:r>
      <w:r>
        <w:rPr>
          <w:b/>
          <w:sz w:val="24"/>
        </w:rPr>
        <w:t>treated</w:t>
      </w:r>
      <w:r>
        <w:rPr>
          <w:b/>
          <w:spacing w:val="40"/>
          <w:sz w:val="24"/>
        </w:rPr>
        <w:t> </w:t>
      </w:r>
      <w:r>
        <w:rPr>
          <w:b/>
          <w:sz w:val="24"/>
        </w:rPr>
        <w:t>with glimepiride 8 pm and nifedipine 8 pm, showing slight necrosis of the inner (INL) and outer layer (ONL) cells H&amp;E × 100</w:t>
      </w:r>
    </w:p>
    <w:p>
      <w:pPr>
        <w:spacing w:after="0" w:line="360" w:lineRule="auto"/>
        <w:jc w:val="both"/>
        <w:rPr>
          <w:sz w:val="24"/>
        </w:rPr>
        <w:sectPr>
          <w:pgSz w:w="12240" w:h="15840"/>
          <w:pgMar w:header="0" w:footer="1015" w:top="1440" w:bottom="1200" w:left="1720" w:right="300"/>
        </w:sectPr>
      </w:pPr>
    </w:p>
    <w:p>
      <w:pPr>
        <w:pStyle w:val="BodyText"/>
        <w:ind w:left="326"/>
        <w:rPr>
          <w:sz w:val="20"/>
        </w:rPr>
      </w:pPr>
      <w:r>
        <w:rPr>
          <w:sz w:val="20"/>
        </w:rPr>
        <mc:AlternateContent>
          <mc:Choice Requires="wps">
            <w:drawing>
              <wp:inline distT="0" distB="0" distL="0" distR="0">
                <wp:extent cx="5665470" cy="2932430"/>
                <wp:effectExtent l="0" t="0" r="0" b="1269"/>
                <wp:docPr id="167" name="Group 167"/>
                <wp:cNvGraphicFramePr>
                  <a:graphicFrameLocks/>
                </wp:cNvGraphicFramePr>
                <a:graphic>
                  <a:graphicData uri="http://schemas.microsoft.com/office/word/2010/wordprocessingGroup">
                    <wpg:wgp>
                      <wpg:cNvPr id="167" name="Group 167"/>
                      <wpg:cNvGrpSpPr/>
                      <wpg:grpSpPr>
                        <a:xfrm>
                          <a:off x="0" y="0"/>
                          <a:ext cx="5665470" cy="2932430"/>
                          <a:chExt cx="5665470" cy="2932430"/>
                        </a:xfrm>
                      </wpg:grpSpPr>
                      <pic:pic>
                        <pic:nvPicPr>
                          <pic:cNvPr id="168" name="Image 168"/>
                          <pic:cNvPicPr/>
                        </pic:nvPicPr>
                        <pic:blipFill>
                          <a:blip r:embed="rId39" cstate="print"/>
                          <a:stretch>
                            <a:fillRect/>
                          </a:stretch>
                        </pic:blipFill>
                        <pic:spPr>
                          <a:xfrm>
                            <a:off x="0" y="0"/>
                            <a:ext cx="5665470" cy="2932429"/>
                          </a:xfrm>
                          <a:prstGeom prst="rect">
                            <a:avLst/>
                          </a:prstGeom>
                        </pic:spPr>
                      </pic:pic>
                      <pic:pic>
                        <pic:nvPicPr>
                          <pic:cNvPr id="169" name="Image 169"/>
                          <pic:cNvPicPr/>
                        </pic:nvPicPr>
                        <pic:blipFill>
                          <a:blip r:embed="rId40" cstate="print"/>
                          <a:stretch>
                            <a:fillRect/>
                          </a:stretch>
                        </pic:blipFill>
                        <pic:spPr>
                          <a:xfrm>
                            <a:off x="884555" y="974089"/>
                            <a:ext cx="226060" cy="245109"/>
                          </a:xfrm>
                          <a:prstGeom prst="rect">
                            <a:avLst/>
                          </a:prstGeom>
                        </pic:spPr>
                      </pic:pic>
                      <pic:pic>
                        <pic:nvPicPr>
                          <pic:cNvPr id="170" name="Image 170"/>
                          <pic:cNvPicPr/>
                        </pic:nvPicPr>
                        <pic:blipFill>
                          <a:blip r:embed="rId40" cstate="print"/>
                          <a:stretch>
                            <a:fillRect/>
                          </a:stretch>
                        </pic:blipFill>
                        <pic:spPr>
                          <a:xfrm>
                            <a:off x="4104004" y="1831339"/>
                            <a:ext cx="226060" cy="245109"/>
                          </a:xfrm>
                          <a:prstGeom prst="rect">
                            <a:avLst/>
                          </a:prstGeom>
                        </pic:spPr>
                      </pic:pic>
                      <pic:pic>
                        <pic:nvPicPr>
                          <pic:cNvPr id="171" name="Image 171"/>
                          <pic:cNvPicPr/>
                        </pic:nvPicPr>
                        <pic:blipFill>
                          <a:blip r:embed="rId40" cstate="print"/>
                          <a:stretch>
                            <a:fillRect/>
                          </a:stretch>
                        </pic:blipFill>
                        <pic:spPr>
                          <a:xfrm>
                            <a:off x="1656079" y="1164589"/>
                            <a:ext cx="226060" cy="245109"/>
                          </a:xfrm>
                          <a:prstGeom prst="rect">
                            <a:avLst/>
                          </a:prstGeom>
                        </pic:spPr>
                      </pic:pic>
                      <pic:pic>
                        <pic:nvPicPr>
                          <pic:cNvPr id="172" name="Image 172"/>
                          <pic:cNvPicPr/>
                        </pic:nvPicPr>
                        <pic:blipFill>
                          <a:blip r:embed="rId40" cstate="print"/>
                          <a:stretch>
                            <a:fillRect/>
                          </a:stretch>
                        </pic:blipFill>
                        <pic:spPr>
                          <a:xfrm>
                            <a:off x="2589529" y="1507489"/>
                            <a:ext cx="226060" cy="245109"/>
                          </a:xfrm>
                          <a:prstGeom prst="rect">
                            <a:avLst/>
                          </a:prstGeom>
                        </pic:spPr>
                      </pic:pic>
                      <pic:pic>
                        <pic:nvPicPr>
                          <pic:cNvPr id="173" name="Image 173"/>
                          <pic:cNvPicPr/>
                        </pic:nvPicPr>
                        <pic:blipFill>
                          <a:blip r:embed="rId40" cstate="print"/>
                          <a:stretch>
                            <a:fillRect/>
                          </a:stretch>
                        </pic:blipFill>
                        <pic:spPr>
                          <a:xfrm>
                            <a:off x="1560830" y="1983739"/>
                            <a:ext cx="226060" cy="245109"/>
                          </a:xfrm>
                          <a:prstGeom prst="rect">
                            <a:avLst/>
                          </a:prstGeom>
                        </pic:spPr>
                      </pic:pic>
                    </wpg:wgp>
                  </a:graphicData>
                </a:graphic>
              </wp:inline>
            </w:drawing>
          </mc:Choice>
          <mc:Fallback>
            <w:pict>
              <v:group style="width:446.1pt;height:230.9pt;mso-position-horizontal-relative:char;mso-position-vertical-relative:line" id="docshapegroup164" coordorigin="0,0" coordsize="8922,4618">
                <v:shape style="position:absolute;left:0;top:0;width:8922;height:4618" type="#_x0000_t75" id="docshape165" stroked="false">
                  <v:imagedata r:id="rId39" o:title=""/>
                </v:shape>
                <v:shape style="position:absolute;left:1393;top:1534;width:356;height:386" type="#_x0000_t75" id="docshape166" stroked="false">
                  <v:imagedata r:id="rId40" o:title=""/>
                </v:shape>
                <v:shape style="position:absolute;left:6463;top:2884;width:356;height:386" type="#_x0000_t75" id="docshape167" stroked="false">
                  <v:imagedata r:id="rId40" o:title=""/>
                </v:shape>
                <v:shape style="position:absolute;left:2608;top:1834;width:356;height:386" type="#_x0000_t75" id="docshape168" stroked="false">
                  <v:imagedata r:id="rId40" o:title=""/>
                </v:shape>
                <v:shape style="position:absolute;left:4078;top:2374;width:356;height:386" type="#_x0000_t75" id="docshape169" stroked="false">
                  <v:imagedata r:id="rId40" o:title=""/>
                </v:shape>
                <v:shape style="position:absolute;left:2458;top:3124;width:356;height:386" type="#_x0000_t75" id="docshape170" stroked="false">
                  <v:imagedata r:id="rId40" o:title=""/>
                </v:shape>
              </v:group>
            </w:pict>
          </mc:Fallback>
        </mc:AlternateContent>
      </w:r>
      <w:r>
        <w:rPr>
          <w:sz w:val="20"/>
        </w:rPr>
      </w:r>
    </w:p>
    <w:p>
      <w:pPr>
        <w:spacing w:line="360" w:lineRule="auto" w:before="268"/>
        <w:ind w:left="296" w:right="1135" w:firstLine="0"/>
        <w:jc w:val="both"/>
        <w:rPr>
          <w:b/>
          <w:sz w:val="24"/>
        </w:rPr>
      </w:pPr>
      <w:r>
        <w:rPr>
          <w:b/>
          <w:sz w:val="24"/>
        </w:rPr>
        <w:t>Plate</w:t>
      </w:r>
      <w:r>
        <w:rPr>
          <w:b/>
          <w:spacing w:val="-2"/>
          <w:sz w:val="24"/>
        </w:rPr>
        <w:t> </w:t>
      </w:r>
      <w:r>
        <w:rPr>
          <w:b/>
          <w:sz w:val="24"/>
        </w:rPr>
        <w:t>X:</w:t>
      </w:r>
      <w:r>
        <w:rPr>
          <w:b/>
          <w:spacing w:val="80"/>
          <w:sz w:val="24"/>
        </w:rPr>
        <w:t>  </w:t>
      </w:r>
      <w:r>
        <w:rPr>
          <w:b/>
          <w:sz w:val="24"/>
        </w:rPr>
        <w:t>Photomicrograph</w:t>
      </w:r>
      <w:r>
        <w:rPr>
          <w:b/>
          <w:spacing w:val="40"/>
          <w:sz w:val="24"/>
        </w:rPr>
        <w:t> </w:t>
      </w:r>
      <w:r>
        <w:rPr>
          <w:b/>
          <w:sz w:val="24"/>
        </w:rPr>
        <w:t>of</w:t>
      </w:r>
      <w:r>
        <w:rPr>
          <w:b/>
          <w:spacing w:val="40"/>
          <w:sz w:val="24"/>
        </w:rPr>
        <w:t> </w:t>
      </w:r>
      <w:r>
        <w:rPr>
          <w:b/>
          <w:sz w:val="24"/>
        </w:rPr>
        <w:t>retina</w:t>
      </w:r>
      <w:r>
        <w:rPr>
          <w:b/>
          <w:spacing w:val="40"/>
          <w:sz w:val="24"/>
        </w:rPr>
        <w:t> </w:t>
      </w:r>
      <w:r>
        <w:rPr>
          <w:b/>
          <w:sz w:val="24"/>
        </w:rPr>
        <w:t>section</w:t>
      </w:r>
      <w:r>
        <w:rPr>
          <w:b/>
          <w:spacing w:val="40"/>
          <w:sz w:val="24"/>
        </w:rPr>
        <w:t> </w:t>
      </w:r>
      <w:r>
        <w:rPr>
          <w:b/>
          <w:sz w:val="24"/>
        </w:rPr>
        <w:t>of</w:t>
      </w:r>
      <w:r>
        <w:rPr>
          <w:b/>
          <w:spacing w:val="40"/>
          <w:sz w:val="24"/>
        </w:rPr>
        <w:t> </w:t>
      </w:r>
      <w:r>
        <w:rPr>
          <w:b/>
          <w:sz w:val="24"/>
        </w:rPr>
        <w:t>diabetic</w:t>
      </w:r>
      <w:r>
        <w:rPr>
          <w:b/>
          <w:spacing w:val="40"/>
          <w:sz w:val="24"/>
        </w:rPr>
        <w:t> </w:t>
      </w:r>
      <w:r>
        <w:rPr>
          <w:b/>
          <w:sz w:val="24"/>
        </w:rPr>
        <w:t>rat</w:t>
      </w:r>
      <w:r>
        <w:rPr>
          <w:b/>
          <w:spacing w:val="40"/>
          <w:sz w:val="24"/>
        </w:rPr>
        <w:t> </w:t>
      </w:r>
      <w:r>
        <w:rPr>
          <w:b/>
          <w:sz w:val="24"/>
        </w:rPr>
        <w:t>treated</w:t>
      </w:r>
      <w:r>
        <w:rPr>
          <w:b/>
          <w:spacing w:val="40"/>
          <w:sz w:val="24"/>
        </w:rPr>
        <w:t> </w:t>
      </w:r>
      <w:r>
        <w:rPr>
          <w:b/>
          <w:sz w:val="24"/>
        </w:rPr>
        <w:t>with glimepiride 8 pm and nifedipine 8 am, showing normal retinal layers with rods and cones (RC), outer nuclear layer (ONL), inner nuclear layer (INL), ganglion cell layer (GCL) and optic nerve fibers (ONF) H&amp;E × 100</w:t>
      </w:r>
    </w:p>
    <w:p>
      <w:pPr>
        <w:spacing w:after="0" w:line="360" w:lineRule="auto"/>
        <w:jc w:val="both"/>
        <w:rPr>
          <w:sz w:val="24"/>
        </w:rPr>
        <w:sectPr>
          <w:pgSz w:w="12240" w:h="15840"/>
          <w:pgMar w:header="0" w:footer="1015" w:top="1440" w:bottom="1200" w:left="1720" w:right="300"/>
        </w:sectPr>
      </w:pPr>
    </w:p>
    <w:p>
      <w:pPr>
        <w:pStyle w:val="Heading1"/>
        <w:ind w:left="957"/>
      </w:pPr>
      <w:bookmarkStart w:name="_TOC_250008" w:id="73"/>
      <w:r>
        <w:rPr/>
        <w:t>CHAPTER</w:t>
      </w:r>
      <w:r>
        <w:rPr>
          <w:spacing w:val="-5"/>
        </w:rPr>
        <w:t> </w:t>
      </w:r>
      <w:bookmarkEnd w:id="73"/>
      <w:r>
        <w:rPr>
          <w:spacing w:val="-4"/>
        </w:rPr>
        <w:t>FIVE</w:t>
      </w:r>
    </w:p>
    <w:p>
      <w:pPr>
        <w:pStyle w:val="BodyText"/>
        <w:spacing w:before="1"/>
        <w:rPr>
          <w:b/>
        </w:rPr>
      </w:pPr>
    </w:p>
    <w:p>
      <w:pPr>
        <w:pStyle w:val="Heading2"/>
        <w:numPr>
          <w:ilvl w:val="1"/>
          <w:numId w:val="18"/>
        </w:numPr>
        <w:tabs>
          <w:tab w:pos="4509" w:val="left" w:leader="none"/>
        </w:tabs>
        <w:spacing w:line="240" w:lineRule="auto" w:before="0" w:after="0"/>
        <w:ind w:left="4509" w:right="0" w:hanging="720"/>
        <w:jc w:val="both"/>
      </w:pPr>
      <w:bookmarkStart w:name="_TOC_250007" w:id="74"/>
      <w:bookmarkEnd w:id="74"/>
      <w:r>
        <w:rPr>
          <w:spacing w:val="-2"/>
        </w:rPr>
        <w:t>Discussion</w:t>
      </w:r>
    </w:p>
    <w:p>
      <w:pPr>
        <w:pStyle w:val="BodyText"/>
        <w:spacing w:line="480" w:lineRule="auto" w:before="271"/>
        <w:ind w:left="296" w:right="1136"/>
        <w:jc w:val="both"/>
      </w:pPr>
      <w:r>
        <w:rPr/>
        <w:t>The significant and progressive decrease in FBG and RBG in the group treated with glimepiride alone at 8 pm is as a result of chronotherapeutic considerations in the administration</w:t>
      </w:r>
      <w:r>
        <w:rPr>
          <w:spacing w:val="-3"/>
        </w:rPr>
        <w:t> </w:t>
      </w:r>
      <w:r>
        <w:rPr/>
        <w:t>of</w:t>
      </w:r>
      <w:r>
        <w:rPr>
          <w:spacing w:val="-2"/>
        </w:rPr>
        <w:t> </w:t>
      </w:r>
      <w:r>
        <w:rPr/>
        <w:t>glimepiride.</w:t>
      </w:r>
      <w:r>
        <w:rPr>
          <w:spacing w:val="-3"/>
        </w:rPr>
        <w:t> </w:t>
      </w:r>
      <w:r>
        <w:rPr/>
        <w:t>Although</w:t>
      </w:r>
      <w:r>
        <w:rPr>
          <w:spacing w:val="-3"/>
        </w:rPr>
        <w:t> </w:t>
      </w:r>
      <w:r>
        <w:rPr/>
        <w:t>the</w:t>
      </w:r>
      <w:r>
        <w:rPr>
          <w:spacing w:val="-2"/>
        </w:rPr>
        <w:t> </w:t>
      </w:r>
      <w:r>
        <w:rPr/>
        <w:t>circadian</w:t>
      </w:r>
      <w:r>
        <w:rPr>
          <w:spacing w:val="-3"/>
        </w:rPr>
        <w:t> </w:t>
      </w:r>
      <w:r>
        <w:rPr/>
        <w:t>variation</w:t>
      </w:r>
      <w:r>
        <w:rPr>
          <w:spacing w:val="-3"/>
        </w:rPr>
        <w:t> </w:t>
      </w:r>
      <w:r>
        <w:rPr/>
        <w:t>in</w:t>
      </w:r>
      <w:r>
        <w:rPr>
          <w:spacing w:val="-3"/>
        </w:rPr>
        <w:t> </w:t>
      </w:r>
      <w:r>
        <w:rPr/>
        <w:t>plasma</w:t>
      </w:r>
      <w:r>
        <w:rPr>
          <w:spacing w:val="-2"/>
        </w:rPr>
        <w:t> </w:t>
      </w:r>
      <w:r>
        <w:rPr/>
        <w:t>insulin</w:t>
      </w:r>
      <w:r>
        <w:rPr>
          <w:spacing w:val="-3"/>
        </w:rPr>
        <w:t> </w:t>
      </w:r>
      <w:r>
        <w:rPr/>
        <w:t>levels</w:t>
      </w:r>
      <w:r>
        <w:rPr>
          <w:spacing w:val="-3"/>
        </w:rPr>
        <w:t> </w:t>
      </w:r>
      <w:r>
        <w:rPr/>
        <w:t>and glucose rhythm are controversial due to variation in food intake, it has been reported that glucose rhythm follows a diurnal variation, with increased plasma levels at the beginning</w:t>
      </w:r>
      <w:r>
        <w:rPr>
          <w:spacing w:val="40"/>
        </w:rPr>
        <w:t> </w:t>
      </w:r>
      <w:r>
        <w:rPr/>
        <w:t>of the night time period (activity period) in fasted rats similar to the dawn phenomenon in humans (Bizot, 1998). This is as a result of diurnal variation in plasma insulin levels and counter regulatory hormones such as cortisol, growth hormone, glucagon and epinephrine that work against the action of insulin (Suresh and Pandit, 2009). Because a number of disease conditions including diabetes follow circadian variations, success of therapy is easily achieved by timing </w:t>
      </w:r>
      <w:r>
        <w:rPr>
          <w:i/>
        </w:rPr>
        <w:t>in vivo </w:t>
      </w:r>
      <w:r>
        <w:rPr/>
        <w:t>drug availability to match disease rhythms (Hermida </w:t>
      </w:r>
      <w:r>
        <w:rPr>
          <w:i/>
        </w:rPr>
        <w:t>et al</w:t>
      </w:r>
      <w:r>
        <w:rPr/>
        <w:t>., 2008).</w:t>
      </w:r>
    </w:p>
    <w:p>
      <w:pPr>
        <w:pStyle w:val="BodyText"/>
      </w:pPr>
    </w:p>
    <w:p>
      <w:pPr>
        <w:pStyle w:val="BodyText"/>
        <w:spacing w:before="2"/>
      </w:pPr>
    </w:p>
    <w:p>
      <w:pPr>
        <w:pStyle w:val="BodyText"/>
        <w:spacing w:line="480" w:lineRule="auto"/>
        <w:ind w:left="296" w:right="1137"/>
        <w:jc w:val="both"/>
      </w:pPr>
      <w:r>
        <w:rPr/>
        <w:t>A comparison of the glycaemic control data vis a viz fasting and random blood glucose obtained from the nifedipine groups treated at 8 am and 8 pm, authenticates how time of drug administration is an important determinant in the outcome of known and potential drug interactions. This is because time of drug administration often affects pharmacokinetics and predicts pharmacodynamic outcomes. Concurrent administration of glimepiride and nifedipine at 8 pm resulted in impairment of glycaemic control. This is a consequence of interaction between glimepiride and nifedipine when concurrently administered.</w:t>
      </w:r>
      <w:r>
        <w:rPr>
          <w:spacing w:val="20"/>
        </w:rPr>
        <w:t> </w:t>
      </w:r>
      <w:r>
        <w:rPr/>
        <w:t>Glimepiride</w:t>
      </w:r>
      <w:r>
        <w:rPr>
          <w:spacing w:val="20"/>
        </w:rPr>
        <w:t> </w:t>
      </w:r>
      <w:r>
        <w:rPr/>
        <w:t>acts</w:t>
      </w:r>
      <w:r>
        <w:rPr>
          <w:spacing w:val="21"/>
        </w:rPr>
        <w:t> </w:t>
      </w:r>
      <w:r>
        <w:rPr/>
        <w:t>via</w:t>
      </w:r>
      <w:r>
        <w:rPr>
          <w:spacing w:val="20"/>
        </w:rPr>
        <w:t> </w:t>
      </w:r>
      <w:r>
        <w:rPr/>
        <w:t>the</w:t>
      </w:r>
      <w:r>
        <w:rPr>
          <w:spacing w:val="19"/>
        </w:rPr>
        <w:t> </w:t>
      </w:r>
      <w:r>
        <w:rPr/>
        <w:t>sulfonylurea</w:t>
      </w:r>
      <w:r>
        <w:rPr>
          <w:spacing w:val="20"/>
        </w:rPr>
        <w:t> </w:t>
      </w:r>
      <w:r>
        <w:rPr/>
        <w:t>receptor</w:t>
      </w:r>
      <w:r>
        <w:rPr>
          <w:spacing w:val="23"/>
        </w:rPr>
        <w:t> </w:t>
      </w:r>
      <w:r>
        <w:rPr/>
        <w:t>(K</w:t>
      </w:r>
      <w:r>
        <w:rPr>
          <w:vertAlign w:val="subscript"/>
        </w:rPr>
        <w:t>ATP</w:t>
      </w:r>
      <w:r>
        <w:rPr>
          <w:vertAlign w:val="baseline"/>
        </w:rPr>
        <w:t> channel)</w:t>
      </w:r>
      <w:r>
        <w:rPr>
          <w:spacing w:val="21"/>
          <w:vertAlign w:val="baseline"/>
        </w:rPr>
        <w:t> </w:t>
      </w:r>
      <w:r>
        <w:rPr>
          <w:vertAlign w:val="baseline"/>
        </w:rPr>
        <w:t>and</w:t>
      </w:r>
      <w:r>
        <w:rPr>
          <w:spacing w:val="21"/>
          <w:vertAlign w:val="baseline"/>
        </w:rPr>
        <w:t> </w:t>
      </w:r>
      <w:r>
        <w:rPr>
          <w:spacing w:val="-2"/>
          <w:vertAlign w:val="baseline"/>
        </w:rPr>
        <w:t>mediates</w:t>
      </w:r>
    </w:p>
    <w:p>
      <w:pPr>
        <w:spacing w:after="0" w:line="480" w:lineRule="auto"/>
        <w:jc w:val="both"/>
        <w:sectPr>
          <w:pgSz w:w="12240" w:h="15840"/>
          <w:pgMar w:header="0" w:footer="1015" w:top="1360" w:bottom="1200" w:left="1720" w:right="300"/>
        </w:sectPr>
      </w:pPr>
    </w:p>
    <w:p>
      <w:pPr>
        <w:pStyle w:val="BodyText"/>
        <w:spacing w:line="480" w:lineRule="auto" w:before="72"/>
        <w:ind w:left="296" w:right="1136"/>
        <w:jc w:val="both"/>
      </w:pPr>
      <w:r>
        <w:rPr/>
        <w:t>its closure (Banbemko </w:t>
      </w:r>
      <w:r>
        <w:rPr>
          <w:i/>
        </w:rPr>
        <w:t>et al</w:t>
      </w:r>
      <w:r>
        <w:rPr/>
        <w:t>., 1998). Inhibition of the K</w:t>
      </w:r>
      <w:r>
        <w:rPr>
          <w:vertAlign w:val="subscript"/>
        </w:rPr>
        <w:t>ATP</w:t>
      </w:r>
      <w:r>
        <w:rPr>
          <w:vertAlign w:val="baseline"/>
        </w:rPr>
        <w:t> channels causes membrane depolarization and triggers the opening of voltage dependent LTCCs and insulin release (Murali </w:t>
      </w:r>
      <w:r>
        <w:rPr>
          <w:i/>
          <w:vertAlign w:val="baseline"/>
        </w:rPr>
        <w:t>et al</w:t>
      </w:r>
      <w:r>
        <w:rPr>
          <w:vertAlign w:val="baseline"/>
        </w:rPr>
        <w:t>., 2000). Nifedipine on the other hand binds to LTCCs with high affinity, and selectively blocks them, eventually inhibiting insulin release (Yaney </w:t>
      </w:r>
      <w:r>
        <w:rPr>
          <w:i/>
          <w:vertAlign w:val="baseline"/>
        </w:rPr>
        <w:t>et al</w:t>
      </w:r>
      <w:r>
        <w:rPr>
          <w:vertAlign w:val="baseline"/>
        </w:rPr>
        <w:t>., 1991;</w:t>
      </w:r>
      <w:r>
        <w:rPr>
          <w:spacing w:val="80"/>
          <w:vertAlign w:val="baseline"/>
        </w:rPr>
        <w:t> </w:t>
      </w:r>
      <w:r>
        <w:rPr>
          <w:vertAlign w:val="baseline"/>
        </w:rPr>
        <w:t>Roenfeldt </w:t>
      </w:r>
      <w:r>
        <w:rPr>
          <w:i/>
          <w:vertAlign w:val="baseline"/>
        </w:rPr>
        <w:t>et al</w:t>
      </w:r>
      <w:r>
        <w:rPr>
          <w:vertAlign w:val="baseline"/>
        </w:rPr>
        <w:t>., 1992). This action ultimately affected the glucose lowering property of glimepiride</w:t>
      </w:r>
      <w:r>
        <w:rPr>
          <w:spacing w:val="-3"/>
          <w:vertAlign w:val="baseline"/>
        </w:rPr>
        <w:t> </w:t>
      </w:r>
      <w:r>
        <w:rPr>
          <w:vertAlign w:val="baseline"/>
        </w:rPr>
        <w:t>which</w:t>
      </w:r>
      <w:r>
        <w:rPr>
          <w:spacing w:val="-3"/>
          <w:vertAlign w:val="baseline"/>
        </w:rPr>
        <w:t> </w:t>
      </w:r>
      <w:r>
        <w:rPr>
          <w:vertAlign w:val="baseline"/>
        </w:rPr>
        <w:t>manifested</w:t>
      </w:r>
      <w:r>
        <w:rPr>
          <w:spacing w:val="-3"/>
          <w:vertAlign w:val="baseline"/>
        </w:rPr>
        <w:t> </w:t>
      </w:r>
      <w:r>
        <w:rPr>
          <w:vertAlign w:val="baseline"/>
        </w:rPr>
        <w:t>as</w:t>
      </w:r>
      <w:r>
        <w:rPr>
          <w:spacing w:val="-3"/>
          <w:vertAlign w:val="baseline"/>
        </w:rPr>
        <w:t> </w:t>
      </w:r>
      <w:r>
        <w:rPr>
          <w:vertAlign w:val="baseline"/>
        </w:rPr>
        <w:t>a</w:t>
      </w:r>
      <w:r>
        <w:rPr>
          <w:spacing w:val="-3"/>
          <w:vertAlign w:val="baseline"/>
        </w:rPr>
        <w:t> </w:t>
      </w:r>
      <w:r>
        <w:rPr>
          <w:vertAlign w:val="baseline"/>
        </w:rPr>
        <w:t>delay</w:t>
      </w:r>
      <w:r>
        <w:rPr>
          <w:spacing w:val="-8"/>
          <w:vertAlign w:val="baseline"/>
        </w:rPr>
        <w:t> </w:t>
      </w:r>
      <w:r>
        <w:rPr>
          <w:vertAlign w:val="baseline"/>
        </w:rPr>
        <w:t>and</w:t>
      </w:r>
      <w:r>
        <w:rPr>
          <w:spacing w:val="-1"/>
          <w:vertAlign w:val="baseline"/>
        </w:rPr>
        <w:t> </w:t>
      </w:r>
      <w:r>
        <w:rPr>
          <w:vertAlign w:val="baseline"/>
        </w:rPr>
        <w:t>reduction</w:t>
      </w:r>
      <w:r>
        <w:rPr>
          <w:spacing w:val="-3"/>
          <w:vertAlign w:val="baseline"/>
        </w:rPr>
        <w:t> </w:t>
      </w:r>
      <w:r>
        <w:rPr>
          <w:vertAlign w:val="baseline"/>
        </w:rPr>
        <w:t>in</w:t>
      </w:r>
      <w:r>
        <w:rPr>
          <w:spacing w:val="-3"/>
          <w:vertAlign w:val="baseline"/>
        </w:rPr>
        <w:t> </w:t>
      </w:r>
      <w:r>
        <w:rPr>
          <w:vertAlign w:val="baseline"/>
        </w:rPr>
        <w:t>anti-diabetic</w:t>
      </w:r>
      <w:r>
        <w:rPr>
          <w:spacing w:val="-4"/>
          <w:vertAlign w:val="baseline"/>
        </w:rPr>
        <w:t> </w:t>
      </w:r>
      <w:r>
        <w:rPr>
          <w:vertAlign w:val="baseline"/>
        </w:rPr>
        <w:t>effect</w:t>
      </w:r>
      <w:r>
        <w:rPr>
          <w:spacing w:val="-3"/>
          <w:vertAlign w:val="baseline"/>
        </w:rPr>
        <w:t> </w:t>
      </w:r>
      <w:r>
        <w:rPr>
          <w:vertAlign w:val="baseline"/>
        </w:rPr>
        <w:t>of</w:t>
      </w:r>
      <w:r>
        <w:rPr>
          <w:spacing w:val="-2"/>
          <w:vertAlign w:val="baseline"/>
        </w:rPr>
        <w:t> </w:t>
      </w:r>
      <w:r>
        <w:rPr>
          <w:vertAlign w:val="baseline"/>
        </w:rPr>
        <w:t>glimepiride in this group.</w:t>
      </w:r>
    </w:p>
    <w:p>
      <w:pPr>
        <w:pStyle w:val="BodyText"/>
      </w:pPr>
    </w:p>
    <w:p>
      <w:pPr>
        <w:pStyle w:val="BodyText"/>
        <w:spacing w:before="1"/>
      </w:pPr>
    </w:p>
    <w:p>
      <w:pPr>
        <w:pStyle w:val="BodyText"/>
        <w:spacing w:line="480" w:lineRule="auto"/>
        <w:ind w:left="296" w:right="1132"/>
        <w:jc w:val="both"/>
      </w:pPr>
      <w:r>
        <w:rPr/>
        <w:t>Furthermore, studies on the pharmacokinetics of glimepiride shows that it is rapidly absorbed from the gastrointestinal tract after oral administration (Samala </w:t>
      </w:r>
      <w:r>
        <w:rPr>
          <w:i/>
        </w:rPr>
        <w:t>et al</w:t>
      </w:r>
      <w:r>
        <w:rPr/>
        <w:t>., 2011). Similarly, nifedipine has been reported to be rapidly absorbed from the gastrointestinal</w:t>
      </w:r>
      <w:r>
        <w:rPr>
          <w:spacing w:val="40"/>
        </w:rPr>
        <w:t> </w:t>
      </w:r>
      <w:r>
        <w:rPr/>
        <w:t>tract after oral administration (Cao </w:t>
      </w:r>
      <w:r>
        <w:rPr>
          <w:i/>
        </w:rPr>
        <w:t>et al</w:t>
      </w:r>
      <w:r>
        <w:rPr/>
        <w:t>., 2005). Deducing from these studies, it takes nifedipine less time (about one hour) to reach peak plasma concentration than glimepiride (about 6 hours) in rat models. This suggests that majority of the LTCCs required for</w:t>
      </w:r>
      <w:r>
        <w:rPr>
          <w:spacing w:val="80"/>
        </w:rPr>
        <w:t> </w:t>
      </w:r>
      <w:r>
        <w:rPr/>
        <w:t>insulin release would have been blocked by nifedipine before glimepiride concentration in the blood peaks. In addition, nifedipine is highly lipid soluble; as such its duration of</w:t>
      </w:r>
      <w:r>
        <w:rPr>
          <w:spacing w:val="80"/>
        </w:rPr>
        <w:t> </w:t>
      </w:r>
      <w:r>
        <w:rPr/>
        <w:t>action is increased in hyperlipidemia, a characteristic feature of diabetes mellitus (Eliot </w:t>
      </w:r>
      <w:r>
        <w:rPr>
          <w:i/>
        </w:rPr>
        <w:t>et al</w:t>
      </w:r>
      <w:r>
        <w:rPr/>
        <w:t>., 1999). It has been reported that hyperlipidemia significantly decreased systemic clearance of nifedipine by 40% and increased its pharmacological T</w:t>
      </w:r>
      <w:r>
        <w:rPr>
          <w:vertAlign w:val="subscript"/>
        </w:rPr>
        <w:t>1/2</w:t>
      </w:r>
      <w:r>
        <w:rPr>
          <w:vertAlign w:val="baseline"/>
        </w:rPr>
        <w:t> by 300%, and also increased the area under the plasma concentration-time curve by 65% in hyperlipidemic rats (Eliot and Jamali, 1999). This is likely to account for the impaired glycaemic control when</w:t>
      </w:r>
      <w:r>
        <w:rPr>
          <w:spacing w:val="-1"/>
          <w:vertAlign w:val="baseline"/>
        </w:rPr>
        <w:t> </w:t>
      </w:r>
      <w:r>
        <w:rPr>
          <w:vertAlign w:val="baseline"/>
        </w:rPr>
        <w:t>nifedipine</w:t>
      </w:r>
      <w:r>
        <w:rPr>
          <w:spacing w:val="-2"/>
          <w:vertAlign w:val="baseline"/>
        </w:rPr>
        <w:t> </w:t>
      </w:r>
      <w:r>
        <w:rPr>
          <w:vertAlign w:val="baseline"/>
        </w:rPr>
        <w:t>was concurrently</w:t>
      </w:r>
      <w:r>
        <w:rPr>
          <w:spacing w:val="-5"/>
          <w:vertAlign w:val="baseline"/>
        </w:rPr>
        <w:t> </w:t>
      </w:r>
      <w:r>
        <w:rPr>
          <w:vertAlign w:val="baseline"/>
        </w:rPr>
        <w:t>administered</w:t>
      </w:r>
      <w:r>
        <w:rPr>
          <w:spacing w:val="-1"/>
          <w:vertAlign w:val="baseline"/>
        </w:rPr>
        <w:t> </w:t>
      </w:r>
      <w:r>
        <w:rPr>
          <w:vertAlign w:val="baseline"/>
        </w:rPr>
        <w:t>with</w:t>
      </w:r>
      <w:r>
        <w:rPr>
          <w:spacing w:val="-1"/>
          <w:vertAlign w:val="baseline"/>
        </w:rPr>
        <w:t> </w:t>
      </w:r>
      <w:r>
        <w:rPr>
          <w:vertAlign w:val="baseline"/>
        </w:rPr>
        <w:t>glimepiride</w:t>
      </w:r>
      <w:r>
        <w:rPr>
          <w:spacing w:val="-2"/>
          <w:vertAlign w:val="baseline"/>
        </w:rPr>
        <w:t> </w:t>
      </w:r>
      <w:r>
        <w:rPr>
          <w:vertAlign w:val="baseline"/>
        </w:rPr>
        <w:t>at</w:t>
      </w:r>
      <w:r>
        <w:rPr>
          <w:spacing w:val="-1"/>
          <w:vertAlign w:val="baseline"/>
        </w:rPr>
        <w:t> </w:t>
      </w:r>
      <w:r>
        <w:rPr>
          <w:vertAlign w:val="baseline"/>
        </w:rPr>
        <w:t>8</w:t>
      </w:r>
      <w:r>
        <w:rPr>
          <w:spacing w:val="-1"/>
          <w:vertAlign w:val="baseline"/>
        </w:rPr>
        <w:t> </w:t>
      </w:r>
      <w:r>
        <w:rPr>
          <w:vertAlign w:val="baseline"/>
        </w:rPr>
        <w:t>pm,</w:t>
      </w:r>
      <w:r>
        <w:rPr>
          <w:spacing w:val="-1"/>
          <w:vertAlign w:val="baseline"/>
        </w:rPr>
        <w:t> </w:t>
      </w:r>
      <w:r>
        <w:rPr>
          <w:vertAlign w:val="baseline"/>
        </w:rPr>
        <w:t>but</w:t>
      </w:r>
      <w:r>
        <w:rPr>
          <w:spacing w:val="-1"/>
          <w:vertAlign w:val="baseline"/>
        </w:rPr>
        <w:t> </w:t>
      </w:r>
      <w:r>
        <w:rPr>
          <w:vertAlign w:val="baseline"/>
        </w:rPr>
        <w:t>did</w:t>
      </w:r>
      <w:r>
        <w:rPr>
          <w:spacing w:val="-1"/>
          <w:vertAlign w:val="baseline"/>
        </w:rPr>
        <w:t> </w:t>
      </w:r>
      <w:r>
        <w:rPr>
          <w:vertAlign w:val="baseline"/>
        </w:rPr>
        <w:t>not</w:t>
      </w:r>
      <w:r>
        <w:rPr>
          <w:spacing w:val="-1"/>
          <w:vertAlign w:val="baseline"/>
        </w:rPr>
        <w:t> </w:t>
      </w:r>
      <w:r>
        <w:rPr>
          <w:vertAlign w:val="baseline"/>
        </w:rPr>
        <w:t>affect the</w:t>
      </w:r>
      <w:r>
        <w:rPr>
          <w:spacing w:val="22"/>
          <w:vertAlign w:val="baseline"/>
        </w:rPr>
        <w:t> </w:t>
      </w:r>
      <w:r>
        <w:rPr>
          <w:vertAlign w:val="baseline"/>
        </w:rPr>
        <w:t>glucose</w:t>
      </w:r>
      <w:r>
        <w:rPr>
          <w:spacing w:val="25"/>
          <w:vertAlign w:val="baseline"/>
        </w:rPr>
        <w:t> </w:t>
      </w:r>
      <w:r>
        <w:rPr>
          <w:vertAlign w:val="baseline"/>
        </w:rPr>
        <w:t>lowering</w:t>
      </w:r>
      <w:r>
        <w:rPr>
          <w:spacing w:val="24"/>
          <w:vertAlign w:val="baseline"/>
        </w:rPr>
        <w:t> </w:t>
      </w:r>
      <w:r>
        <w:rPr>
          <w:vertAlign w:val="baseline"/>
        </w:rPr>
        <w:t>benefit</w:t>
      </w:r>
      <w:r>
        <w:rPr>
          <w:spacing w:val="26"/>
          <w:vertAlign w:val="baseline"/>
        </w:rPr>
        <w:t> </w:t>
      </w:r>
      <w:r>
        <w:rPr>
          <w:vertAlign w:val="baseline"/>
        </w:rPr>
        <w:t>of</w:t>
      </w:r>
      <w:r>
        <w:rPr>
          <w:spacing w:val="26"/>
          <w:vertAlign w:val="baseline"/>
        </w:rPr>
        <w:t> </w:t>
      </w:r>
      <w:r>
        <w:rPr>
          <w:vertAlign w:val="baseline"/>
        </w:rPr>
        <w:t>glimepiride</w:t>
      </w:r>
      <w:r>
        <w:rPr>
          <w:spacing w:val="25"/>
          <w:vertAlign w:val="baseline"/>
        </w:rPr>
        <w:t> </w:t>
      </w:r>
      <w:r>
        <w:rPr>
          <w:vertAlign w:val="baseline"/>
        </w:rPr>
        <w:t>when</w:t>
      </w:r>
      <w:r>
        <w:rPr>
          <w:spacing w:val="25"/>
          <w:vertAlign w:val="baseline"/>
        </w:rPr>
        <w:t> </w:t>
      </w:r>
      <w:r>
        <w:rPr>
          <w:vertAlign w:val="baseline"/>
        </w:rPr>
        <w:t>the</w:t>
      </w:r>
      <w:r>
        <w:rPr>
          <w:spacing w:val="25"/>
          <w:vertAlign w:val="baseline"/>
        </w:rPr>
        <w:t> </w:t>
      </w:r>
      <w:r>
        <w:rPr>
          <w:vertAlign w:val="baseline"/>
        </w:rPr>
        <w:t>administration</w:t>
      </w:r>
      <w:r>
        <w:rPr>
          <w:spacing w:val="25"/>
          <w:vertAlign w:val="baseline"/>
        </w:rPr>
        <w:t> </w:t>
      </w:r>
      <w:r>
        <w:rPr>
          <w:vertAlign w:val="baseline"/>
        </w:rPr>
        <w:t>was</w:t>
      </w:r>
      <w:r>
        <w:rPr>
          <w:spacing w:val="27"/>
          <w:vertAlign w:val="baseline"/>
        </w:rPr>
        <w:t> </w:t>
      </w:r>
      <w:r>
        <w:rPr>
          <w:vertAlign w:val="baseline"/>
        </w:rPr>
        <w:t>separated</w:t>
      </w:r>
      <w:r>
        <w:rPr>
          <w:spacing w:val="25"/>
          <w:vertAlign w:val="baseline"/>
        </w:rPr>
        <w:t> </w:t>
      </w:r>
      <w:r>
        <w:rPr>
          <w:vertAlign w:val="baseline"/>
        </w:rPr>
        <w:t>by</w:t>
      </w:r>
      <w:r>
        <w:rPr>
          <w:spacing w:val="21"/>
          <w:vertAlign w:val="baseline"/>
        </w:rPr>
        <w:t> </w:t>
      </w:r>
      <w:r>
        <w:rPr>
          <w:spacing w:val="-5"/>
          <w:vertAlign w:val="baseline"/>
        </w:rPr>
        <w:t>at</w:t>
      </w:r>
    </w:p>
    <w:p>
      <w:pPr>
        <w:spacing w:after="0" w:line="480" w:lineRule="auto"/>
        <w:jc w:val="both"/>
        <w:sectPr>
          <w:pgSz w:w="12240" w:h="15840"/>
          <w:pgMar w:header="0" w:footer="1015" w:top="1360" w:bottom="1200" w:left="1720" w:right="300"/>
        </w:sectPr>
      </w:pPr>
    </w:p>
    <w:p>
      <w:pPr>
        <w:pStyle w:val="BodyText"/>
        <w:spacing w:line="480" w:lineRule="auto" w:before="72"/>
        <w:ind w:left="296" w:right="1141"/>
        <w:jc w:val="both"/>
      </w:pPr>
      <w:r>
        <w:rPr/>
        <w:t>least twelve hours.</w:t>
      </w:r>
      <w:r>
        <w:rPr>
          <w:spacing w:val="40"/>
        </w:rPr>
        <w:t> </w:t>
      </w:r>
      <w:r>
        <w:rPr/>
        <w:t>One other important feature in the FBG data which doesn’t</w:t>
      </w:r>
      <w:r>
        <w:rPr>
          <w:spacing w:val="40"/>
        </w:rPr>
        <w:t> </w:t>
      </w:r>
      <w:r>
        <w:rPr/>
        <w:t>have an obvious explanation and</w:t>
      </w:r>
      <w:r>
        <w:rPr>
          <w:spacing w:val="-2"/>
        </w:rPr>
        <w:t> </w:t>
      </w:r>
      <w:r>
        <w:rPr/>
        <w:t>hence</w:t>
      </w:r>
      <w:r>
        <w:rPr>
          <w:spacing w:val="-1"/>
        </w:rPr>
        <w:t> </w:t>
      </w:r>
      <w:r>
        <w:rPr/>
        <w:t>requires further</w:t>
      </w:r>
      <w:r>
        <w:rPr>
          <w:spacing w:val="-1"/>
        </w:rPr>
        <w:t> </w:t>
      </w:r>
      <w:r>
        <w:rPr/>
        <w:t>investigations, was the fact that the glucose lowering effect of glimepiride was observed from the third day of treatment in the group treated</w:t>
      </w:r>
      <w:r>
        <w:rPr>
          <w:spacing w:val="-2"/>
        </w:rPr>
        <w:t> </w:t>
      </w:r>
      <w:r>
        <w:rPr/>
        <w:t>with</w:t>
      </w:r>
      <w:r>
        <w:rPr>
          <w:spacing w:val="-1"/>
        </w:rPr>
        <w:t> </w:t>
      </w:r>
      <w:r>
        <w:rPr/>
        <w:t>glimepiride at</w:t>
      </w:r>
      <w:r>
        <w:rPr>
          <w:spacing w:val="-1"/>
        </w:rPr>
        <w:t> </w:t>
      </w:r>
      <w:r>
        <w:rPr/>
        <w:t>8</w:t>
      </w:r>
      <w:r>
        <w:rPr>
          <w:spacing w:val="-1"/>
        </w:rPr>
        <w:t> </w:t>
      </w:r>
      <w:r>
        <w:rPr/>
        <w:t>pm</w:t>
      </w:r>
      <w:r>
        <w:rPr>
          <w:spacing w:val="-1"/>
        </w:rPr>
        <w:t> </w:t>
      </w:r>
      <w:r>
        <w:rPr/>
        <w:t>and</w:t>
      </w:r>
      <w:r>
        <w:rPr>
          <w:spacing w:val="-1"/>
        </w:rPr>
        <w:t> </w:t>
      </w:r>
      <w:r>
        <w:rPr/>
        <w:t>nifedipine</w:t>
      </w:r>
      <w:r>
        <w:rPr>
          <w:spacing w:val="-2"/>
        </w:rPr>
        <w:t> </w:t>
      </w:r>
      <w:r>
        <w:rPr/>
        <w:t>at</w:t>
      </w:r>
      <w:r>
        <w:rPr>
          <w:spacing w:val="-3"/>
        </w:rPr>
        <w:t> </w:t>
      </w:r>
      <w:r>
        <w:rPr/>
        <w:t>8</w:t>
      </w:r>
      <w:r>
        <w:rPr>
          <w:spacing w:val="-1"/>
        </w:rPr>
        <w:t> </w:t>
      </w:r>
      <w:r>
        <w:rPr/>
        <w:t>am.</w:t>
      </w:r>
      <w:r>
        <w:rPr>
          <w:spacing w:val="-1"/>
        </w:rPr>
        <w:t> </w:t>
      </w:r>
      <w:r>
        <w:rPr/>
        <w:t>This</w:t>
      </w:r>
      <w:r>
        <w:rPr>
          <w:spacing w:val="-3"/>
        </w:rPr>
        <w:t> </w:t>
      </w:r>
      <w:r>
        <w:rPr/>
        <w:t>is</w:t>
      </w:r>
      <w:r>
        <w:rPr>
          <w:spacing w:val="-1"/>
        </w:rPr>
        <w:t> </w:t>
      </w:r>
      <w:r>
        <w:rPr/>
        <w:t>in</w:t>
      </w:r>
      <w:r>
        <w:rPr>
          <w:spacing w:val="-3"/>
        </w:rPr>
        <w:t> </w:t>
      </w:r>
      <w:r>
        <w:rPr/>
        <w:t>contrast</w:t>
      </w:r>
      <w:r>
        <w:rPr>
          <w:spacing w:val="-1"/>
        </w:rPr>
        <w:t> </w:t>
      </w:r>
      <w:r>
        <w:rPr/>
        <w:t>with</w:t>
      </w:r>
      <w:r>
        <w:rPr>
          <w:spacing w:val="-1"/>
        </w:rPr>
        <w:t> </w:t>
      </w:r>
      <w:r>
        <w:rPr/>
        <w:t>the</w:t>
      </w:r>
      <w:r>
        <w:rPr>
          <w:spacing w:val="-2"/>
        </w:rPr>
        <w:t> </w:t>
      </w:r>
      <w:r>
        <w:rPr/>
        <w:t>glucose lowering effect observed in the group treated with glimepiride alone at 8 pm which was observed after seven days of treatment.</w:t>
      </w:r>
    </w:p>
    <w:p>
      <w:pPr>
        <w:pStyle w:val="BodyText"/>
      </w:pPr>
    </w:p>
    <w:p>
      <w:pPr>
        <w:pStyle w:val="BodyText"/>
        <w:spacing w:before="1"/>
      </w:pPr>
    </w:p>
    <w:p>
      <w:pPr>
        <w:pStyle w:val="BodyText"/>
        <w:spacing w:line="480" w:lineRule="auto"/>
        <w:ind w:left="296" w:right="1134"/>
        <w:jc w:val="both"/>
      </w:pPr>
      <w:r>
        <w:rPr/>
        <w:t>Decrease in body</w:t>
      </w:r>
      <w:r>
        <w:rPr>
          <w:spacing w:val="-1"/>
        </w:rPr>
        <w:t> </w:t>
      </w:r>
      <w:r>
        <w:rPr/>
        <w:t>weight is a presentation in diabetes mellitus (ADA, 2010). This is due to continuous excretion of glucose, decrease in both peripheral glucose uptake and glycogen synthesis (Salau </w:t>
      </w:r>
      <w:r>
        <w:rPr>
          <w:i/>
        </w:rPr>
        <w:t>et al</w:t>
      </w:r>
      <w:r>
        <w:rPr/>
        <w:t>., 2003), and increase breakdown of body proteins (Bhaskar </w:t>
      </w:r>
      <w:r>
        <w:rPr>
          <w:i/>
        </w:rPr>
        <w:t>et al</w:t>
      </w:r>
      <w:r>
        <w:rPr/>
        <w:t>., 2014). In this regard, the progressive increase in body weight produced following</w:t>
      </w:r>
      <w:r>
        <w:rPr>
          <w:spacing w:val="40"/>
        </w:rPr>
        <w:t> </w:t>
      </w:r>
      <w:r>
        <w:rPr/>
        <w:t>treatment with glimepiride at 8 pm and nifedipine at 8 am is as a result of increase in insulin release produced by glimepiride. This suggests that nifedipine did not inhibit the insulin secretory effect of glimepiride when the administration of both drugs is separated by at least twelve hours.</w:t>
      </w:r>
    </w:p>
    <w:p>
      <w:pPr>
        <w:pStyle w:val="BodyText"/>
      </w:pPr>
    </w:p>
    <w:p>
      <w:pPr>
        <w:pStyle w:val="BodyText"/>
        <w:spacing w:before="1"/>
      </w:pPr>
    </w:p>
    <w:p>
      <w:pPr>
        <w:pStyle w:val="BodyText"/>
        <w:spacing w:line="480" w:lineRule="auto"/>
        <w:ind w:left="296" w:right="1134"/>
        <w:jc w:val="both"/>
      </w:pPr>
      <w:r>
        <w:rPr/>
        <w:t>Peripheral neuropathy is one of the most common early complications of diabetes mellitus (Bhatti </w:t>
      </w:r>
      <w:r>
        <w:rPr>
          <w:i/>
        </w:rPr>
        <w:t>et al</w:t>
      </w:r>
      <w:r>
        <w:rPr/>
        <w:t>., 2012) and is characterized by clinical features like allodynia and</w:t>
      </w:r>
      <w:r>
        <w:rPr>
          <w:spacing w:val="80"/>
        </w:rPr>
        <w:t> </w:t>
      </w:r>
      <w:r>
        <w:rPr/>
        <w:t>hyperalgesia due to elevated nociceptive response (Zhang </w:t>
      </w:r>
      <w:r>
        <w:rPr>
          <w:i/>
        </w:rPr>
        <w:t>et al</w:t>
      </w:r>
      <w:r>
        <w:rPr/>
        <w:t>., 2014). In this study, peripheral neuropathy manifested after seven days. This is consistent with previous findings (Gabra</w:t>
      </w:r>
      <w:r>
        <w:rPr>
          <w:spacing w:val="-1"/>
        </w:rPr>
        <w:t> </w:t>
      </w:r>
      <w:r>
        <w:rPr/>
        <w:t>and Sirois, 2003; Honda </w:t>
      </w:r>
      <w:r>
        <w:rPr>
          <w:i/>
        </w:rPr>
        <w:t>et al</w:t>
      </w:r>
      <w:r>
        <w:rPr/>
        <w:t>., 2007) which reported that hyperalgesia due to peripheral neuropathy manifests after seven days. Data from both the paw pressure and tail</w:t>
      </w:r>
      <w:r>
        <w:rPr>
          <w:spacing w:val="15"/>
        </w:rPr>
        <w:t> </w:t>
      </w:r>
      <w:r>
        <w:rPr/>
        <w:t>immersion</w:t>
      </w:r>
      <w:r>
        <w:rPr>
          <w:spacing w:val="15"/>
        </w:rPr>
        <w:t> </w:t>
      </w:r>
      <w:r>
        <w:rPr/>
        <w:t>tests</w:t>
      </w:r>
      <w:r>
        <w:rPr>
          <w:spacing w:val="18"/>
        </w:rPr>
        <w:t> </w:t>
      </w:r>
      <w:r>
        <w:rPr/>
        <w:t>revealed</w:t>
      </w:r>
      <w:r>
        <w:rPr>
          <w:spacing w:val="16"/>
        </w:rPr>
        <w:t> </w:t>
      </w:r>
      <w:r>
        <w:rPr/>
        <w:t>that</w:t>
      </w:r>
      <w:r>
        <w:rPr>
          <w:spacing w:val="16"/>
        </w:rPr>
        <w:t> </w:t>
      </w:r>
      <w:r>
        <w:rPr/>
        <w:t>nifedipine</w:t>
      </w:r>
      <w:r>
        <w:rPr>
          <w:spacing w:val="17"/>
        </w:rPr>
        <w:t> </w:t>
      </w:r>
      <w:r>
        <w:rPr/>
        <w:t>ameliorates</w:t>
      </w:r>
      <w:r>
        <w:rPr>
          <w:spacing w:val="16"/>
        </w:rPr>
        <w:t> </w:t>
      </w:r>
      <w:r>
        <w:rPr/>
        <w:t>peripheral</w:t>
      </w:r>
      <w:r>
        <w:rPr>
          <w:spacing w:val="18"/>
        </w:rPr>
        <w:t> </w:t>
      </w:r>
      <w:r>
        <w:rPr/>
        <w:t>neuropathy.</w:t>
      </w:r>
      <w:r>
        <w:rPr>
          <w:spacing w:val="23"/>
        </w:rPr>
        <w:t> </w:t>
      </w:r>
      <w:r>
        <w:rPr/>
        <w:t>This</w:t>
      </w:r>
      <w:r>
        <w:rPr>
          <w:spacing w:val="17"/>
        </w:rPr>
        <w:t> </w:t>
      </w:r>
      <w:r>
        <w:rPr/>
        <w:t>is</w:t>
      </w:r>
      <w:r>
        <w:rPr>
          <w:spacing w:val="18"/>
        </w:rPr>
        <w:t> </w:t>
      </w:r>
      <w:r>
        <w:rPr>
          <w:spacing w:val="-5"/>
        </w:rPr>
        <w:t>so</w:t>
      </w:r>
    </w:p>
    <w:p>
      <w:pPr>
        <w:spacing w:after="0" w:line="480" w:lineRule="auto"/>
        <w:jc w:val="both"/>
        <w:sectPr>
          <w:pgSz w:w="12240" w:h="15840"/>
          <w:pgMar w:header="0" w:footer="1015" w:top="1360" w:bottom="1200" w:left="1720" w:right="300"/>
        </w:sectPr>
      </w:pPr>
    </w:p>
    <w:p>
      <w:pPr>
        <w:pStyle w:val="BodyText"/>
        <w:spacing w:line="480" w:lineRule="auto" w:before="72"/>
        <w:ind w:left="296" w:right="1131"/>
        <w:jc w:val="both"/>
      </w:pPr>
      <w:r>
        <w:rPr/>
        <w:t>because reduced nerve blood flow is implicated in peripheral neuropathy. Nifedipine, a vasodilator, acts directly on vascular smooth muscles to bring about increase in blood flow and consequently, prevents nerve conduction deficits in experimental diabetes (Robertson </w:t>
      </w:r>
      <w:r>
        <w:rPr>
          <w:i/>
        </w:rPr>
        <w:t>et al</w:t>
      </w:r>
      <w:r>
        <w:rPr/>
        <w:t>., 1992). It is noteworthy that the amelioration in peripheral neuropathy offered by nifedipine was only</w:t>
      </w:r>
      <w:r>
        <w:rPr>
          <w:spacing w:val="-3"/>
        </w:rPr>
        <w:t> </w:t>
      </w:r>
      <w:r>
        <w:rPr/>
        <w:t>significant when nifedipine was administered at 8 am with glimepiride at 8 pm. This</w:t>
      </w:r>
      <w:r>
        <w:rPr>
          <w:spacing w:val="-2"/>
        </w:rPr>
        <w:t> </w:t>
      </w:r>
      <w:r>
        <w:rPr/>
        <w:t>could be</w:t>
      </w:r>
      <w:r>
        <w:rPr>
          <w:spacing w:val="-1"/>
        </w:rPr>
        <w:t> </w:t>
      </w:r>
      <w:r>
        <w:rPr/>
        <w:t>due</w:t>
      </w:r>
      <w:r>
        <w:rPr>
          <w:spacing w:val="-1"/>
        </w:rPr>
        <w:t> </w:t>
      </w:r>
      <w:r>
        <w:rPr/>
        <w:t>to the</w:t>
      </w:r>
      <w:r>
        <w:rPr>
          <w:spacing w:val="-1"/>
        </w:rPr>
        <w:t> </w:t>
      </w:r>
      <w:r>
        <w:rPr/>
        <w:t>fact that nifedipine</w:t>
      </w:r>
      <w:r>
        <w:rPr>
          <w:spacing w:val="-1"/>
        </w:rPr>
        <w:t> </w:t>
      </w:r>
      <w:r>
        <w:rPr/>
        <w:t>administration was timed</w:t>
      </w:r>
      <w:r>
        <w:rPr>
          <w:spacing w:val="-1"/>
        </w:rPr>
        <w:t> </w:t>
      </w:r>
      <w:r>
        <w:rPr/>
        <w:t>to match the rhythm of endogenous vasodilation with approximate highest plasma concentrations of the drug. Endogenous vasodilation peaks during the rest period (Lemmer, 1996); suggesting a synergy between endogenous and nifedipine mediated vasodilation. This would ultimately result to enhanced blood supply to peripheral nerves.</w:t>
      </w:r>
    </w:p>
    <w:p>
      <w:pPr>
        <w:pStyle w:val="BodyText"/>
      </w:pPr>
    </w:p>
    <w:p>
      <w:pPr>
        <w:pStyle w:val="BodyText"/>
        <w:spacing w:before="1"/>
      </w:pPr>
    </w:p>
    <w:p>
      <w:pPr>
        <w:pStyle w:val="BodyText"/>
        <w:spacing w:line="480" w:lineRule="auto"/>
        <w:ind w:left="296" w:right="1136"/>
        <w:jc w:val="both"/>
      </w:pPr>
      <w:r>
        <w:rPr/>
        <w:t>Diabetic nephropathy is a common complication in type 2 diabetes mellitus and has become the single most important factor implicated in the etiology of end stage renal damage worldwide (Ntemka </w:t>
      </w:r>
      <w:r>
        <w:rPr>
          <w:i/>
        </w:rPr>
        <w:t>et al</w:t>
      </w:r>
      <w:r>
        <w:rPr/>
        <w:t>., 2011). Increased levels of serum creatinine, blood urea nitrogen and uric acid, and reduced levels of serum albumin and protein are common markers for diabetic nephropathy (Shah </w:t>
      </w:r>
      <w:r>
        <w:rPr>
          <w:i/>
        </w:rPr>
        <w:t>et al</w:t>
      </w:r>
      <w:r>
        <w:rPr/>
        <w:t>., 2007; Idonije </w:t>
      </w:r>
      <w:r>
        <w:rPr>
          <w:i/>
        </w:rPr>
        <w:t>et al</w:t>
      </w:r>
      <w:r>
        <w:rPr/>
        <w:t>., 2011). Data obtained from the relative kidney weight indicated that renal enlargement is a characteristic feature of a diseased kidney. This is consistent</w:t>
      </w:r>
      <w:r>
        <w:rPr>
          <w:spacing w:val="-1"/>
        </w:rPr>
        <w:t> </w:t>
      </w:r>
      <w:r>
        <w:rPr/>
        <w:t>with</w:t>
      </w:r>
      <w:r>
        <w:rPr>
          <w:spacing w:val="-1"/>
        </w:rPr>
        <w:t> </w:t>
      </w:r>
      <w:r>
        <w:rPr/>
        <w:t>the reports of Bodhankar and Kamble, (2013); Pourghasem </w:t>
      </w:r>
      <w:r>
        <w:rPr>
          <w:i/>
        </w:rPr>
        <w:t>et al</w:t>
      </w:r>
      <w:r>
        <w:rPr/>
        <w:t>., (2014)</w:t>
      </w:r>
      <w:r>
        <w:rPr>
          <w:spacing w:val="-1"/>
        </w:rPr>
        <w:t> </w:t>
      </w:r>
      <w:r>
        <w:rPr/>
        <w:t>who</w:t>
      </w:r>
      <w:r>
        <w:rPr>
          <w:spacing w:val="-1"/>
        </w:rPr>
        <w:t> </w:t>
      </w:r>
      <w:r>
        <w:rPr/>
        <w:t>reported that increase</w:t>
      </w:r>
      <w:r>
        <w:rPr>
          <w:spacing w:val="-1"/>
        </w:rPr>
        <w:t> </w:t>
      </w:r>
      <w:r>
        <w:rPr/>
        <w:t>in kidney</w:t>
      </w:r>
      <w:r>
        <w:rPr>
          <w:spacing w:val="-5"/>
        </w:rPr>
        <w:t> </w:t>
      </w:r>
      <w:r>
        <w:rPr/>
        <w:t>weight is due</w:t>
      </w:r>
      <w:r>
        <w:rPr>
          <w:spacing w:val="-1"/>
        </w:rPr>
        <w:t> </w:t>
      </w:r>
      <w:r>
        <w:rPr/>
        <w:t>to glomerular hypertrophy and nephromegaly in diabetic rats.</w:t>
      </w:r>
    </w:p>
    <w:p>
      <w:pPr>
        <w:pStyle w:val="BodyText"/>
      </w:pPr>
    </w:p>
    <w:p>
      <w:pPr>
        <w:pStyle w:val="BodyText"/>
        <w:spacing w:before="1"/>
      </w:pPr>
    </w:p>
    <w:p>
      <w:pPr>
        <w:pStyle w:val="BodyText"/>
        <w:spacing w:line="480" w:lineRule="auto" w:before="1"/>
        <w:ind w:left="296" w:right="1137"/>
        <w:jc w:val="both"/>
      </w:pPr>
      <w:r>
        <w:rPr/>
        <w:t>Findings from this study as evident by the results obtained from the serum renal markers, relative</w:t>
      </w:r>
      <w:r>
        <w:rPr>
          <w:spacing w:val="31"/>
        </w:rPr>
        <w:t> </w:t>
      </w:r>
      <w:r>
        <w:rPr/>
        <w:t>kidney</w:t>
      </w:r>
      <w:r>
        <w:rPr>
          <w:spacing w:val="29"/>
        </w:rPr>
        <w:t> </w:t>
      </w:r>
      <w:r>
        <w:rPr/>
        <w:t>weight</w:t>
      </w:r>
      <w:r>
        <w:rPr>
          <w:spacing w:val="35"/>
        </w:rPr>
        <w:t> </w:t>
      </w:r>
      <w:r>
        <w:rPr/>
        <w:t>and</w:t>
      </w:r>
      <w:r>
        <w:rPr>
          <w:spacing w:val="32"/>
        </w:rPr>
        <w:t> </w:t>
      </w:r>
      <w:r>
        <w:rPr/>
        <w:t>histological</w:t>
      </w:r>
      <w:r>
        <w:rPr>
          <w:spacing w:val="35"/>
        </w:rPr>
        <w:t> </w:t>
      </w:r>
      <w:r>
        <w:rPr/>
        <w:t>findings</w:t>
      </w:r>
      <w:r>
        <w:rPr>
          <w:spacing w:val="40"/>
        </w:rPr>
        <w:t> </w:t>
      </w:r>
      <w:r>
        <w:rPr/>
        <w:t>corroborate</w:t>
      </w:r>
      <w:r>
        <w:rPr>
          <w:spacing w:val="31"/>
        </w:rPr>
        <w:t> </w:t>
      </w:r>
      <w:r>
        <w:rPr/>
        <w:t>previous</w:t>
      </w:r>
      <w:r>
        <w:rPr>
          <w:spacing w:val="33"/>
        </w:rPr>
        <w:t> </w:t>
      </w:r>
      <w:r>
        <w:rPr/>
        <w:t>data</w:t>
      </w:r>
      <w:r>
        <w:rPr>
          <w:spacing w:val="33"/>
        </w:rPr>
        <w:t> </w:t>
      </w:r>
      <w:r>
        <w:rPr/>
        <w:t>(Ravid</w:t>
      </w:r>
      <w:r>
        <w:rPr>
          <w:spacing w:val="34"/>
        </w:rPr>
        <w:t> </w:t>
      </w:r>
      <w:r>
        <w:rPr>
          <w:i/>
        </w:rPr>
        <w:t>et</w:t>
      </w:r>
      <w:r>
        <w:rPr>
          <w:i/>
          <w:spacing w:val="33"/>
        </w:rPr>
        <w:t> </w:t>
      </w:r>
      <w:r>
        <w:rPr>
          <w:i/>
          <w:spacing w:val="-4"/>
        </w:rPr>
        <w:t>al</w:t>
      </w:r>
      <w:r>
        <w:rPr>
          <w:spacing w:val="-4"/>
        </w:rPr>
        <w:t>.,</w:t>
      </w:r>
    </w:p>
    <w:p>
      <w:pPr>
        <w:spacing w:after="0" w:line="480" w:lineRule="auto"/>
        <w:jc w:val="both"/>
        <w:sectPr>
          <w:pgSz w:w="12240" w:h="15840"/>
          <w:pgMar w:header="0" w:footer="1015" w:top="1360" w:bottom="1200" w:left="1720" w:right="300"/>
        </w:sectPr>
      </w:pPr>
    </w:p>
    <w:p>
      <w:pPr>
        <w:pStyle w:val="BodyText"/>
        <w:spacing w:line="480" w:lineRule="auto" w:before="72"/>
        <w:ind w:left="296" w:right="1134"/>
        <w:jc w:val="both"/>
      </w:pPr>
      <w:r>
        <w:rPr/>
        <w:t>1996; Estacio </w:t>
      </w:r>
      <w:r>
        <w:rPr>
          <w:i/>
        </w:rPr>
        <w:t>et al</w:t>
      </w:r>
      <w:r>
        <w:rPr/>
        <w:t>., 2000; Shigeaki, 2001; Toyohiko </w:t>
      </w:r>
      <w:r>
        <w:rPr>
          <w:i/>
        </w:rPr>
        <w:t>et al</w:t>
      </w:r>
      <w:r>
        <w:rPr/>
        <w:t>., 2014) that established that nifedipine offers nephro-protection. In their findings, they reported that nifedipine delays the progression and prognosis of nephropathy by increasing glomerular filtration rate as well as effective renal plasma flow. It is however pertinent to note that the nephro- protection in this study occurred after a 21-day chronomodulation of nifedipine at 8 am which</w:t>
      </w:r>
      <w:r>
        <w:rPr>
          <w:spacing w:val="-1"/>
        </w:rPr>
        <w:t> </w:t>
      </w:r>
      <w:r>
        <w:rPr/>
        <w:t>was</w:t>
      </w:r>
      <w:r>
        <w:rPr>
          <w:spacing w:val="-2"/>
        </w:rPr>
        <w:t> </w:t>
      </w:r>
      <w:r>
        <w:rPr/>
        <w:t>timed</w:t>
      </w:r>
      <w:r>
        <w:rPr>
          <w:spacing w:val="-2"/>
        </w:rPr>
        <w:t> </w:t>
      </w:r>
      <w:r>
        <w:rPr/>
        <w:t>to</w:t>
      </w:r>
      <w:r>
        <w:rPr>
          <w:spacing w:val="-1"/>
        </w:rPr>
        <w:t> </w:t>
      </w:r>
      <w:r>
        <w:rPr/>
        <w:t>match</w:t>
      </w:r>
      <w:r>
        <w:rPr>
          <w:spacing w:val="-2"/>
        </w:rPr>
        <w:t> </w:t>
      </w:r>
      <w:r>
        <w:rPr/>
        <w:t>the</w:t>
      </w:r>
      <w:r>
        <w:rPr>
          <w:spacing w:val="-2"/>
        </w:rPr>
        <w:t> </w:t>
      </w:r>
      <w:r>
        <w:rPr/>
        <w:t>endogenous</w:t>
      </w:r>
      <w:r>
        <w:rPr>
          <w:spacing w:val="-1"/>
        </w:rPr>
        <w:t> </w:t>
      </w:r>
      <w:r>
        <w:rPr/>
        <w:t>vasodilatory</w:t>
      </w:r>
      <w:r>
        <w:rPr>
          <w:spacing w:val="-6"/>
        </w:rPr>
        <w:t> </w:t>
      </w:r>
      <w:r>
        <w:rPr/>
        <w:t>mechanisms</w:t>
      </w:r>
      <w:r>
        <w:rPr>
          <w:spacing w:val="-1"/>
        </w:rPr>
        <w:t> </w:t>
      </w:r>
      <w:r>
        <w:rPr/>
        <w:t>involved in</w:t>
      </w:r>
      <w:r>
        <w:rPr>
          <w:spacing w:val="-1"/>
        </w:rPr>
        <w:t> </w:t>
      </w:r>
      <w:r>
        <w:rPr/>
        <w:t>increasing glomerular filtration as well as renal plasma flow. Though diurnal changes in the renal blood flow, glomerular filtration and urine excretion are still under investigation, available data suggests that the circadian variation in renal function is as a result of the variation in the blood level of hormones involved in renal activities such as vasopressin, vasoactive peptides, the renin-angiotensin-aldosterone complex and melatonin (Ewa </w:t>
      </w:r>
      <w:r>
        <w:rPr>
          <w:i/>
        </w:rPr>
        <w:t>et al</w:t>
      </w:r>
      <w:r>
        <w:rPr/>
        <w:t>., 2007). For instance, melatonin shows a circadian rhythm reaching its peak during the light phase in rats (Kato </w:t>
      </w:r>
      <w:r>
        <w:rPr>
          <w:i/>
        </w:rPr>
        <w:t>et al</w:t>
      </w:r>
      <w:r>
        <w:rPr/>
        <w:t>., 2002). Melatonin has also been reported to decrease the renin angiotensin aldosterone system activities in rats (Kawashima </w:t>
      </w:r>
      <w:r>
        <w:rPr>
          <w:i/>
        </w:rPr>
        <w:t>et al</w:t>
      </w:r>
      <w:r>
        <w:rPr/>
        <w:t>., 1987) thereby leading to increased renal blood flow and GFR through direct influence on melatonin receptors in the kidney (Song </w:t>
      </w:r>
      <w:r>
        <w:rPr>
          <w:i/>
        </w:rPr>
        <w:t>et al</w:t>
      </w:r>
      <w:r>
        <w:rPr/>
        <w:t>., 1993). The action of melatonin on the RAAS during the light phase in rats coupled with nifedipine’s ability to inhibit the vasoconstrictive effect of angiotensin II through the blockade of calcium dependent mechanisms (Luno </w:t>
      </w:r>
      <w:r>
        <w:rPr>
          <w:i/>
        </w:rPr>
        <w:t>et al</w:t>
      </w:r>
      <w:r>
        <w:rPr/>
        <w:t>., 1998) may account for the nephro-propection offered by nifedipine when administered at 8 am.</w:t>
      </w:r>
    </w:p>
    <w:p>
      <w:pPr>
        <w:pStyle w:val="BodyText"/>
      </w:pPr>
    </w:p>
    <w:p>
      <w:pPr>
        <w:pStyle w:val="BodyText"/>
        <w:spacing w:before="2"/>
      </w:pPr>
    </w:p>
    <w:p>
      <w:pPr>
        <w:pStyle w:val="BodyText"/>
        <w:spacing w:line="480" w:lineRule="auto" w:before="1"/>
        <w:ind w:left="296" w:right="1134"/>
        <w:jc w:val="both"/>
      </w:pPr>
      <w:r>
        <w:rPr/>
        <w:t>Retinopathy has been reported as one of the leading causes of blindness worldwide</w:t>
      </w:r>
      <w:r>
        <w:rPr>
          <w:spacing w:val="22"/>
        </w:rPr>
        <w:t> </w:t>
      </w:r>
      <w:r>
        <w:rPr/>
        <w:t>(Sher</w:t>
      </w:r>
      <w:r>
        <w:rPr>
          <w:spacing w:val="40"/>
        </w:rPr>
        <w:t> </w:t>
      </w:r>
      <w:r>
        <w:rPr>
          <w:i/>
        </w:rPr>
        <w:t>et al</w:t>
      </w:r>
      <w:r>
        <w:rPr/>
        <w:t>., 2014), and decrease in serum magnesium and increase in serum cholesterol and triglyceride</w:t>
      </w:r>
      <w:r>
        <w:rPr>
          <w:spacing w:val="19"/>
        </w:rPr>
        <w:t> </w:t>
      </w:r>
      <w:r>
        <w:rPr/>
        <w:t>levels</w:t>
      </w:r>
      <w:r>
        <w:rPr>
          <w:spacing w:val="22"/>
        </w:rPr>
        <w:t> </w:t>
      </w:r>
      <w:r>
        <w:rPr/>
        <w:t>are</w:t>
      </w:r>
      <w:r>
        <w:rPr>
          <w:spacing w:val="22"/>
        </w:rPr>
        <w:t> </w:t>
      </w:r>
      <w:r>
        <w:rPr/>
        <w:t>common</w:t>
      </w:r>
      <w:r>
        <w:rPr>
          <w:spacing w:val="21"/>
        </w:rPr>
        <w:t> </w:t>
      </w:r>
      <w:r>
        <w:rPr/>
        <w:t>markers</w:t>
      </w:r>
      <w:r>
        <w:rPr>
          <w:spacing w:val="20"/>
        </w:rPr>
        <w:t> </w:t>
      </w:r>
      <w:r>
        <w:rPr/>
        <w:t>for</w:t>
      </w:r>
      <w:r>
        <w:rPr>
          <w:spacing w:val="19"/>
        </w:rPr>
        <w:t> </w:t>
      </w:r>
      <w:r>
        <w:rPr/>
        <w:t>diabetic</w:t>
      </w:r>
      <w:r>
        <w:rPr>
          <w:spacing w:val="19"/>
        </w:rPr>
        <w:t> </w:t>
      </w:r>
      <w:r>
        <w:rPr/>
        <w:t>retinopathy</w:t>
      </w:r>
      <w:r>
        <w:rPr>
          <w:spacing w:val="18"/>
        </w:rPr>
        <w:t> </w:t>
      </w:r>
      <w:r>
        <w:rPr/>
        <w:t>(Ishrat</w:t>
      </w:r>
      <w:r>
        <w:rPr>
          <w:spacing w:val="22"/>
        </w:rPr>
        <w:t> </w:t>
      </w:r>
      <w:r>
        <w:rPr>
          <w:i/>
        </w:rPr>
        <w:t>et</w:t>
      </w:r>
      <w:r>
        <w:rPr>
          <w:i/>
          <w:spacing w:val="24"/>
        </w:rPr>
        <w:t> </w:t>
      </w:r>
      <w:r>
        <w:rPr>
          <w:i/>
        </w:rPr>
        <w:t>al</w:t>
      </w:r>
      <w:r>
        <w:rPr/>
        <w:t>.,</w:t>
      </w:r>
      <w:r>
        <w:rPr>
          <w:spacing w:val="21"/>
        </w:rPr>
        <w:t> </w:t>
      </w:r>
      <w:r>
        <w:rPr/>
        <w:t>2004).</w:t>
      </w:r>
      <w:r>
        <w:rPr>
          <w:spacing w:val="21"/>
        </w:rPr>
        <w:t> </w:t>
      </w:r>
      <w:r>
        <w:rPr>
          <w:spacing w:val="-5"/>
        </w:rPr>
        <w:t>The</w:t>
      </w:r>
    </w:p>
    <w:p>
      <w:pPr>
        <w:spacing w:after="0" w:line="480" w:lineRule="auto"/>
        <w:jc w:val="both"/>
        <w:sectPr>
          <w:pgSz w:w="12240" w:h="15840"/>
          <w:pgMar w:header="0" w:footer="1015" w:top="1360" w:bottom="1200" w:left="1720" w:right="300"/>
        </w:sectPr>
      </w:pPr>
    </w:p>
    <w:p>
      <w:pPr>
        <w:pStyle w:val="BodyText"/>
        <w:spacing w:line="480" w:lineRule="auto" w:before="72"/>
        <w:ind w:left="296" w:right="1139"/>
        <w:jc w:val="both"/>
      </w:pPr>
      <w:r>
        <w:rPr/>
        <w:t>exact mechanism by which magnesium plays a role in diabetic retinopathy is poorly understood, though it has been reported that low serum magnesium levels may contribute</w:t>
      </w:r>
      <w:r>
        <w:rPr>
          <w:spacing w:val="40"/>
        </w:rPr>
        <w:t> </w:t>
      </w:r>
      <w:r>
        <w:rPr/>
        <w:t>to diabetic retinopathy via reduction in the rate of inositol transport, abnormal platelet function and subsequent intracellular depletion of the microvessels supplying the retina (Nadler </w:t>
      </w:r>
      <w:r>
        <w:rPr>
          <w:i/>
        </w:rPr>
        <w:t>et al</w:t>
      </w:r>
      <w:r>
        <w:rPr/>
        <w:t>., 1993).</w:t>
      </w:r>
    </w:p>
    <w:p>
      <w:pPr>
        <w:pStyle w:val="BodyText"/>
      </w:pPr>
    </w:p>
    <w:p>
      <w:pPr>
        <w:pStyle w:val="BodyText"/>
      </w:pPr>
    </w:p>
    <w:p>
      <w:pPr>
        <w:pStyle w:val="BodyText"/>
        <w:spacing w:line="480" w:lineRule="auto"/>
        <w:ind w:left="296" w:right="1133"/>
        <w:jc w:val="both"/>
      </w:pPr>
      <w:r>
        <w:rPr/>
        <w:t>Data</w:t>
      </w:r>
      <w:r>
        <w:rPr>
          <w:spacing w:val="-2"/>
        </w:rPr>
        <w:t> </w:t>
      </w:r>
      <w:r>
        <w:rPr/>
        <w:t>obtained from</w:t>
      </w:r>
      <w:r>
        <w:rPr>
          <w:spacing w:val="-1"/>
        </w:rPr>
        <w:t> </w:t>
      </w:r>
      <w:r>
        <w:rPr/>
        <w:t>these serum</w:t>
      </w:r>
      <w:r>
        <w:rPr>
          <w:spacing w:val="-2"/>
        </w:rPr>
        <w:t> </w:t>
      </w:r>
      <w:r>
        <w:rPr/>
        <w:t>ocular markers</w:t>
      </w:r>
      <w:r>
        <w:rPr>
          <w:spacing w:val="-2"/>
        </w:rPr>
        <w:t> </w:t>
      </w:r>
      <w:r>
        <w:rPr/>
        <w:t>reveals</w:t>
      </w:r>
      <w:r>
        <w:rPr>
          <w:spacing w:val="-1"/>
        </w:rPr>
        <w:t> </w:t>
      </w:r>
      <w:r>
        <w:rPr/>
        <w:t>that</w:t>
      </w:r>
      <w:r>
        <w:rPr>
          <w:spacing w:val="-1"/>
        </w:rPr>
        <w:t> </w:t>
      </w:r>
      <w:r>
        <w:rPr/>
        <w:t>treatment with</w:t>
      </w:r>
      <w:r>
        <w:rPr>
          <w:spacing w:val="-1"/>
        </w:rPr>
        <w:t> </w:t>
      </w:r>
      <w:r>
        <w:rPr/>
        <w:t>glimepiride</w:t>
      </w:r>
      <w:r>
        <w:rPr>
          <w:spacing w:val="-2"/>
        </w:rPr>
        <w:t> </w:t>
      </w:r>
      <w:r>
        <w:rPr/>
        <w:t>at 8 pm and nifedipine at 8 am ameliorated retinopathy to a near normal state and is strongly supported</w:t>
      </w:r>
      <w:r>
        <w:rPr>
          <w:spacing w:val="-2"/>
        </w:rPr>
        <w:t> </w:t>
      </w:r>
      <w:r>
        <w:rPr/>
        <w:t>by</w:t>
      </w:r>
      <w:r>
        <w:rPr>
          <w:spacing w:val="-7"/>
        </w:rPr>
        <w:t> </w:t>
      </w:r>
      <w:r>
        <w:rPr/>
        <w:t>histological findings where</w:t>
      </w:r>
      <w:r>
        <w:rPr>
          <w:spacing w:val="-4"/>
        </w:rPr>
        <w:t> </w:t>
      </w:r>
      <w:r>
        <w:rPr/>
        <w:t>photomicrographs of</w:t>
      </w:r>
      <w:r>
        <w:rPr>
          <w:spacing w:val="-1"/>
        </w:rPr>
        <w:t> </w:t>
      </w:r>
      <w:r>
        <w:rPr/>
        <w:t>the</w:t>
      </w:r>
      <w:r>
        <w:rPr>
          <w:spacing w:val="-2"/>
        </w:rPr>
        <w:t> </w:t>
      </w:r>
      <w:r>
        <w:rPr/>
        <w:t>retina</w:t>
      </w:r>
      <w:r>
        <w:rPr>
          <w:spacing w:val="-3"/>
        </w:rPr>
        <w:t> </w:t>
      </w:r>
      <w:r>
        <w:rPr/>
        <w:t>of</w:t>
      </w:r>
      <w:r>
        <w:rPr>
          <w:spacing w:val="-1"/>
        </w:rPr>
        <w:t> </w:t>
      </w:r>
      <w:r>
        <w:rPr/>
        <w:t>the</w:t>
      </w:r>
      <w:r>
        <w:rPr>
          <w:spacing w:val="-2"/>
        </w:rPr>
        <w:t> </w:t>
      </w:r>
      <w:r>
        <w:rPr/>
        <w:t>nifedipine</w:t>
      </w:r>
      <w:r>
        <w:rPr>
          <w:spacing w:val="-3"/>
        </w:rPr>
        <w:t> </w:t>
      </w:r>
      <w:r>
        <w:rPr/>
        <w:t>8 am treated group showed normal histo-architectural features similar to the non-diabetic control group. One of the mechanisms involved in the development of retinopathy is occlusion or complete damage of the microvessels supplying the retina (Curtis </w:t>
      </w:r>
      <w:r>
        <w:rPr>
          <w:i/>
        </w:rPr>
        <w:t>et al</w:t>
      </w:r>
      <w:r>
        <w:rPr/>
        <w:t>.,</w:t>
      </w:r>
      <w:r>
        <w:rPr>
          <w:spacing w:val="40"/>
        </w:rPr>
        <w:t> </w:t>
      </w:r>
      <w:r>
        <w:rPr/>
        <w:t>2009), thus lipid lowering therapies have been shown to be beneficial in diabetic retinopathy (Ebru </w:t>
      </w:r>
      <w:r>
        <w:rPr>
          <w:i/>
        </w:rPr>
        <w:t>et al</w:t>
      </w:r>
      <w:r>
        <w:rPr/>
        <w:t>., 2013).</w:t>
      </w:r>
    </w:p>
    <w:p>
      <w:pPr>
        <w:pStyle w:val="BodyText"/>
      </w:pPr>
    </w:p>
    <w:p>
      <w:pPr>
        <w:pStyle w:val="BodyText"/>
        <w:spacing w:before="2"/>
      </w:pPr>
    </w:p>
    <w:p>
      <w:pPr>
        <w:pStyle w:val="BodyText"/>
        <w:spacing w:line="480" w:lineRule="auto"/>
        <w:ind w:left="296" w:right="1137"/>
        <w:jc w:val="both"/>
      </w:pPr>
      <w:r>
        <w:rPr/>
        <w:t>The consistency observed in the amelioration of microvascular complications in the group treated with glimepiride at 8 pm and nifedipine at 8 am may be related to the pharmacokinetics of nifedipine when administered at that time of the day. Cao and colleagues in 2005 reported that the plasma concentration, area under the plasma concentration-time curve from zero to six hours [AUC (0-6h)] and the peak plasma concentration [C (</w:t>
      </w:r>
      <w:r>
        <w:rPr>
          <w:vertAlign w:val="subscript"/>
        </w:rPr>
        <w:t>max</w:t>
      </w:r>
      <w:r>
        <w:rPr>
          <w:vertAlign w:val="baseline"/>
        </w:rPr>
        <w:t>)] were significantly higher in rats treated with a single oral dose of nifedipine at 8 am than in rats receiving same single dose of nifedipine at 4 pm and 12 am respectively.</w:t>
      </w:r>
      <w:r>
        <w:rPr>
          <w:spacing w:val="32"/>
          <w:vertAlign w:val="baseline"/>
        </w:rPr>
        <w:t> </w:t>
      </w:r>
      <w:r>
        <w:rPr>
          <w:vertAlign w:val="baseline"/>
        </w:rPr>
        <w:t>Furthermore,</w:t>
      </w:r>
      <w:r>
        <w:rPr>
          <w:spacing w:val="29"/>
          <w:vertAlign w:val="baseline"/>
        </w:rPr>
        <w:t> </w:t>
      </w:r>
      <w:r>
        <w:rPr>
          <w:vertAlign w:val="baseline"/>
        </w:rPr>
        <w:t>the</w:t>
      </w:r>
      <w:r>
        <w:rPr>
          <w:spacing w:val="30"/>
          <w:vertAlign w:val="baseline"/>
        </w:rPr>
        <w:t> </w:t>
      </w:r>
      <w:r>
        <w:rPr>
          <w:vertAlign w:val="baseline"/>
        </w:rPr>
        <w:t>time</w:t>
      </w:r>
      <w:r>
        <w:rPr>
          <w:spacing w:val="29"/>
          <w:vertAlign w:val="baseline"/>
        </w:rPr>
        <w:t> </w:t>
      </w:r>
      <w:r>
        <w:rPr>
          <w:vertAlign w:val="baseline"/>
        </w:rPr>
        <w:t>taken</w:t>
      </w:r>
      <w:r>
        <w:rPr>
          <w:spacing w:val="30"/>
          <w:vertAlign w:val="baseline"/>
        </w:rPr>
        <w:t> </w:t>
      </w:r>
      <w:r>
        <w:rPr>
          <w:vertAlign w:val="baseline"/>
        </w:rPr>
        <w:t>to</w:t>
      </w:r>
      <w:r>
        <w:rPr>
          <w:spacing w:val="30"/>
          <w:vertAlign w:val="baseline"/>
        </w:rPr>
        <w:t> </w:t>
      </w:r>
      <w:r>
        <w:rPr>
          <w:vertAlign w:val="baseline"/>
        </w:rPr>
        <w:t>reach</w:t>
      </w:r>
      <w:r>
        <w:rPr>
          <w:spacing w:val="30"/>
          <w:vertAlign w:val="baseline"/>
        </w:rPr>
        <w:t> </w:t>
      </w:r>
      <w:r>
        <w:rPr>
          <w:vertAlign w:val="baseline"/>
        </w:rPr>
        <w:t>[C</w:t>
      </w:r>
      <w:r>
        <w:rPr>
          <w:spacing w:val="30"/>
          <w:vertAlign w:val="baseline"/>
        </w:rPr>
        <w:t> </w:t>
      </w:r>
      <w:r>
        <w:rPr>
          <w:vertAlign w:val="baseline"/>
        </w:rPr>
        <w:t>(</w:t>
      </w:r>
      <w:r>
        <w:rPr>
          <w:vertAlign w:val="subscript"/>
        </w:rPr>
        <w:t>max</w:t>
      </w:r>
      <w:r>
        <w:rPr>
          <w:vertAlign w:val="baseline"/>
        </w:rPr>
        <w:t>)]</w:t>
      </w:r>
      <w:r>
        <w:rPr>
          <w:spacing w:val="30"/>
          <w:vertAlign w:val="baseline"/>
        </w:rPr>
        <w:t> </w:t>
      </w:r>
      <w:r>
        <w:rPr>
          <w:vertAlign w:val="baseline"/>
        </w:rPr>
        <w:t>[T</w:t>
      </w:r>
      <w:r>
        <w:rPr>
          <w:spacing w:val="29"/>
          <w:vertAlign w:val="baseline"/>
        </w:rPr>
        <w:t> </w:t>
      </w:r>
      <w:r>
        <w:rPr>
          <w:vertAlign w:val="baseline"/>
        </w:rPr>
        <w:t>(</w:t>
      </w:r>
      <w:r>
        <w:rPr>
          <w:vertAlign w:val="subscript"/>
        </w:rPr>
        <w:t>max</w:t>
      </w:r>
      <w:r>
        <w:rPr>
          <w:vertAlign w:val="baseline"/>
        </w:rPr>
        <w:t>)]</w:t>
      </w:r>
      <w:r>
        <w:rPr>
          <w:spacing w:val="31"/>
          <w:vertAlign w:val="baseline"/>
        </w:rPr>
        <w:t> </w:t>
      </w:r>
      <w:r>
        <w:rPr>
          <w:vertAlign w:val="baseline"/>
        </w:rPr>
        <w:t>was</w:t>
      </w:r>
      <w:r>
        <w:rPr>
          <w:spacing w:val="27"/>
          <w:vertAlign w:val="baseline"/>
        </w:rPr>
        <w:t> </w:t>
      </w:r>
      <w:r>
        <w:rPr>
          <w:vertAlign w:val="baseline"/>
        </w:rPr>
        <w:t>reported</w:t>
      </w:r>
      <w:r>
        <w:rPr>
          <w:spacing w:val="30"/>
          <w:vertAlign w:val="baseline"/>
        </w:rPr>
        <w:t> </w:t>
      </w:r>
      <w:r>
        <w:rPr>
          <w:vertAlign w:val="baseline"/>
        </w:rPr>
        <w:t>to</w:t>
      </w:r>
      <w:r>
        <w:rPr>
          <w:spacing w:val="32"/>
          <w:vertAlign w:val="baseline"/>
        </w:rPr>
        <w:t> </w:t>
      </w:r>
      <w:r>
        <w:rPr>
          <w:spacing w:val="-5"/>
          <w:vertAlign w:val="baseline"/>
        </w:rPr>
        <w:t>be</w:t>
      </w:r>
    </w:p>
    <w:p>
      <w:pPr>
        <w:spacing w:after="0" w:line="480" w:lineRule="auto"/>
        <w:jc w:val="both"/>
        <w:sectPr>
          <w:pgSz w:w="12240" w:h="15840"/>
          <w:pgMar w:header="0" w:footer="1015" w:top="1360" w:bottom="1200" w:left="1720" w:right="300"/>
        </w:sectPr>
      </w:pPr>
    </w:p>
    <w:p>
      <w:pPr>
        <w:pStyle w:val="BodyText"/>
        <w:spacing w:line="480" w:lineRule="auto" w:before="72"/>
        <w:ind w:left="296" w:right="1135"/>
        <w:jc w:val="both"/>
      </w:pPr>
      <w:r>
        <w:rPr/>
        <w:t>shortest in rats treated at 8 am when compared to rats treated at 4 pm and 12 am. Earlier studies indicate that the bioavailability of nifedipine reduced by 40 percent after evening dosing when compared to morning dosing (Lemmer </w:t>
      </w:r>
      <w:r>
        <w:rPr>
          <w:i/>
        </w:rPr>
        <w:t>et al</w:t>
      </w:r>
      <w:r>
        <w:rPr/>
        <w:t>., 1991; Cao </w:t>
      </w:r>
      <w:r>
        <w:rPr>
          <w:i/>
        </w:rPr>
        <w:t>et al</w:t>
      </w:r>
      <w:r>
        <w:rPr/>
        <w:t>., 2010). This is as a result of circadian variation in gastric emptying which is shorter in the morning (Goo </w:t>
      </w:r>
      <w:r>
        <w:rPr>
          <w:i/>
        </w:rPr>
        <w:t>et al</w:t>
      </w:r>
      <w:r>
        <w:rPr/>
        <w:t>., 1987) and gastrointestinal tract perfusion which is higher during the early morning hours than in the afternoon (Lemmer and Nold, 1991; Cao </w:t>
      </w:r>
      <w:r>
        <w:rPr>
          <w:i/>
        </w:rPr>
        <w:t>et al</w:t>
      </w:r>
      <w:r>
        <w:rPr/>
        <w:t>., 2010). The mechanisms</w:t>
      </w:r>
      <w:r>
        <w:rPr>
          <w:spacing w:val="40"/>
        </w:rPr>
        <w:t> </w:t>
      </w:r>
      <w:r>
        <w:rPr/>
        <w:t>in these reports explain higher C</w:t>
      </w:r>
      <w:r>
        <w:rPr>
          <w:vertAlign w:val="subscript"/>
        </w:rPr>
        <w:t>max</w:t>
      </w:r>
      <w:r>
        <w:rPr>
          <w:vertAlign w:val="baseline"/>
        </w:rPr>
        <w:t> and shorter t</w:t>
      </w:r>
      <w:r>
        <w:rPr>
          <w:vertAlign w:val="subscript"/>
        </w:rPr>
        <w:t>max</w:t>
      </w:r>
      <w:r>
        <w:rPr>
          <w:vertAlign w:val="baseline"/>
        </w:rPr>
        <w:t> values following morning oral administration of nifedipine.</w:t>
      </w:r>
    </w:p>
    <w:p>
      <w:pPr>
        <w:spacing w:after="0" w:line="480" w:lineRule="auto"/>
        <w:jc w:val="both"/>
        <w:sectPr>
          <w:pgSz w:w="12240" w:h="15840"/>
          <w:pgMar w:header="0" w:footer="1015" w:top="1360" w:bottom="1200" w:left="1720" w:right="300"/>
        </w:sectPr>
      </w:pPr>
    </w:p>
    <w:p>
      <w:pPr>
        <w:pStyle w:val="Heading1"/>
        <w:ind w:left="957"/>
      </w:pPr>
      <w:bookmarkStart w:name="_TOC_250006" w:id="75"/>
      <w:r>
        <w:rPr/>
        <w:t>CHAPTER</w:t>
      </w:r>
      <w:r>
        <w:rPr>
          <w:spacing w:val="-4"/>
        </w:rPr>
        <w:t> </w:t>
      </w:r>
      <w:bookmarkEnd w:id="75"/>
      <w:r>
        <w:rPr>
          <w:spacing w:val="-5"/>
        </w:rPr>
        <w:t>SIX</w:t>
      </w:r>
    </w:p>
    <w:p>
      <w:pPr>
        <w:pStyle w:val="BodyText"/>
        <w:spacing w:before="1"/>
        <w:rPr>
          <w:b/>
        </w:rPr>
      </w:pPr>
    </w:p>
    <w:p>
      <w:pPr>
        <w:pStyle w:val="Heading2"/>
        <w:numPr>
          <w:ilvl w:val="1"/>
          <w:numId w:val="19"/>
        </w:numPr>
        <w:tabs>
          <w:tab w:pos="3306" w:val="left" w:leader="none"/>
        </w:tabs>
        <w:spacing w:line="240" w:lineRule="auto" w:before="0" w:after="0"/>
        <w:ind w:left="3306" w:right="0" w:hanging="720"/>
        <w:jc w:val="left"/>
      </w:pPr>
      <w:bookmarkStart w:name="_TOC_250005" w:id="76"/>
      <w:r>
        <w:rPr/>
        <w:t>Conclusion</w:t>
      </w:r>
      <w:r>
        <w:rPr>
          <w:spacing w:val="-1"/>
        </w:rPr>
        <w:t> </w:t>
      </w:r>
      <w:r>
        <w:rPr/>
        <w:t>and</w:t>
      </w:r>
      <w:r>
        <w:rPr>
          <w:spacing w:val="-1"/>
        </w:rPr>
        <w:t> </w:t>
      </w:r>
      <w:bookmarkEnd w:id="76"/>
      <w:r>
        <w:rPr>
          <w:spacing w:val="-2"/>
        </w:rPr>
        <w:t>recommendations</w:t>
      </w:r>
    </w:p>
    <w:p>
      <w:pPr>
        <w:pStyle w:val="BodyText"/>
        <w:rPr>
          <w:b/>
        </w:rPr>
      </w:pPr>
    </w:p>
    <w:p>
      <w:pPr>
        <w:pStyle w:val="Heading2"/>
        <w:numPr>
          <w:ilvl w:val="1"/>
          <w:numId w:val="19"/>
        </w:numPr>
        <w:tabs>
          <w:tab w:pos="4475" w:val="left" w:leader="none"/>
        </w:tabs>
        <w:spacing w:line="240" w:lineRule="auto" w:before="0" w:after="0"/>
        <w:ind w:left="4475" w:right="0" w:hanging="720"/>
        <w:jc w:val="both"/>
      </w:pPr>
      <w:bookmarkStart w:name="_TOC_250004" w:id="77"/>
      <w:bookmarkEnd w:id="77"/>
      <w:r>
        <w:rPr>
          <w:spacing w:val="-2"/>
        </w:rPr>
        <w:t>Conclusion</w:t>
      </w:r>
    </w:p>
    <w:p>
      <w:pPr>
        <w:pStyle w:val="BodyText"/>
        <w:spacing w:line="480" w:lineRule="auto" w:before="271"/>
        <w:ind w:left="296" w:right="1135"/>
        <w:jc w:val="both"/>
      </w:pPr>
      <w:r>
        <w:rPr/>
        <w:t>Co-administration of glimepiride at 8 pm and nifedipine at 8 am did not</w:t>
      </w:r>
      <w:r>
        <w:rPr>
          <w:spacing w:val="-1"/>
        </w:rPr>
        <w:t> </w:t>
      </w:r>
      <w:r>
        <w:rPr/>
        <w:t>inhibit the glucose lowering effect of glimepiride and also ameliorated the prognosis of microvascular complications (retinopathy, nephropathy and peripheral neuropathy) in hyperglycaemic</w:t>
      </w:r>
      <w:r>
        <w:rPr>
          <w:spacing w:val="40"/>
        </w:rPr>
        <w:t> </w:t>
      </w:r>
      <w:r>
        <w:rPr/>
        <w:t>rats treated with glimepiride at 8 pm. This implies that with chronotherapy, co- administration of glimepiride and nifedipine can be successful without losing the glucose lowering benefits of glimepiride, while delaying the progression and improving the prognosis of microvascular complications.</w:t>
      </w:r>
    </w:p>
    <w:p>
      <w:pPr>
        <w:pStyle w:val="BodyText"/>
      </w:pPr>
    </w:p>
    <w:p>
      <w:pPr>
        <w:pStyle w:val="BodyText"/>
        <w:spacing w:before="6"/>
      </w:pPr>
    </w:p>
    <w:p>
      <w:pPr>
        <w:pStyle w:val="Heading2"/>
        <w:numPr>
          <w:ilvl w:val="1"/>
          <w:numId w:val="20"/>
        </w:numPr>
        <w:tabs>
          <w:tab w:pos="2343" w:val="left" w:leader="none"/>
        </w:tabs>
        <w:spacing w:line="240" w:lineRule="auto" w:before="0" w:after="0"/>
        <w:ind w:left="2343" w:right="0" w:hanging="720"/>
        <w:jc w:val="both"/>
      </w:pPr>
      <w:bookmarkStart w:name="_TOC_250003" w:id="78"/>
      <w:r>
        <w:rPr/>
        <w:t>Recommendation</w:t>
      </w:r>
      <w:r>
        <w:rPr>
          <w:spacing w:val="-4"/>
        </w:rPr>
        <w:t> </w:t>
      </w:r>
      <w:r>
        <w:rPr/>
        <w:t>and</w:t>
      </w:r>
      <w:r>
        <w:rPr>
          <w:spacing w:val="-2"/>
        </w:rPr>
        <w:t> </w:t>
      </w:r>
      <w:r>
        <w:rPr/>
        <w:t>suggestions</w:t>
      </w:r>
      <w:r>
        <w:rPr>
          <w:spacing w:val="-2"/>
        </w:rPr>
        <w:t> </w:t>
      </w:r>
      <w:r>
        <w:rPr/>
        <w:t>for</w:t>
      </w:r>
      <w:r>
        <w:rPr>
          <w:spacing w:val="-3"/>
        </w:rPr>
        <w:t> </w:t>
      </w:r>
      <w:r>
        <w:rPr/>
        <w:t>further</w:t>
      </w:r>
      <w:r>
        <w:rPr>
          <w:spacing w:val="-3"/>
        </w:rPr>
        <w:t> </w:t>
      </w:r>
      <w:bookmarkEnd w:id="78"/>
      <w:r>
        <w:rPr>
          <w:spacing w:val="-2"/>
        </w:rPr>
        <w:t>studies</w:t>
      </w:r>
    </w:p>
    <w:p>
      <w:pPr>
        <w:pStyle w:val="BodyText"/>
        <w:spacing w:line="480" w:lineRule="auto" w:before="271"/>
        <w:ind w:left="296" w:right="1134"/>
        <w:jc w:val="both"/>
      </w:pPr>
      <w:r>
        <w:rPr/>
        <w:t>From the outcome of this study, the concurrent use of nifedipine and glimepiride may be considered for the beneficial purpose of glucose control and amelioration of diabetic microvascular complications. The use of both drugs will however need to be separated by at least 12 hours with chronotherapeutic considerations for these benefits to be maximized.</w:t>
      </w:r>
    </w:p>
    <w:p>
      <w:pPr>
        <w:pStyle w:val="BodyText"/>
      </w:pPr>
    </w:p>
    <w:p>
      <w:pPr>
        <w:pStyle w:val="BodyText"/>
        <w:spacing w:before="200"/>
      </w:pPr>
    </w:p>
    <w:p>
      <w:pPr>
        <w:pStyle w:val="BodyText"/>
        <w:spacing w:line="480" w:lineRule="auto"/>
        <w:ind w:left="296" w:right="1138"/>
        <w:jc w:val="both"/>
      </w:pPr>
      <w:r>
        <w:rPr/>
        <w:t>Future studies should be conducted in glimepiride-treated diabetic hypertensive rats to investigate if the time of administration of nifedipine will significantly improve glycaemic control, ameliorate microvascular complications as well as produce antihypertensive </w:t>
      </w:r>
      <w:r>
        <w:rPr>
          <w:spacing w:val="-2"/>
        </w:rPr>
        <w:t>effects.</w:t>
      </w:r>
    </w:p>
    <w:p>
      <w:pPr>
        <w:spacing w:after="0" w:line="480" w:lineRule="auto"/>
        <w:jc w:val="both"/>
        <w:sectPr>
          <w:pgSz w:w="12240" w:h="15840"/>
          <w:pgMar w:header="0" w:footer="1015" w:top="1360" w:bottom="1200" w:left="1720" w:right="300"/>
        </w:sectPr>
      </w:pPr>
    </w:p>
    <w:p>
      <w:pPr>
        <w:pStyle w:val="BodyText"/>
        <w:spacing w:line="482" w:lineRule="auto" w:before="72"/>
        <w:ind w:left="296" w:right="1140"/>
        <w:jc w:val="both"/>
      </w:pPr>
      <w:r>
        <w:rPr/>
        <w:t>Furthermore, owing to the fact that outcome of animal studies may not be directly extrapolated to man, the present study and the proposed future study should be conducted in human subjects in order to actualize the bench to bedside principle.</w:t>
      </w:r>
    </w:p>
    <w:p>
      <w:pPr>
        <w:spacing w:after="0" w:line="482" w:lineRule="auto"/>
        <w:jc w:val="both"/>
        <w:sectPr>
          <w:pgSz w:w="12240" w:h="15840"/>
          <w:pgMar w:header="0" w:footer="1015" w:top="1360" w:bottom="1200" w:left="1720" w:right="300"/>
        </w:sectPr>
      </w:pPr>
    </w:p>
    <w:p>
      <w:pPr>
        <w:pStyle w:val="Heading1"/>
        <w:ind w:left="961"/>
      </w:pPr>
      <w:bookmarkStart w:name="_TOC_250002" w:id="79"/>
      <w:bookmarkEnd w:id="79"/>
      <w:r>
        <w:rPr>
          <w:spacing w:val="-2"/>
        </w:rPr>
        <w:t>REFERENCES</w:t>
      </w:r>
    </w:p>
    <w:p>
      <w:pPr>
        <w:pStyle w:val="BodyText"/>
        <w:spacing w:line="480" w:lineRule="auto" w:before="272"/>
        <w:ind w:left="1016" w:right="1145" w:hanging="720"/>
        <w:jc w:val="both"/>
      </w:pPr>
      <w:r>
        <w:rPr/>
        <w:t>Abdi, S., Haruo, A. and Bloomstone, J. (2004). Electroconvulsive therapy for neuropathic pain: a case report and literature review. </w:t>
      </w:r>
      <w:r>
        <w:rPr>
          <w:i/>
        </w:rPr>
        <w:t>Pain Physician</w:t>
      </w:r>
      <w:r>
        <w:rPr/>
        <w:t>, 7:261-263.</w:t>
      </w:r>
    </w:p>
    <w:p>
      <w:pPr>
        <w:pStyle w:val="BodyText"/>
        <w:spacing w:line="480" w:lineRule="auto"/>
        <w:ind w:left="1016" w:right="1137" w:hanging="720"/>
        <w:jc w:val="both"/>
      </w:pPr>
      <w:r>
        <w:rPr/>
        <w:t>Ahmed, A.M. (2002). History of diabetes mellitus. Diabetes mellitus history- from ancient to modern times. </w:t>
      </w:r>
      <w:r>
        <w:rPr>
          <w:i/>
        </w:rPr>
        <w:t>Saudi Medical Journal</w:t>
      </w:r>
      <w:r>
        <w:rPr/>
        <w:t>, 23: 373-378.</w:t>
      </w:r>
    </w:p>
    <w:p>
      <w:pPr>
        <w:pStyle w:val="BodyText"/>
        <w:spacing w:line="480" w:lineRule="auto"/>
        <w:ind w:left="1016" w:right="1137" w:hanging="720"/>
        <w:jc w:val="both"/>
      </w:pPr>
      <w:r>
        <w:rPr/>
        <w:t>Akerstedt, T. and Gillberg, T. (1981). The Circadian Variation of Experimentally</w:t>
      </w:r>
      <w:r>
        <w:rPr>
          <w:spacing w:val="40"/>
        </w:rPr>
        <w:t> </w:t>
      </w:r>
      <w:r>
        <w:rPr/>
        <w:t>Displaced Sleep. </w:t>
      </w:r>
      <w:r>
        <w:rPr>
          <w:i/>
        </w:rPr>
        <w:t>Sleep, </w:t>
      </w:r>
      <w:r>
        <w:rPr/>
        <w:t>4: 159-169.</w:t>
      </w:r>
    </w:p>
    <w:p>
      <w:pPr>
        <w:spacing w:line="480" w:lineRule="auto" w:before="1"/>
        <w:ind w:left="1016" w:right="1134" w:hanging="720"/>
        <w:jc w:val="both"/>
        <w:rPr>
          <w:sz w:val="24"/>
        </w:rPr>
      </w:pPr>
      <w:r>
        <w:rPr>
          <w:sz w:val="24"/>
        </w:rPr>
        <w:t>Akinkugbe, O.O. (1997). Non communicable diseases in Nigeria: national survey (final report)</w:t>
      </w:r>
      <w:r>
        <w:rPr>
          <w:spacing w:val="-2"/>
          <w:sz w:val="24"/>
        </w:rPr>
        <w:t> </w:t>
      </w:r>
      <w:r>
        <w:rPr>
          <w:sz w:val="24"/>
        </w:rPr>
        <w:t>on hypertension, coronary</w:t>
      </w:r>
      <w:r>
        <w:rPr>
          <w:spacing w:val="-4"/>
          <w:sz w:val="24"/>
        </w:rPr>
        <w:t> </w:t>
      </w:r>
      <w:r>
        <w:rPr>
          <w:sz w:val="24"/>
        </w:rPr>
        <w:t>heart</w:t>
      </w:r>
      <w:r>
        <w:rPr>
          <w:spacing w:val="-2"/>
          <w:sz w:val="24"/>
        </w:rPr>
        <w:t> </w:t>
      </w:r>
      <w:r>
        <w:rPr>
          <w:sz w:val="24"/>
        </w:rPr>
        <w:t>disease,</w:t>
      </w:r>
      <w:r>
        <w:rPr>
          <w:spacing w:val="-1"/>
          <w:sz w:val="24"/>
        </w:rPr>
        <w:t> </w:t>
      </w:r>
      <w:r>
        <w:rPr>
          <w:sz w:val="24"/>
        </w:rPr>
        <w:t>diabetes</w:t>
      </w:r>
      <w:r>
        <w:rPr>
          <w:spacing w:val="-2"/>
          <w:sz w:val="24"/>
        </w:rPr>
        <w:t> </w:t>
      </w:r>
      <w:r>
        <w:rPr>
          <w:sz w:val="24"/>
        </w:rPr>
        <w:t>mellitus,</w:t>
      </w:r>
      <w:r>
        <w:rPr>
          <w:spacing w:val="-1"/>
          <w:sz w:val="24"/>
        </w:rPr>
        <w:t> </w:t>
      </w:r>
      <w:r>
        <w:rPr>
          <w:sz w:val="24"/>
        </w:rPr>
        <w:t>G6PD</w:t>
      </w:r>
      <w:r>
        <w:rPr>
          <w:spacing w:val="-1"/>
          <w:sz w:val="24"/>
        </w:rPr>
        <w:t> </w:t>
      </w:r>
      <w:r>
        <w:rPr>
          <w:sz w:val="24"/>
        </w:rPr>
        <w:t>deficiency and anaemia. (Ed) </w:t>
      </w:r>
      <w:r>
        <w:rPr>
          <w:i/>
          <w:sz w:val="24"/>
        </w:rPr>
        <w:t>National Expert Committee on Non-Communicable Diseases, Federal Ministry of Health and Social Services, Lagos</w:t>
      </w:r>
      <w:r>
        <w:rPr>
          <w:sz w:val="24"/>
        </w:rPr>
        <w:t>, 1-12.</w:t>
      </w:r>
    </w:p>
    <w:p>
      <w:pPr>
        <w:pStyle w:val="BodyText"/>
        <w:spacing w:line="480" w:lineRule="auto"/>
        <w:ind w:left="1016" w:right="1140" w:hanging="720"/>
        <w:jc w:val="both"/>
      </w:pPr>
      <w:r>
        <w:rPr/>
        <w:t>Al-Homsi, M.F, and Lukic, M.L. (1992). An Update on the pathogenesis of Diabetes Mellitus, Department of Pathology and Medical Microbiology (Immunology Unit) Faculty of Medicine and Health Sciences, UAE University, Al Ain, United Arab Emirates, 15(1): 97-102.</w:t>
      </w:r>
    </w:p>
    <w:p>
      <w:pPr>
        <w:pStyle w:val="BodyText"/>
        <w:spacing w:before="1"/>
        <w:ind w:left="296"/>
        <w:jc w:val="both"/>
      </w:pPr>
      <w:r>
        <w:rPr/>
        <w:t>American</w:t>
      </w:r>
      <w:r>
        <w:rPr>
          <w:spacing w:val="19"/>
        </w:rPr>
        <w:t> </w:t>
      </w:r>
      <w:r>
        <w:rPr/>
        <w:t>Diabetes</w:t>
      </w:r>
      <w:r>
        <w:rPr>
          <w:spacing w:val="21"/>
        </w:rPr>
        <w:t> </w:t>
      </w:r>
      <w:r>
        <w:rPr/>
        <w:t>Association</w:t>
      </w:r>
      <w:r>
        <w:rPr>
          <w:spacing w:val="22"/>
        </w:rPr>
        <w:t> </w:t>
      </w:r>
      <w:r>
        <w:rPr/>
        <w:t>(2006).</w:t>
      </w:r>
      <w:r>
        <w:rPr>
          <w:spacing w:val="21"/>
        </w:rPr>
        <w:t> </w:t>
      </w:r>
      <w:r>
        <w:rPr/>
        <w:t>Diagnosis</w:t>
      </w:r>
      <w:r>
        <w:rPr>
          <w:spacing w:val="23"/>
        </w:rPr>
        <w:t> </w:t>
      </w:r>
      <w:r>
        <w:rPr/>
        <w:t>and</w:t>
      </w:r>
      <w:r>
        <w:rPr>
          <w:spacing w:val="21"/>
        </w:rPr>
        <w:t> </w:t>
      </w:r>
      <w:r>
        <w:rPr/>
        <w:t>classification</w:t>
      </w:r>
      <w:r>
        <w:rPr>
          <w:spacing w:val="21"/>
        </w:rPr>
        <w:t> </w:t>
      </w:r>
      <w:r>
        <w:rPr/>
        <w:t>of</w:t>
      </w:r>
      <w:r>
        <w:rPr>
          <w:spacing w:val="21"/>
        </w:rPr>
        <w:t> </w:t>
      </w:r>
      <w:r>
        <w:rPr/>
        <w:t>diabetes</w:t>
      </w:r>
      <w:r>
        <w:rPr>
          <w:spacing w:val="22"/>
        </w:rPr>
        <w:t> </w:t>
      </w:r>
      <w:r>
        <w:rPr>
          <w:spacing w:val="-2"/>
        </w:rPr>
        <w:t>Mellitus.</w:t>
      </w:r>
    </w:p>
    <w:p>
      <w:pPr>
        <w:pStyle w:val="BodyText"/>
      </w:pPr>
    </w:p>
    <w:p>
      <w:pPr>
        <w:pStyle w:val="BodyText"/>
        <w:ind w:left="1016"/>
      </w:pPr>
      <w:r>
        <w:rPr/>
        <w:t>Diabetes</w:t>
      </w:r>
      <w:r>
        <w:rPr>
          <w:spacing w:val="-1"/>
        </w:rPr>
        <w:t> </w:t>
      </w:r>
      <w:r>
        <w:rPr/>
        <w:t>Care,</w:t>
      </w:r>
      <w:r>
        <w:rPr>
          <w:spacing w:val="-1"/>
        </w:rPr>
        <w:t> </w:t>
      </w:r>
      <w:r>
        <w:rPr/>
        <w:t>29</w:t>
      </w:r>
      <w:r>
        <w:rPr>
          <w:spacing w:val="-1"/>
        </w:rPr>
        <w:t> </w:t>
      </w:r>
      <w:r>
        <w:rPr/>
        <w:t>(1): 43-</w:t>
      </w:r>
      <w:r>
        <w:rPr>
          <w:spacing w:val="-5"/>
        </w:rPr>
        <w:t>48.</w:t>
      </w:r>
    </w:p>
    <w:p>
      <w:pPr>
        <w:pStyle w:val="BodyText"/>
      </w:pPr>
    </w:p>
    <w:p>
      <w:pPr>
        <w:pStyle w:val="BodyText"/>
        <w:ind w:left="296"/>
        <w:jc w:val="both"/>
      </w:pPr>
      <w:r>
        <w:rPr/>
        <w:t>American</w:t>
      </w:r>
      <w:r>
        <w:rPr>
          <w:spacing w:val="9"/>
        </w:rPr>
        <w:t> </w:t>
      </w:r>
      <w:r>
        <w:rPr/>
        <w:t>Diabetes</w:t>
      </w:r>
      <w:r>
        <w:rPr>
          <w:spacing w:val="9"/>
        </w:rPr>
        <w:t> </w:t>
      </w:r>
      <w:r>
        <w:rPr/>
        <w:t>Association</w:t>
      </w:r>
      <w:r>
        <w:rPr>
          <w:spacing w:val="10"/>
        </w:rPr>
        <w:t> </w:t>
      </w:r>
      <w:r>
        <w:rPr/>
        <w:t>(2010).</w:t>
      </w:r>
      <w:r>
        <w:rPr>
          <w:spacing w:val="9"/>
        </w:rPr>
        <w:t> </w:t>
      </w:r>
      <w:r>
        <w:rPr/>
        <w:t>Diagnosis</w:t>
      </w:r>
      <w:r>
        <w:rPr>
          <w:spacing w:val="11"/>
        </w:rPr>
        <w:t> </w:t>
      </w:r>
      <w:r>
        <w:rPr/>
        <w:t>and</w:t>
      </w:r>
      <w:r>
        <w:rPr>
          <w:spacing w:val="9"/>
        </w:rPr>
        <w:t> </w:t>
      </w:r>
      <w:r>
        <w:rPr/>
        <w:t>Classification</w:t>
      </w:r>
      <w:r>
        <w:rPr>
          <w:spacing w:val="9"/>
        </w:rPr>
        <w:t> </w:t>
      </w:r>
      <w:r>
        <w:rPr/>
        <w:t>of</w:t>
      </w:r>
      <w:r>
        <w:rPr>
          <w:spacing w:val="9"/>
        </w:rPr>
        <w:t> </w:t>
      </w:r>
      <w:r>
        <w:rPr/>
        <w:t>Diabetes</w:t>
      </w:r>
      <w:r>
        <w:rPr>
          <w:spacing w:val="10"/>
        </w:rPr>
        <w:t> </w:t>
      </w:r>
      <w:r>
        <w:rPr>
          <w:spacing w:val="-2"/>
        </w:rPr>
        <w:t>Mellitus.</w:t>
      </w:r>
    </w:p>
    <w:p>
      <w:pPr>
        <w:pStyle w:val="BodyText"/>
      </w:pPr>
    </w:p>
    <w:p>
      <w:pPr>
        <w:spacing w:before="0"/>
        <w:ind w:left="1016" w:right="0" w:firstLine="0"/>
        <w:jc w:val="left"/>
        <w:rPr>
          <w:sz w:val="24"/>
        </w:rPr>
      </w:pPr>
      <w:r>
        <w:rPr>
          <w:i/>
          <w:sz w:val="24"/>
        </w:rPr>
        <w:t>Diabetes</w:t>
      </w:r>
      <w:r>
        <w:rPr>
          <w:i/>
          <w:spacing w:val="-1"/>
          <w:sz w:val="24"/>
        </w:rPr>
        <w:t> </w:t>
      </w:r>
      <w:r>
        <w:rPr>
          <w:i/>
          <w:sz w:val="24"/>
        </w:rPr>
        <w:t>Care</w:t>
      </w:r>
      <w:r>
        <w:rPr>
          <w:i/>
          <w:spacing w:val="-2"/>
          <w:sz w:val="24"/>
        </w:rPr>
        <w:t> </w:t>
      </w:r>
      <w:r>
        <w:rPr>
          <w:sz w:val="24"/>
        </w:rPr>
        <w:t>33(1): 62-</w:t>
      </w:r>
      <w:r>
        <w:rPr>
          <w:spacing w:val="-5"/>
          <w:sz w:val="24"/>
        </w:rPr>
        <w:t>69.</w:t>
      </w:r>
    </w:p>
    <w:p>
      <w:pPr>
        <w:pStyle w:val="BodyText"/>
        <w:spacing w:before="120"/>
      </w:pPr>
    </w:p>
    <w:p>
      <w:pPr>
        <w:pStyle w:val="BodyText"/>
        <w:spacing w:line="480" w:lineRule="auto" w:before="1"/>
        <w:ind w:left="1016" w:right="1135" w:hanging="720"/>
        <w:jc w:val="both"/>
      </w:pPr>
      <w:r>
        <w:rPr/>
        <w:t>Anjaneyulu,</w:t>
      </w:r>
      <w:r>
        <w:rPr>
          <w:spacing w:val="-4"/>
        </w:rPr>
        <w:t> </w:t>
      </w:r>
      <w:r>
        <w:rPr/>
        <w:t>M.</w:t>
      </w:r>
      <w:r>
        <w:rPr>
          <w:spacing w:val="-4"/>
        </w:rPr>
        <w:t> </w:t>
      </w:r>
      <w:r>
        <w:rPr/>
        <w:t>and</w:t>
      </w:r>
      <w:r>
        <w:rPr>
          <w:spacing w:val="-2"/>
        </w:rPr>
        <w:t> </w:t>
      </w:r>
      <w:r>
        <w:rPr/>
        <w:t>Chopra,</w:t>
      </w:r>
      <w:r>
        <w:rPr>
          <w:spacing w:val="-4"/>
        </w:rPr>
        <w:t> </w:t>
      </w:r>
      <w:r>
        <w:rPr/>
        <w:t>K.</w:t>
      </w:r>
      <w:r>
        <w:rPr>
          <w:spacing w:val="-3"/>
        </w:rPr>
        <w:t> </w:t>
      </w:r>
      <w:r>
        <w:rPr/>
        <w:t>(2004).</w:t>
      </w:r>
      <w:r>
        <w:rPr>
          <w:spacing w:val="-3"/>
        </w:rPr>
        <w:t> </w:t>
      </w:r>
      <w:r>
        <w:rPr/>
        <w:t>Fluoxetine</w:t>
      </w:r>
      <w:r>
        <w:rPr>
          <w:spacing w:val="-5"/>
        </w:rPr>
        <w:t> </w:t>
      </w:r>
      <w:r>
        <w:rPr/>
        <w:t>attenuates</w:t>
      </w:r>
      <w:r>
        <w:rPr>
          <w:spacing w:val="-4"/>
        </w:rPr>
        <w:t> </w:t>
      </w:r>
      <w:r>
        <w:rPr/>
        <w:t>thermal</w:t>
      </w:r>
      <w:r>
        <w:rPr>
          <w:spacing w:val="-4"/>
        </w:rPr>
        <w:t> </w:t>
      </w:r>
      <w:r>
        <w:rPr/>
        <w:t>hyperalgesia</w:t>
      </w:r>
      <w:r>
        <w:rPr>
          <w:spacing w:val="-5"/>
        </w:rPr>
        <w:t> </w:t>
      </w:r>
      <w:r>
        <w:rPr/>
        <w:t>through 5-HT1/2 receptors in streptozotocin-induced diabetic mice. </w:t>
      </w:r>
      <w:r>
        <w:rPr>
          <w:i/>
        </w:rPr>
        <w:t>European Journal of Pharmacology</w:t>
      </w:r>
      <w:r>
        <w:rPr/>
        <w:t>, 497: 285-292.</w:t>
      </w:r>
    </w:p>
    <w:p>
      <w:pPr>
        <w:spacing w:after="0" w:line="480" w:lineRule="auto"/>
        <w:jc w:val="both"/>
        <w:sectPr>
          <w:pgSz w:w="12240" w:h="15840"/>
          <w:pgMar w:header="0" w:footer="1015" w:top="1360" w:bottom="1200" w:left="1720" w:right="300"/>
        </w:sectPr>
      </w:pPr>
    </w:p>
    <w:p>
      <w:pPr>
        <w:spacing w:line="480" w:lineRule="auto" w:before="72"/>
        <w:ind w:left="1016" w:right="1144" w:hanging="720"/>
        <w:jc w:val="both"/>
        <w:rPr>
          <w:sz w:val="24"/>
        </w:rPr>
      </w:pPr>
      <w:r>
        <w:rPr>
          <w:sz w:val="24"/>
        </w:rPr>
        <w:t>Aram, V.C. (1996). Calcium Channel Blockers: Lessons Learned From MIDAS and Other Clinical Trials. </w:t>
      </w:r>
      <w:r>
        <w:rPr>
          <w:i/>
          <w:sz w:val="24"/>
        </w:rPr>
        <w:t>The Journal of American Medical Association</w:t>
      </w:r>
      <w:r>
        <w:rPr>
          <w:sz w:val="24"/>
        </w:rPr>
        <w:t>, 276(10):829-830.</w:t>
      </w:r>
    </w:p>
    <w:p>
      <w:pPr>
        <w:spacing w:before="0"/>
        <w:ind w:left="296" w:right="0" w:firstLine="0"/>
        <w:jc w:val="left"/>
        <w:rPr>
          <w:sz w:val="24"/>
        </w:rPr>
      </w:pPr>
      <w:r>
        <w:rPr>
          <w:sz w:val="24"/>
        </w:rPr>
        <w:t>Arthur,</w:t>
      </w:r>
      <w:r>
        <w:rPr>
          <w:spacing w:val="4"/>
          <w:sz w:val="24"/>
        </w:rPr>
        <w:t> </w:t>
      </w:r>
      <w:r>
        <w:rPr>
          <w:sz w:val="24"/>
        </w:rPr>
        <w:t>S.J.</w:t>
      </w:r>
      <w:r>
        <w:rPr>
          <w:spacing w:val="6"/>
          <w:sz w:val="24"/>
        </w:rPr>
        <w:t> </w:t>
      </w:r>
      <w:r>
        <w:rPr>
          <w:sz w:val="24"/>
        </w:rPr>
        <w:t>and</w:t>
      </w:r>
      <w:r>
        <w:rPr>
          <w:spacing w:val="6"/>
          <w:sz w:val="24"/>
        </w:rPr>
        <w:t> </w:t>
      </w:r>
      <w:r>
        <w:rPr>
          <w:sz w:val="24"/>
        </w:rPr>
        <w:t>John,</w:t>
      </w:r>
      <w:r>
        <w:rPr>
          <w:spacing w:val="7"/>
          <w:sz w:val="24"/>
        </w:rPr>
        <w:t> </w:t>
      </w:r>
      <w:r>
        <w:rPr>
          <w:sz w:val="24"/>
        </w:rPr>
        <w:t>B.</w:t>
      </w:r>
      <w:r>
        <w:rPr>
          <w:spacing w:val="9"/>
          <w:sz w:val="24"/>
        </w:rPr>
        <w:t> </w:t>
      </w:r>
      <w:r>
        <w:rPr>
          <w:sz w:val="24"/>
        </w:rPr>
        <w:t>(1978).</w:t>
      </w:r>
      <w:r>
        <w:rPr>
          <w:spacing w:val="8"/>
          <w:sz w:val="24"/>
        </w:rPr>
        <w:t> </w:t>
      </w:r>
      <w:r>
        <w:rPr>
          <w:i/>
          <w:sz w:val="24"/>
        </w:rPr>
        <w:t>A</w:t>
      </w:r>
      <w:r>
        <w:rPr>
          <w:i/>
          <w:spacing w:val="7"/>
          <w:sz w:val="24"/>
        </w:rPr>
        <w:t> </w:t>
      </w:r>
      <w:r>
        <w:rPr>
          <w:i/>
          <w:sz w:val="24"/>
        </w:rPr>
        <w:t>colour</w:t>
      </w:r>
      <w:r>
        <w:rPr>
          <w:i/>
          <w:spacing w:val="7"/>
          <w:sz w:val="24"/>
        </w:rPr>
        <w:t> </w:t>
      </w:r>
      <w:r>
        <w:rPr>
          <w:i/>
          <w:sz w:val="24"/>
        </w:rPr>
        <w:t>Atlas</w:t>
      </w:r>
      <w:r>
        <w:rPr>
          <w:i/>
          <w:spacing w:val="7"/>
          <w:sz w:val="24"/>
        </w:rPr>
        <w:t> </w:t>
      </w:r>
      <w:r>
        <w:rPr>
          <w:i/>
          <w:sz w:val="24"/>
        </w:rPr>
        <w:t>of</w:t>
      </w:r>
      <w:r>
        <w:rPr>
          <w:i/>
          <w:spacing w:val="7"/>
          <w:sz w:val="24"/>
        </w:rPr>
        <w:t> </w:t>
      </w:r>
      <w:r>
        <w:rPr>
          <w:i/>
          <w:sz w:val="24"/>
        </w:rPr>
        <w:t>Histopathological</w:t>
      </w:r>
      <w:r>
        <w:rPr>
          <w:i/>
          <w:spacing w:val="6"/>
          <w:sz w:val="24"/>
        </w:rPr>
        <w:t> </w:t>
      </w:r>
      <w:r>
        <w:rPr>
          <w:i/>
          <w:sz w:val="24"/>
        </w:rPr>
        <w:t>Staining</w:t>
      </w:r>
      <w:r>
        <w:rPr>
          <w:i/>
          <w:spacing w:val="7"/>
          <w:sz w:val="24"/>
        </w:rPr>
        <w:t> </w:t>
      </w:r>
      <w:r>
        <w:rPr>
          <w:i/>
          <w:spacing w:val="-2"/>
          <w:sz w:val="24"/>
        </w:rPr>
        <w:t>Techniques</w:t>
      </w:r>
      <w:r>
        <w:rPr>
          <w:spacing w:val="-2"/>
          <w:sz w:val="24"/>
        </w:rPr>
        <w:t>.</w:t>
      </w:r>
    </w:p>
    <w:p>
      <w:pPr>
        <w:pStyle w:val="BodyText"/>
      </w:pPr>
    </w:p>
    <w:p>
      <w:pPr>
        <w:pStyle w:val="BodyText"/>
        <w:ind w:left="1016"/>
      </w:pPr>
      <w:r>
        <w:rPr/>
        <w:t>Wolf</w:t>
      </w:r>
      <w:r>
        <w:rPr>
          <w:spacing w:val="-4"/>
        </w:rPr>
        <w:t> </w:t>
      </w:r>
      <w:r>
        <w:rPr/>
        <w:t>Medical</w:t>
      </w:r>
      <w:r>
        <w:rPr>
          <w:spacing w:val="-1"/>
        </w:rPr>
        <w:t> </w:t>
      </w:r>
      <w:r>
        <w:rPr/>
        <w:t>Publisher</w:t>
      </w:r>
      <w:r>
        <w:rPr>
          <w:spacing w:val="-4"/>
        </w:rPr>
        <w:t> </w:t>
      </w:r>
      <w:r>
        <w:rPr/>
        <w:t>Limited, London,</w:t>
      </w:r>
      <w:r>
        <w:rPr>
          <w:spacing w:val="-1"/>
        </w:rPr>
        <w:t> </w:t>
      </w:r>
      <w:r>
        <w:rPr/>
        <w:t>14-</w:t>
      </w:r>
      <w:r>
        <w:rPr>
          <w:spacing w:val="-5"/>
        </w:rPr>
        <w:t>20.</w:t>
      </w:r>
    </w:p>
    <w:p>
      <w:pPr>
        <w:pStyle w:val="BodyText"/>
      </w:pPr>
    </w:p>
    <w:p>
      <w:pPr>
        <w:pStyle w:val="BodyText"/>
        <w:spacing w:line="480" w:lineRule="auto"/>
        <w:ind w:left="1016" w:right="1135" w:hanging="720"/>
        <w:jc w:val="both"/>
      </w:pPr>
      <w:r>
        <w:rPr/>
        <w:t>Ashcroft F.M., Gribble, F.M. (1998). Correlating structure and function in ATP-sensitive K</w:t>
      </w:r>
      <w:r>
        <w:rPr>
          <w:vertAlign w:val="superscript"/>
        </w:rPr>
        <w:t>+</w:t>
      </w:r>
      <w:r>
        <w:rPr>
          <w:vertAlign w:val="baseline"/>
        </w:rPr>
        <w:t> channels. </w:t>
      </w:r>
      <w:r>
        <w:rPr>
          <w:i/>
          <w:vertAlign w:val="baseline"/>
        </w:rPr>
        <w:t>Trends in Neuroscience</w:t>
      </w:r>
      <w:r>
        <w:rPr>
          <w:vertAlign w:val="baseline"/>
        </w:rPr>
        <w:t>, 21:288–294.</w:t>
      </w:r>
    </w:p>
    <w:p>
      <w:pPr>
        <w:pStyle w:val="BodyText"/>
        <w:spacing w:line="480" w:lineRule="auto"/>
        <w:ind w:left="1016" w:right="1137" w:hanging="720"/>
        <w:jc w:val="both"/>
      </w:pPr>
      <w:r>
        <w:rPr/>
        <w:t>Ashcroft, F.M., Proks, P., Smith, P.A., Ammala, C., Bokvist, K. and Rorsman, P. (1994). Stimulus-secretion coupling in pancreatic β cells. </w:t>
      </w:r>
      <w:r>
        <w:rPr>
          <w:i/>
        </w:rPr>
        <w:t>Journal of Celluar Biochemistry</w:t>
      </w:r>
      <w:r>
        <w:rPr/>
        <w:t>, 555: 54-65.</w:t>
      </w:r>
    </w:p>
    <w:p>
      <w:pPr>
        <w:spacing w:line="480" w:lineRule="auto" w:before="1"/>
        <w:ind w:left="1016" w:right="1135" w:hanging="720"/>
        <w:jc w:val="both"/>
        <w:rPr>
          <w:sz w:val="24"/>
        </w:rPr>
      </w:pPr>
      <w:r>
        <w:rPr>
          <w:sz w:val="24"/>
        </w:rPr>
        <w:t>Babenko, A.P., Aguilar-Bryan L. and Bryan J. (1998). A view of SUR/KIR6.x K</w:t>
      </w:r>
      <w:r>
        <w:rPr>
          <w:sz w:val="24"/>
          <w:vertAlign w:val="subscript"/>
        </w:rPr>
        <w:t>ATP</w:t>
      </w:r>
      <w:r>
        <w:rPr>
          <w:sz w:val="24"/>
          <w:vertAlign w:val="baseline"/>
        </w:rPr>
        <w:t> channels. </w:t>
      </w:r>
      <w:r>
        <w:rPr>
          <w:i/>
          <w:sz w:val="24"/>
          <w:vertAlign w:val="baseline"/>
        </w:rPr>
        <w:t>Annual Review of Physiology</w:t>
      </w:r>
      <w:r>
        <w:rPr>
          <w:sz w:val="24"/>
          <w:vertAlign w:val="baseline"/>
        </w:rPr>
        <w:t>, 60: 667–687.</w:t>
      </w:r>
    </w:p>
    <w:p>
      <w:pPr>
        <w:spacing w:line="480" w:lineRule="auto" w:before="0"/>
        <w:ind w:left="1016" w:right="1137" w:hanging="720"/>
        <w:jc w:val="both"/>
        <w:rPr>
          <w:sz w:val="24"/>
        </w:rPr>
      </w:pPr>
      <w:r>
        <w:rPr>
          <w:sz w:val="24"/>
        </w:rPr>
        <w:t>Bailey, D.G., Malcolm, J., Arnold, O. and Spence, J.D. (1998). Grape fruit juice-drug interaction.</w:t>
      </w:r>
      <w:r>
        <w:rPr>
          <w:spacing w:val="40"/>
          <w:sz w:val="24"/>
        </w:rPr>
        <w:t> </w:t>
      </w:r>
      <w:r>
        <w:rPr>
          <w:i/>
          <w:sz w:val="24"/>
        </w:rPr>
        <w:t>British Journal of Clinical Pharmacology, </w:t>
      </w:r>
      <w:r>
        <w:rPr>
          <w:sz w:val="24"/>
        </w:rPr>
        <w:t>46 (2): 101–10.</w:t>
      </w:r>
    </w:p>
    <w:p>
      <w:pPr>
        <w:spacing w:line="480" w:lineRule="auto" w:before="1"/>
        <w:ind w:left="1016" w:right="1140" w:hanging="720"/>
        <w:jc w:val="both"/>
        <w:rPr>
          <w:sz w:val="24"/>
        </w:rPr>
      </w:pPr>
      <w:r>
        <w:rPr>
          <w:sz w:val="24"/>
        </w:rPr>
        <w:t>Baynes, H.W. (2015). Classification, Pathophysiology, Diagnosis and Management of Diabetes Mellitus. </w:t>
      </w:r>
      <w:r>
        <w:rPr>
          <w:i/>
          <w:sz w:val="24"/>
        </w:rPr>
        <w:t>Journal of diabetes and metabolism</w:t>
      </w:r>
      <w:r>
        <w:rPr>
          <w:sz w:val="24"/>
        </w:rPr>
        <w:t>, 6: 541.</w:t>
      </w:r>
    </w:p>
    <w:p>
      <w:pPr>
        <w:pStyle w:val="BodyText"/>
        <w:spacing w:line="480" w:lineRule="auto"/>
        <w:ind w:left="1016" w:right="1140" w:hanging="720"/>
        <w:jc w:val="both"/>
      </w:pPr>
      <w:r>
        <w:rPr/>
        <w:t>Bearse, M.A., Junior, H,Y., Schneck, M.E., Barez, S, and Jacobsen C, (2004). Local multifocal oscillatory potential abnormalities in diabetes and early diabetic retinopathy. </w:t>
      </w:r>
      <w:r>
        <w:rPr>
          <w:i/>
        </w:rPr>
        <w:t>Investigative Ophthalmology Visual Science</w:t>
      </w:r>
      <w:r>
        <w:rPr/>
        <w:t>, 45: 3259-3265.</w:t>
      </w:r>
    </w:p>
    <w:p>
      <w:pPr>
        <w:pStyle w:val="BodyText"/>
        <w:spacing w:line="480" w:lineRule="auto"/>
        <w:ind w:left="1016" w:right="1136" w:hanging="720"/>
        <w:jc w:val="both"/>
      </w:pPr>
      <w:r>
        <w:rPr/>
        <w:t>Bertram, G.K. and William, W.P.</w:t>
      </w:r>
      <w:r>
        <w:rPr>
          <w:spacing w:val="40"/>
        </w:rPr>
        <w:t> </w:t>
      </w:r>
      <w:r>
        <w:rPr/>
        <w:t>(2009). Vasodilators and the treatment of Angina Pectoris. In: Bertram G. Katzung, Susan B. Masters, Anthony J. Trevor, </w:t>
      </w:r>
      <w:r>
        <w:rPr>
          <w:i/>
        </w:rPr>
        <w:t>Basic and clinical pharmacology</w:t>
      </w:r>
      <w:r>
        <w:rPr/>
        <w:t>, 11th edition, Mc Graw hill, New Delhi, India. 199-202.</w:t>
      </w:r>
    </w:p>
    <w:p>
      <w:pPr>
        <w:pStyle w:val="BodyText"/>
        <w:spacing w:line="482" w:lineRule="auto" w:before="1"/>
        <w:ind w:left="1016" w:right="1135" w:hanging="720"/>
        <w:jc w:val="both"/>
        <w:rPr>
          <w:sz w:val="16"/>
        </w:rPr>
      </w:pPr>
      <w:r>
        <w:rPr/>
        <w:t>Bhatti, R., Shruti, R. Ishar, M.P.S.and Jatinder, S. (2012). Effect of </w:t>
      </w:r>
      <w:r>
        <w:rPr>
          <w:i/>
        </w:rPr>
        <w:t>Aegle marmelos </w:t>
      </w:r>
      <w:r>
        <w:rPr/>
        <w:t>Leaf Extract</w:t>
      </w:r>
      <w:r>
        <w:rPr>
          <w:spacing w:val="11"/>
        </w:rPr>
        <w:t> </w:t>
      </w:r>
      <w:r>
        <w:rPr/>
        <w:t>Treatment</w:t>
      </w:r>
      <w:r>
        <w:rPr>
          <w:spacing w:val="13"/>
        </w:rPr>
        <w:t> </w:t>
      </w:r>
      <w:r>
        <w:rPr/>
        <w:t>on</w:t>
      </w:r>
      <w:r>
        <w:rPr>
          <w:spacing w:val="16"/>
        </w:rPr>
        <w:t> </w:t>
      </w:r>
      <w:r>
        <w:rPr/>
        <w:t>Diabetic</w:t>
      </w:r>
      <w:r>
        <w:rPr>
          <w:spacing w:val="12"/>
        </w:rPr>
        <w:t> </w:t>
      </w:r>
      <w:r>
        <w:rPr/>
        <w:t>Neuropathy</w:t>
      </w:r>
      <w:r>
        <w:rPr>
          <w:spacing w:val="8"/>
        </w:rPr>
        <w:t> </w:t>
      </w:r>
      <w:r>
        <w:rPr/>
        <w:t>in</w:t>
      </w:r>
      <w:r>
        <w:rPr>
          <w:spacing w:val="16"/>
        </w:rPr>
        <w:t> </w:t>
      </w:r>
      <w:r>
        <w:rPr/>
        <w:t>Rats:</w:t>
      </w:r>
      <w:r>
        <w:rPr>
          <w:spacing w:val="14"/>
        </w:rPr>
        <w:t> </w:t>
      </w:r>
      <w:r>
        <w:rPr/>
        <w:t>A</w:t>
      </w:r>
      <w:r>
        <w:rPr>
          <w:spacing w:val="12"/>
        </w:rPr>
        <w:t> </w:t>
      </w:r>
      <w:r>
        <w:rPr/>
        <w:t>Possible</w:t>
      </w:r>
      <w:r>
        <w:rPr>
          <w:spacing w:val="22"/>
        </w:rPr>
        <w:t> </w:t>
      </w:r>
      <w:r>
        <w:rPr/>
        <w:t>Involvement</w:t>
      </w:r>
      <w:r>
        <w:rPr>
          <w:spacing w:val="13"/>
        </w:rPr>
        <w:t> </w:t>
      </w:r>
      <w:r>
        <w:rPr/>
        <w:t>Of</w:t>
      </w:r>
      <w:r>
        <w:rPr>
          <w:spacing w:val="12"/>
        </w:rPr>
        <w:t> </w:t>
      </w:r>
      <w:r>
        <w:rPr>
          <w:spacing w:val="-5"/>
        </w:rPr>
        <w:t>Α</w:t>
      </w:r>
      <w:r>
        <w:rPr>
          <w:spacing w:val="-5"/>
          <w:position w:val="-10"/>
          <w:sz w:val="16"/>
        </w:rPr>
        <w:t>2</w:t>
      </w:r>
    </w:p>
    <w:p>
      <w:pPr>
        <w:spacing w:after="0" w:line="482" w:lineRule="auto"/>
        <w:jc w:val="both"/>
        <w:rPr>
          <w:sz w:val="16"/>
        </w:rPr>
        <w:sectPr>
          <w:pgSz w:w="12240" w:h="15840"/>
          <w:pgMar w:header="0" w:footer="1015" w:top="1360" w:bottom="1200" w:left="1720" w:right="300"/>
        </w:sectPr>
      </w:pPr>
    </w:p>
    <w:p>
      <w:pPr>
        <w:spacing w:line="480" w:lineRule="auto" w:before="72"/>
        <w:ind w:left="1016" w:right="1138" w:firstLine="0"/>
        <w:jc w:val="both"/>
        <w:rPr>
          <w:sz w:val="24"/>
        </w:rPr>
      </w:pPr>
      <w:r>
        <w:rPr>
          <w:sz w:val="24"/>
        </w:rPr>
        <w:t>Adrenoceptors. </w:t>
      </w:r>
      <w:r>
        <w:rPr>
          <w:i/>
          <w:sz w:val="24"/>
        </w:rPr>
        <w:t>International Journal of Pharmacy and Pharmaceutical Sciences</w:t>
      </w:r>
      <w:r>
        <w:rPr>
          <w:sz w:val="24"/>
        </w:rPr>
        <w:t>, </w:t>
      </w:r>
      <w:r>
        <w:rPr>
          <w:spacing w:val="-2"/>
          <w:sz w:val="24"/>
        </w:rPr>
        <w:t>4(3):632-637.</w:t>
      </w:r>
    </w:p>
    <w:p>
      <w:pPr>
        <w:pStyle w:val="BodyText"/>
        <w:spacing w:line="480" w:lineRule="auto"/>
        <w:ind w:left="1016" w:right="1136" w:hanging="720"/>
        <w:jc w:val="both"/>
        <w:rPr>
          <w:i/>
        </w:rPr>
      </w:pPr>
      <w:r>
        <w:rPr/>
        <w:t>Bhaskar, S., Mohammed, S.S., Gurudayal, R., Ranjeet, K.Y., Arti, K., Gaurav, S. and Nakuleshwar, D.J. (2014). Rejuvenating of Kidney Tissues on Alloxan Induced Diabetic Mice under the Effect of </w:t>
      </w:r>
      <w:r>
        <w:rPr>
          <w:i/>
        </w:rPr>
        <w:t>Momordica charantia. Advances in Pharmaceutics, </w:t>
      </w:r>
      <w:r>
        <w:rPr/>
        <w:t>2:1-9</w:t>
      </w:r>
      <w:r>
        <w:rPr>
          <w:i/>
        </w:rPr>
        <w:t>.</w:t>
      </w:r>
    </w:p>
    <w:p>
      <w:pPr>
        <w:spacing w:line="480" w:lineRule="auto" w:before="0"/>
        <w:ind w:left="1016" w:right="1134" w:hanging="720"/>
        <w:jc w:val="both"/>
        <w:rPr>
          <w:sz w:val="24"/>
        </w:rPr>
      </w:pPr>
      <w:r>
        <w:rPr>
          <w:sz w:val="24"/>
        </w:rPr>
        <w:t>Bibi, Z. (2008). Retracted: Role of cytochrome P450 in drug interactions. </w:t>
      </w:r>
      <w:r>
        <w:rPr>
          <w:i/>
          <w:sz w:val="24"/>
        </w:rPr>
        <w:t>Nutrition and metabolism</w:t>
      </w:r>
      <w:r>
        <w:rPr>
          <w:sz w:val="24"/>
        </w:rPr>
        <w:t>, 5:27-37.</w:t>
      </w:r>
    </w:p>
    <w:p>
      <w:pPr>
        <w:pStyle w:val="BodyText"/>
        <w:spacing w:line="480" w:lineRule="auto" w:before="1"/>
        <w:ind w:left="1016" w:right="1137" w:hanging="720"/>
        <w:jc w:val="both"/>
      </w:pPr>
      <w:r>
        <w:rPr/>
        <w:t>Bizot, E.J.G. (1998). Diurnal rhythms in plasma glucose, insulin, growth hormone and melatonin</w:t>
      </w:r>
      <w:r>
        <w:rPr>
          <w:spacing w:val="-3"/>
        </w:rPr>
        <w:t> </w:t>
      </w:r>
      <w:r>
        <w:rPr/>
        <w:t>levels</w:t>
      </w:r>
      <w:r>
        <w:rPr>
          <w:spacing w:val="-3"/>
        </w:rPr>
        <w:t> </w:t>
      </w:r>
      <w:r>
        <w:rPr/>
        <w:t>in</w:t>
      </w:r>
      <w:r>
        <w:rPr>
          <w:spacing w:val="-3"/>
        </w:rPr>
        <w:t> </w:t>
      </w:r>
      <w:r>
        <w:rPr/>
        <w:t>fasted</w:t>
      </w:r>
      <w:r>
        <w:rPr>
          <w:spacing w:val="-4"/>
        </w:rPr>
        <w:t> </w:t>
      </w:r>
      <w:r>
        <w:rPr/>
        <w:t>and</w:t>
      </w:r>
      <w:r>
        <w:rPr>
          <w:spacing w:val="-3"/>
        </w:rPr>
        <w:t> </w:t>
      </w:r>
      <w:r>
        <w:rPr/>
        <w:t>hyperglycemic</w:t>
      </w:r>
      <w:r>
        <w:rPr>
          <w:spacing w:val="-2"/>
        </w:rPr>
        <w:t> </w:t>
      </w:r>
      <w:r>
        <w:rPr/>
        <w:t>rats. </w:t>
      </w:r>
      <w:r>
        <w:rPr>
          <w:i/>
        </w:rPr>
        <w:t>Diabetes</w:t>
      </w:r>
      <w:r>
        <w:rPr>
          <w:i/>
          <w:spacing w:val="-4"/>
        </w:rPr>
        <w:t> </w:t>
      </w:r>
      <w:r>
        <w:rPr>
          <w:i/>
        </w:rPr>
        <w:t>metabolism</w:t>
      </w:r>
      <w:r>
        <w:rPr/>
        <w:t>,</w:t>
      </w:r>
      <w:r>
        <w:rPr>
          <w:spacing w:val="-3"/>
        </w:rPr>
        <w:t> </w:t>
      </w:r>
      <w:r>
        <w:rPr/>
        <w:t>24(3):235- </w:t>
      </w:r>
      <w:r>
        <w:rPr>
          <w:spacing w:val="-4"/>
        </w:rPr>
        <w:t>40.</w:t>
      </w:r>
    </w:p>
    <w:p>
      <w:pPr>
        <w:spacing w:line="480" w:lineRule="auto" w:before="0"/>
        <w:ind w:left="1016" w:right="1142" w:hanging="660"/>
        <w:jc w:val="both"/>
        <w:rPr>
          <w:sz w:val="24"/>
        </w:rPr>
      </w:pPr>
      <w:r>
        <w:rPr>
          <w:sz w:val="24"/>
        </w:rPr>
        <w:t>Bodhankar S.L. Kamble, H.V. (2013). Trigonelline and Sitagliptin attenuate Nicotinamide-Streptozotocin induced diabetic nephropathy in Wistar rats. </w:t>
      </w:r>
      <w:r>
        <w:rPr>
          <w:i/>
          <w:sz w:val="24"/>
        </w:rPr>
        <w:t>International Journal of Pharmacy and Pharmaceutical Sciences</w:t>
      </w:r>
      <w:r>
        <w:rPr>
          <w:sz w:val="24"/>
        </w:rPr>
        <w:t>, 5 (4) 583-589.</w:t>
      </w:r>
    </w:p>
    <w:p>
      <w:pPr>
        <w:pStyle w:val="BodyText"/>
        <w:spacing w:line="480" w:lineRule="auto" w:before="1"/>
        <w:ind w:left="1016" w:right="1134" w:hanging="720"/>
        <w:jc w:val="both"/>
      </w:pPr>
      <w:r>
        <w:rPr/>
        <w:t>Bolli, G.B., Gerich, J.E., (1984). The “Dawn-Phenomenon”, a common occurrence in both non-insulin-dependent and insulin-dependent diabetes mellitus. </w:t>
      </w:r>
      <w:r>
        <w:rPr>
          <w:i/>
        </w:rPr>
        <w:t>New England Journal of Medicine</w:t>
      </w:r>
      <w:r>
        <w:rPr/>
        <w:t>, 310:746-750.</w:t>
      </w:r>
    </w:p>
    <w:p>
      <w:pPr>
        <w:spacing w:line="480" w:lineRule="auto" w:before="0"/>
        <w:ind w:left="1016" w:right="1133" w:hanging="720"/>
        <w:jc w:val="both"/>
        <w:rPr>
          <w:sz w:val="24"/>
        </w:rPr>
      </w:pPr>
      <w:r>
        <w:rPr>
          <w:sz w:val="24"/>
        </w:rPr>
        <w:t>Brady, P.A. and Terzic, A. (1998). The sulfonylurea controversy: more questions from the heart. </w:t>
      </w:r>
      <w:r>
        <w:rPr>
          <w:i/>
          <w:sz w:val="24"/>
        </w:rPr>
        <w:t>Journal of American College of Cardiologists</w:t>
      </w:r>
      <w:r>
        <w:rPr>
          <w:sz w:val="24"/>
        </w:rPr>
        <w:t>, 31:950-956.</w:t>
      </w:r>
    </w:p>
    <w:p>
      <w:pPr>
        <w:spacing w:line="480" w:lineRule="auto" w:before="1"/>
        <w:ind w:left="1016" w:right="1137" w:hanging="720"/>
        <w:jc w:val="both"/>
        <w:rPr>
          <w:sz w:val="24"/>
        </w:rPr>
      </w:pPr>
      <w:r>
        <w:rPr>
          <w:sz w:val="24"/>
        </w:rPr>
        <w:t>Bryan, J. and Aguilar-Bryan L. (2007). The ABCs of ATP-sensitive potassium channels– more pieces of the puzzle. </w:t>
      </w:r>
      <w:r>
        <w:rPr>
          <w:i/>
          <w:sz w:val="24"/>
        </w:rPr>
        <w:t>Current Opinion on cellular Biology</w:t>
      </w:r>
      <w:r>
        <w:rPr>
          <w:sz w:val="24"/>
        </w:rPr>
        <w:t>, 9: 553–559.</w:t>
      </w:r>
    </w:p>
    <w:p>
      <w:pPr>
        <w:pStyle w:val="BodyText"/>
        <w:ind w:left="296"/>
        <w:jc w:val="both"/>
      </w:pPr>
      <w:r>
        <w:rPr/>
        <w:t>Buckley,</w:t>
      </w:r>
      <w:r>
        <w:rPr>
          <w:spacing w:val="19"/>
        </w:rPr>
        <w:t> </w:t>
      </w:r>
      <w:r>
        <w:rPr/>
        <w:t>N.</w:t>
      </w:r>
      <w:r>
        <w:rPr>
          <w:spacing w:val="23"/>
        </w:rPr>
        <w:t> </w:t>
      </w:r>
      <w:r>
        <w:rPr/>
        <w:t>Dawson</w:t>
      </w:r>
      <w:r>
        <w:rPr>
          <w:spacing w:val="22"/>
        </w:rPr>
        <w:t> </w:t>
      </w:r>
      <w:r>
        <w:rPr/>
        <w:t>A.,</w:t>
      </w:r>
      <w:r>
        <w:rPr>
          <w:spacing w:val="23"/>
        </w:rPr>
        <w:t> </w:t>
      </w:r>
      <w:r>
        <w:rPr/>
        <w:t>and</w:t>
      </w:r>
      <w:r>
        <w:rPr>
          <w:spacing w:val="21"/>
        </w:rPr>
        <w:t> </w:t>
      </w:r>
      <w:r>
        <w:rPr/>
        <w:t>Whyte,</w:t>
      </w:r>
      <w:r>
        <w:rPr>
          <w:spacing w:val="25"/>
        </w:rPr>
        <w:t> </w:t>
      </w:r>
      <w:r>
        <w:rPr/>
        <w:t>I.</w:t>
      </w:r>
      <w:r>
        <w:rPr>
          <w:spacing w:val="21"/>
        </w:rPr>
        <w:t> </w:t>
      </w:r>
      <w:r>
        <w:rPr/>
        <w:t>(2007).</w:t>
      </w:r>
      <w:r>
        <w:rPr>
          <w:spacing w:val="23"/>
        </w:rPr>
        <w:t> </w:t>
      </w:r>
      <w:r>
        <w:rPr/>
        <w:t>Calcium</w:t>
      </w:r>
      <w:r>
        <w:rPr>
          <w:spacing w:val="23"/>
        </w:rPr>
        <w:t> </w:t>
      </w:r>
      <w:r>
        <w:rPr/>
        <w:t>Channel</w:t>
      </w:r>
      <w:r>
        <w:rPr>
          <w:spacing w:val="22"/>
        </w:rPr>
        <w:t> </w:t>
      </w:r>
      <w:r>
        <w:rPr/>
        <w:t>Blockers.</w:t>
      </w:r>
      <w:r>
        <w:rPr>
          <w:spacing w:val="28"/>
        </w:rPr>
        <w:t> </w:t>
      </w:r>
      <w:r>
        <w:rPr>
          <w:i/>
        </w:rPr>
        <w:t>Medicine,</w:t>
      </w:r>
      <w:r>
        <w:rPr>
          <w:i/>
          <w:spacing w:val="23"/>
        </w:rPr>
        <w:t> </w:t>
      </w:r>
      <w:r>
        <w:rPr>
          <w:spacing w:val="-5"/>
        </w:rPr>
        <w:t>35</w:t>
      </w:r>
    </w:p>
    <w:p>
      <w:pPr>
        <w:pStyle w:val="BodyText"/>
        <w:spacing w:before="276"/>
        <w:ind w:left="1016"/>
        <w:jc w:val="both"/>
      </w:pPr>
      <w:r>
        <w:rPr/>
        <w:t>(11):</w:t>
      </w:r>
      <w:r>
        <w:rPr>
          <w:spacing w:val="-3"/>
        </w:rPr>
        <w:t> </w:t>
      </w:r>
      <w:r>
        <w:rPr/>
        <w:t>599-</w:t>
      </w:r>
      <w:r>
        <w:rPr>
          <w:spacing w:val="-4"/>
        </w:rPr>
        <w:t>602.</w:t>
      </w:r>
    </w:p>
    <w:p>
      <w:pPr>
        <w:spacing w:after="0"/>
        <w:jc w:val="both"/>
        <w:sectPr>
          <w:pgSz w:w="12240" w:h="15840"/>
          <w:pgMar w:header="0" w:footer="1015" w:top="1360" w:bottom="1200" w:left="1720" w:right="300"/>
        </w:sectPr>
      </w:pPr>
    </w:p>
    <w:p>
      <w:pPr>
        <w:pStyle w:val="BodyText"/>
        <w:spacing w:line="480" w:lineRule="auto" w:before="72"/>
        <w:ind w:left="1016" w:right="1138" w:hanging="720"/>
        <w:jc w:val="both"/>
      </w:pPr>
      <w:r>
        <w:rPr/>
        <w:t>Callaghan, B.C., Little, A.A., Feldman, E. L. and Hughes, R. A. (2012). Enhanced glucose control</w:t>
      </w:r>
      <w:r>
        <w:rPr>
          <w:spacing w:val="-2"/>
        </w:rPr>
        <w:t> </w:t>
      </w:r>
      <w:r>
        <w:rPr/>
        <w:t>for</w:t>
      </w:r>
      <w:r>
        <w:rPr>
          <w:spacing w:val="-4"/>
        </w:rPr>
        <w:t> </w:t>
      </w:r>
      <w:r>
        <w:rPr/>
        <w:t>preventing</w:t>
      </w:r>
      <w:r>
        <w:rPr>
          <w:spacing w:val="-2"/>
        </w:rPr>
        <w:t> </w:t>
      </w:r>
      <w:r>
        <w:rPr/>
        <w:t>and</w:t>
      </w:r>
      <w:r>
        <w:rPr>
          <w:spacing w:val="-2"/>
        </w:rPr>
        <w:t> </w:t>
      </w:r>
      <w:r>
        <w:rPr/>
        <w:t>treating</w:t>
      </w:r>
      <w:r>
        <w:rPr>
          <w:spacing w:val="-5"/>
        </w:rPr>
        <w:t> </w:t>
      </w:r>
      <w:r>
        <w:rPr/>
        <w:t>diabetic</w:t>
      </w:r>
      <w:r>
        <w:rPr>
          <w:spacing w:val="-1"/>
        </w:rPr>
        <w:t> </w:t>
      </w:r>
      <w:r>
        <w:rPr/>
        <w:t>neuropathy. </w:t>
      </w:r>
      <w:r>
        <w:rPr>
          <w:i/>
        </w:rPr>
        <w:t>Cochrane</w:t>
      </w:r>
      <w:r>
        <w:rPr>
          <w:i/>
          <w:spacing w:val="-3"/>
        </w:rPr>
        <w:t> </w:t>
      </w:r>
      <w:r>
        <w:rPr>
          <w:i/>
        </w:rPr>
        <w:t>Database</w:t>
      </w:r>
      <w:r>
        <w:rPr>
          <w:i/>
          <w:spacing w:val="-3"/>
        </w:rPr>
        <w:t> </w:t>
      </w:r>
      <w:r>
        <w:rPr>
          <w:i/>
        </w:rPr>
        <w:t>System Review</w:t>
      </w:r>
      <w:r>
        <w:rPr/>
        <w:t>, 6: 543-547.</w:t>
      </w:r>
    </w:p>
    <w:p>
      <w:pPr>
        <w:pStyle w:val="BodyText"/>
        <w:spacing w:line="480" w:lineRule="auto"/>
        <w:ind w:left="1016" w:right="1136" w:hanging="720"/>
        <w:jc w:val="both"/>
      </w:pPr>
      <w:r>
        <w:rPr/>
        <w:t>Cao, Q.R., Kim, T.W., Choic, J.S. and Lee, B.J. (2005). Circadian variations in the pharmacokinetics, tissue distribution and urinary excretion of Nifedipine after a single oral administration to rats. </w:t>
      </w:r>
      <w:r>
        <w:rPr>
          <w:i/>
        </w:rPr>
        <w:t>Biopharmaceutics and drug disposition</w:t>
      </w:r>
      <w:r>
        <w:rPr/>
        <w:t>, 26(9): </w:t>
      </w:r>
      <w:r>
        <w:rPr>
          <w:spacing w:val="-2"/>
        </w:rPr>
        <w:t>427-437.</w:t>
      </w:r>
    </w:p>
    <w:p>
      <w:pPr>
        <w:pStyle w:val="BodyText"/>
        <w:spacing w:line="480" w:lineRule="auto" w:before="1"/>
        <w:ind w:left="1016" w:right="1138" w:hanging="720"/>
        <w:jc w:val="both"/>
      </w:pPr>
      <w:hyperlink r:id="rId41">
        <w:r>
          <w:rPr/>
          <w:t>Cao</w:t>
        </w:r>
      </w:hyperlink>
      <w:r>
        <w:rPr/>
        <w:t>, Q.,</w:t>
      </w:r>
      <w:r>
        <w:rPr>
          <w:spacing w:val="-3"/>
        </w:rPr>
        <w:t> </w:t>
      </w:r>
      <w:hyperlink r:id="rId41">
        <w:r>
          <w:rPr/>
          <w:t>Jing, H.C.</w:t>
        </w:r>
      </w:hyperlink>
      <w:r>
        <w:rPr/>
        <w:t>,</w:t>
      </w:r>
      <w:r>
        <w:rPr>
          <w:spacing w:val="-5"/>
        </w:rPr>
        <w:t> </w:t>
      </w:r>
      <w:hyperlink r:id="rId41">
        <w:r>
          <w:rPr/>
          <w:t>Jun, B.P.,</w:t>
        </w:r>
      </w:hyperlink>
      <w:r>
        <w:rPr>
          <w:spacing w:val="40"/>
        </w:rPr>
        <w:t> </w:t>
      </w:r>
      <w:hyperlink r:id="rId41">
        <w:r>
          <w:rPr/>
          <w:t>Hyo, K.H.,</w:t>
        </w:r>
      </w:hyperlink>
      <w:r>
        <w:rPr>
          <w:spacing w:val="-2"/>
        </w:rPr>
        <w:t> </w:t>
      </w:r>
      <w:hyperlink r:id="rId41">
        <w:r>
          <w:rPr/>
          <w:t>Jaehwi, L.,</w:t>
        </w:r>
      </w:hyperlink>
      <w:r>
        <w:rPr>
          <w:spacing w:val="40"/>
        </w:rPr>
        <w:t> </w:t>
      </w:r>
      <w:hyperlink r:id="rId41">
        <w:r>
          <w:rPr/>
          <w:t>Kyung,</w:t>
        </w:r>
      </w:hyperlink>
      <w:r>
        <w:rPr>
          <w:spacing w:val="80"/>
          <w:w w:val="150"/>
        </w:rPr>
        <w:t> </w:t>
      </w:r>
      <w:hyperlink r:id="rId41">
        <w:r>
          <w:rPr/>
          <w:t>Taek, O.H</w:t>
        </w:r>
      </w:hyperlink>
      <w:r>
        <w:rPr/>
        <w:t>., </w:t>
      </w:r>
      <w:hyperlink r:id="rId41">
        <w:r>
          <w:rPr/>
          <w:t>Inchoon, P.</w:t>
        </w:r>
      </w:hyperlink>
      <w:r>
        <w:rPr>
          <w:spacing w:val="40"/>
        </w:rPr>
        <w:t> </w:t>
      </w:r>
      <w:r>
        <w:rPr/>
        <w:t>and</w:t>
      </w:r>
      <w:r>
        <w:rPr>
          <w:spacing w:val="-2"/>
        </w:rPr>
        <w:t> </w:t>
      </w:r>
      <w:hyperlink r:id="rId41">
        <w:r>
          <w:rPr/>
          <w:t>Beom, J.L.</w:t>
        </w:r>
      </w:hyperlink>
      <w:r>
        <w:rPr/>
        <w:t> (2010). Effect of food components and dosing times on the oral pharmacokinetics of nifedipine in rats. </w:t>
      </w:r>
      <w:r>
        <w:rPr>
          <w:i/>
        </w:rPr>
        <w:t>International Journal of Pharmaceutics</w:t>
      </w:r>
      <w:r>
        <w:rPr/>
        <w:t>, 396(1-2): 39-44.</w:t>
      </w:r>
    </w:p>
    <w:p>
      <w:pPr>
        <w:pStyle w:val="BodyText"/>
        <w:spacing w:line="480" w:lineRule="auto" w:before="199"/>
        <w:ind w:left="1016" w:right="1141" w:hanging="720"/>
        <w:jc w:val="both"/>
      </w:pPr>
      <w:r>
        <w:rPr/>
        <w:t>Carskadon, M., Labyak, S., Acebo, C. and Seifer, R. (1999). Intrinsic Circadian Period of Adolescent Humans Measured in Conditions of Forced Desynchrony. </w:t>
      </w:r>
      <w:r>
        <w:rPr>
          <w:i/>
        </w:rPr>
        <w:t>Neuroscience, </w:t>
      </w:r>
      <w:r>
        <w:rPr/>
        <w:t>260: 129-132.</w:t>
      </w:r>
    </w:p>
    <w:p>
      <w:pPr>
        <w:pStyle w:val="BodyText"/>
        <w:spacing w:line="480" w:lineRule="auto" w:before="1"/>
        <w:ind w:left="1016" w:right="1137" w:hanging="720"/>
        <w:jc w:val="both"/>
      </w:pPr>
      <w:r>
        <w:rPr/>
        <w:t>Castera,</w:t>
      </w:r>
      <w:r>
        <w:rPr>
          <w:spacing w:val="-2"/>
        </w:rPr>
        <w:t> </w:t>
      </w:r>
      <w:r>
        <w:rPr/>
        <w:t>V.,</w:t>
      </w:r>
      <w:r>
        <w:rPr>
          <w:spacing w:val="-3"/>
        </w:rPr>
        <w:t> </w:t>
      </w:r>
      <w:r>
        <w:rPr/>
        <w:t>Dutour-Meyer,</w:t>
      </w:r>
      <w:r>
        <w:rPr>
          <w:spacing w:val="-3"/>
        </w:rPr>
        <w:t> </w:t>
      </w:r>
      <w:r>
        <w:rPr/>
        <w:t>A,</w:t>
      </w:r>
      <w:r>
        <w:rPr>
          <w:spacing w:val="-3"/>
        </w:rPr>
        <w:t> </w:t>
      </w:r>
      <w:r>
        <w:rPr/>
        <w:t>Koeppel,</w:t>
      </w:r>
      <w:r>
        <w:rPr>
          <w:spacing w:val="-2"/>
        </w:rPr>
        <w:t> </w:t>
      </w:r>
      <w:r>
        <w:rPr/>
        <w:t>M.,</w:t>
      </w:r>
      <w:r>
        <w:rPr>
          <w:spacing w:val="-2"/>
        </w:rPr>
        <w:t> </w:t>
      </w:r>
      <w:r>
        <w:rPr/>
        <w:t>Petitjean,</w:t>
      </w:r>
      <w:r>
        <w:rPr>
          <w:spacing w:val="-2"/>
        </w:rPr>
        <w:t> </w:t>
      </w:r>
      <w:r>
        <w:rPr/>
        <w:t>C.</w:t>
      </w:r>
      <w:r>
        <w:rPr>
          <w:spacing w:val="-2"/>
        </w:rPr>
        <w:t> </w:t>
      </w:r>
      <w:r>
        <w:rPr/>
        <w:t>and</w:t>
      </w:r>
      <w:r>
        <w:rPr>
          <w:spacing w:val="-2"/>
        </w:rPr>
        <w:t> </w:t>
      </w:r>
      <w:r>
        <w:rPr/>
        <w:t>Darmon,</w:t>
      </w:r>
      <w:r>
        <w:rPr>
          <w:spacing w:val="-3"/>
        </w:rPr>
        <w:t> </w:t>
      </w:r>
      <w:r>
        <w:rPr/>
        <w:t>P.</w:t>
      </w:r>
      <w:r>
        <w:rPr>
          <w:spacing w:val="-2"/>
        </w:rPr>
        <w:t> </w:t>
      </w:r>
      <w:r>
        <w:rPr/>
        <w:t>(2005).</w:t>
      </w:r>
      <w:r>
        <w:rPr>
          <w:spacing w:val="-3"/>
        </w:rPr>
        <w:t> </w:t>
      </w:r>
      <w:r>
        <w:rPr/>
        <w:t>Systemic allergy to human insulin and its rapid and long analogs: successful treatment by continous subcutaneous insulin lispro infusion. </w:t>
      </w:r>
      <w:r>
        <w:rPr>
          <w:i/>
        </w:rPr>
        <w:t>Diabetes and Metabolism</w:t>
      </w:r>
      <w:r>
        <w:rPr/>
        <w:t>, </w:t>
      </w:r>
      <w:r>
        <w:rPr>
          <w:spacing w:val="-2"/>
        </w:rPr>
        <w:t>31(4):391-400.</w:t>
      </w:r>
    </w:p>
    <w:p>
      <w:pPr>
        <w:spacing w:line="480" w:lineRule="auto" w:before="1"/>
        <w:ind w:left="1016" w:right="1136" w:hanging="720"/>
        <w:jc w:val="both"/>
        <w:rPr>
          <w:sz w:val="24"/>
        </w:rPr>
      </w:pPr>
      <w:r>
        <w:rPr>
          <w:sz w:val="24"/>
        </w:rPr>
        <w:t>Catterall, W.A. and Striessnig, J. (1992). Receptor sites for calcium antagonists. </w:t>
      </w:r>
      <w:r>
        <w:rPr>
          <w:i/>
          <w:sz w:val="24"/>
        </w:rPr>
        <w:t>Trends in Pharmacological Sciences</w:t>
      </w:r>
      <w:r>
        <w:rPr>
          <w:sz w:val="24"/>
        </w:rPr>
        <w:t>, 13:256-262.</w:t>
      </w:r>
    </w:p>
    <w:p>
      <w:pPr>
        <w:pStyle w:val="BodyText"/>
        <w:spacing w:line="480" w:lineRule="auto"/>
        <w:ind w:left="1016" w:right="1136" w:hanging="720"/>
        <w:jc w:val="both"/>
      </w:pPr>
      <w:r>
        <w:rPr/>
        <w:t>Chan, C.N., Wingyee, S.R., Ronald, C.W., Peter, C.Y. and Xilin Y. (2011). The</w:t>
      </w:r>
      <w:r>
        <w:rPr>
          <w:spacing w:val="40"/>
        </w:rPr>
        <w:t> </w:t>
      </w:r>
      <w:r>
        <w:rPr/>
        <w:t>complexity of vascular and non-vascular complications of diabetes: The Hong</w:t>
      </w:r>
      <w:r>
        <w:rPr>
          <w:spacing w:val="40"/>
        </w:rPr>
        <w:t> </w:t>
      </w:r>
      <w:r>
        <w:rPr/>
        <w:t>Kong diabetes registry. </w:t>
      </w:r>
      <w:r>
        <w:rPr>
          <w:i/>
        </w:rPr>
        <w:t>Current Cardiovascular Risk Report</w:t>
      </w:r>
      <w:r>
        <w:rPr/>
        <w:t>, 5: 230–239.</w:t>
      </w:r>
    </w:p>
    <w:p>
      <w:pPr>
        <w:spacing w:after="0" w:line="480" w:lineRule="auto"/>
        <w:jc w:val="both"/>
        <w:sectPr>
          <w:pgSz w:w="12240" w:h="15840"/>
          <w:pgMar w:header="0" w:footer="1015" w:top="1360" w:bottom="1200" w:left="1720" w:right="300"/>
        </w:sectPr>
      </w:pPr>
    </w:p>
    <w:p>
      <w:pPr>
        <w:pStyle w:val="BodyText"/>
        <w:spacing w:line="480" w:lineRule="auto" w:before="72"/>
        <w:ind w:left="1016" w:right="1137" w:hanging="720"/>
        <w:jc w:val="both"/>
      </w:pPr>
      <w:r>
        <w:rPr/>
        <w:t>Chen, L., Magliano, D.J. and Zimmet, P.Z. (2014). The worldwide epidemiology</w:t>
      </w:r>
      <w:r>
        <w:rPr>
          <w:spacing w:val="-4"/>
        </w:rPr>
        <w:t> </w:t>
      </w:r>
      <w:r>
        <w:rPr/>
        <w:t>of type 2 diabetes mellitus: present and future perspectives. </w:t>
      </w:r>
      <w:r>
        <w:rPr>
          <w:i/>
        </w:rPr>
        <w:t>Nature Reviews Endocrinology</w:t>
      </w:r>
      <w:r>
        <w:rPr/>
        <w:t>, </w:t>
      </w:r>
      <w:r>
        <w:rPr>
          <w:spacing w:val="-2"/>
        </w:rPr>
        <w:t>228-236.</w:t>
      </w:r>
    </w:p>
    <w:p>
      <w:pPr>
        <w:pStyle w:val="BodyText"/>
        <w:spacing w:line="480" w:lineRule="auto"/>
        <w:ind w:left="296" w:right="1140"/>
        <w:jc w:val="both"/>
      </w:pPr>
      <w:r>
        <w:rPr/>
        <w:t>Cheung, N., Mitchell, P., Wong, T.Y. (2010). Diabetic retinopathy. </w:t>
      </w:r>
      <w:r>
        <w:rPr>
          <w:i/>
        </w:rPr>
        <w:t>Lancet</w:t>
      </w:r>
      <w:r>
        <w:rPr/>
        <w:t>, 376, 124–136. Chinenye,</w:t>
      </w:r>
      <w:r>
        <w:rPr>
          <w:spacing w:val="13"/>
        </w:rPr>
        <w:t> </w:t>
      </w:r>
      <w:r>
        <w:rPr/>
        <w:t>S.,</w:t>
      </w:r>
      <w:r>
        <w:rPr>
          <w:spacing w:val="15"/>
        </w:rPr>
        <w:t> </w:t>
      </w:r>
      <w:r>
        <w:rPr/>
        <w:t>Ogbera,</w:t>
      </w:r>
      <w:r>
        <w:rPr>
          <w:spacing w:val="15"/>
        </w:rPr>
        <w:t> </w:t>
      </w:r>
      <w:r>
        <w:rPr/>
        <w:t>A.O.</w:t>
      </w:r>
      <w:r>
        <w:rPr>
          <w:spacing w:val="15"/>
        </w:rPr>
        <w:t> </w:t>
      </w:r>
      <w:r>
        <w:rPr/>
        <w:t>(2013).</w:t>
      </w:r>
      <w:r>
        <w:rPr>
          <w:spacing w:val="15"/>
        </w:rPr>
        <w:t> </w:t>
      </w:r>
      <w:r>
        <w:rPr/>
        <w:t>Socio-cultural</w:t>
      </w:r>
      <w:r>
        <w:rPr>
          <w:spacing w:val="16"/>
        </w:rPr>
        <w:t> </w:t>
      </w:r>
      <w:r>
        <w:rPr/>
        <w:t>aspects</w:t>
      </w:r>
      <w:r>
        <w:rPr>
          <w:spacing w:val="16"/>
        </w:rPr>
        <w:t> </w:t>
      </w:r>
      <w:r>
        <w:rPr/>
        <w:t>of</w:t>
      </w:r>
      <w:r>
        <w:rPr>
          <w:spacing w:val="14"/>
        </w:rPr>
        <w:t> </w:t>
      </w:r>
      <w:r>
        <w:rPr/>
        <w:t>diabetes</w:t>
      </w:r>
      <w:r>
        <w:rPr>
          <w:spacing w:val="15"/>
        </w:rPr>
        <w:t> </w:t>
      </w:r>
      <w:r>
        <w:rPr/>
        <w:t>mellitus</w:t>
      </w:r>
      <w:r>
        <w:rPr>
          <w:spacing w:val="16"/>
        </w:rPr>
        <w:t> </w:t>
      </w:r>
      <w:r>
        <w:rPr/>
        <w:t>in</w:t>
      </w:r>
      <w:r>
        <w:rPr>
          <w:spacing w:val="16"/>
        </w:rPr>
        <w:t> </w:t>
      </w:r>
      <w:r>
        <w:rPr>
          <w:spacing w:val="-2"/>
        </w:rPr>
        <w:t>Nigeria.</w:t>
      </w:r>
    </w:p>
    <w:p>
      <w:pPr>
        <w:spacing w:before="0"/>
        <w:ind w:left="1016" w:right="0" w:firstLine="0"/>
        <w:jc w:val="both"/>
        <w:rPr>
          <w:sz w:val="24"/>
        </w:rPr>
      </w:pPr>
      <w:r>
        <w:rPr>
          <w:i/>
          <w:sz w:val="24"/>
        </w:rPr>
        <w:t>Journal</w:t>
      </w:r>
      <w:r>
        <w:rPr>
          <w:i/>
          <w:spacing w:val="-1"/>
          <w:sz w:val="24"/>
        </w:rPr>
        <w:t> </w:t>
      </w:r>
      <w:r>
        <w:rPr>
          <w:i/>
          <w:sz w:val="24"/>
        </w:rPr>
        <w:t>Social</w:t>
      </w:r>
      <w:r>
        <w:rPr>
          <w:i/>
          <w:spacing w:val="-1"/>
          <w:sz w:val="24"/>
        </w:rPr>
        <w:t> </w:t>
      </w:r>
      <w:r>
        <w:rPr>
          <w:i/>
          <w:sz w:val="24"/>
        </w:rPr>
        <w:t>and</w:t>
      </w:r>
      <w:r>
        <w:rPr>
          <w:i/>
          <w:spacing w:val="-1"/>
          <w:sz w:val="24"/>
        </w:rPr>
        <w:t> </w:t>
      </w:r>
      <w:r>
        <w:rPr>
          <w:i/>
          <w:sz w:val="24"/>
        </w:rPr>
        <w:t>Health Diabetes</w:t>
      </w:r>
      <w:r>
        <w:rPr>
          <w:sz w:val="24"/>
        </w:rPr>
        <w:t>,</w:t>
      </w:r>
      <w:r>
        <w:rPr>
          <w:spacing w:val="-1"/>
          <w:sz w:val="24"/>
        </w:rPr>
        <w:t> </w:t>
      </w:r>
      <w:r>
        <w:rPr>
          <w:sz w:val="24"/>
        </w:rPr>
        <w:t>1(1):</w:t>
      </w:r>
      <w:r>
        <w:rPr>
          <w:spacing w:val="-1"/>
          <w:sz w:val="24"/>
        </w:rPr>
        <w:t> </w:t>
      </w:r>
      <w:r>
        <w:rPr>
          <w:sz w:val="24"/>
        </w:rPr>
        <w:t>15</w:t>
      </w:r>
      <w:r>
        <w:rPr>
          <w:spacing w:val="-1"/>
          <w:sz w:val="24"/>
        </w:rPr>
        <w:t> </w:t>
      </w:r>
      <w:r>
        <w:rPr>
          <w:sz w:val="24"/>
        </w:rPr>
        <w:t>– </w:t>
      </w:r>
      <w:r>
        <w:rPr>
          <w:spacing w:val="-5"/>
          <w:sz w:val="24"/>
        </w:rPr>
        <w:t>21.</w:t>
      </w:r>
    </w:p>
    <w:p>
      <w:pPr>
        <w:pStyle w:val="BodyText"/>
      </w:pPr>
    </w:p>
    <w:p>
      <w:pPr>
        <w:spacing w:line="480" w:lineRule="auto" w:before="0"/>
        <w:ind w:left="1016" w:right="1138" w:hanging="720"/>
        <w:jc w:val="both"/>
        <w:rPr>
          <w:sz w:val="24"/>
        </w:rPr>
      </w:pPr>
      <w:r>
        <w:rPr>
          <w:sz w:val="24"/>
        </w:rPr>
        <w:t>Chung, S., Son, G.H. and Kim, K. (2011). Adrenal peripheral oscillator in generating the circadian glucocorticoid rhythm. </w:t>
      </w:r>
      <w:r>
        <w:rPr>
          <w:i/>
          <w:sz w:val="24"/>
        </w:rPr>
        <w:t>Annals of the New York Academy of Sciences</w:t>
      </w:r>
      <w:r>
        <w:rPr>
          <w:sz w:val="24"/>
        </w:rPr>
        <w:t>, </w:t>
      </w:r>
      <w:r>
        <w:rPr>
          <w:spacing w:val="-2"/>
          <w:sz w:val="24"/>
        </w:rPr>
        <w:t>1220:71–81.</w:t>
      </w:r>
    </w:p>
    <w:p>
      <w:pPr>
        <w:pStyle w:val="BodyText"/>
        <w:spacing w:line="480" w:lineRule="auto" w:before="1"/>
        <w:ind w:left="1016" w:right="1140" w:hanging="720"/>
        <w:jc w:val="both"/>
      </w:pPr>
      <w:r>
        <w:rPr/>
        <w:t>Cooper, M.E. (2001). Interaction of metabolic and hemodynamic factors in mediating experimental diabetic nephropathy. </w:t>
      </w:r>
      <w:r>
        <w:rPr>
          <w:i/>
        </w:rPr>
        <w:t>Diabetologia</w:t>
      </w:r>
      <w:r>
        <w:rPr/>
        <w:t>, 44(11): 1957–1972.</w:t>
      </w:r>
    </w:p>
    <w:p>
      <w:pPr>
        <w:pStyle w:val="BodyText"/>
        <w:spacing w:line="480" w:lineRule="auto"/>
        <w:ind w:left="1016" w:right="1138" w:hanging="720"/>
        <w:jc w:val="both"/>
      </w:pPr>
      <w:r>
        <w:rPr/>
        <w:t>Curtis, T.M., Gardiner, T.A. and Stitt A.W. (2009). Microvascular lesions of diabetic retinopathy: clues towards understanding pathogenesis. </w:t>
      </w:r>
      <w:r>
        <w:rPr>
          <w:i/>
        </w:rPr>
        <w:t>Eye</w:t>
      </w:r>
      <w:r>
        <w:rPr/>
        <w:t>, 23, 1496–1508.</w:t>
      </w:r>
    </w:p>
    <w:p>
      <w:pPr>
        <w:pStyle w:val="BodyText"/>
        <w:spacing w:line="480" w:lineRule="auto" w:before="1"/>
        <w:ind w:left="1016" w:right="1133" w:hanging="720"/>
        <w:jc w:val="both"/>
      </w:pPr>
      <w:r>
        <w:rPr/>
        <w:t>Davalli, A.M., Biancardi, E., Polio, A., Socci, C., Pontiroli, A.E., Pozza, G., Clementi, F., Sher, E. and Carbone, E. (1996). Dihydropyridine-sensitive and –insensitive voltage-operation-operated calcium channels participate in control of glucose- induced insulin release from human pancreatic beta-cells. </w:t>
      </w:r>
      <w:r>
        <w:rPr>
          <w:i/>
        </w:rPr>
        <w:t>Journal of Endocrinology</w:t>
      </w:r>
      <w:r>
        <w:rPr/>
        <w:t>, 150:195-203.</w:t>
      </w:r>
    </w:p>
    <w:p>
      <w:pPr>
        <w:spacing w:line="482" w:lineRule="auto" w:before="0"/>
        <w:ind w:left="1016" w:right="1138" w:hanging="720"/>
        <w:jc w:val="both"/>
        <w:rPr>
          <w:sz w:val="24"/>
        </w:rPr>
      </w:pPr>
      <w:r>
        <w:rPr>
          <w:sz w:val="24"/>
        </w:rPr>
        <w:t>Devdhawala, M.G. and Seth, A.K. (2010). Current status of chronotherapeutic drug delivery</w:t>
      </w:r>
      <w:r>
        <w:rPr>
          <w:spacing w:val="-5"/>
          <w:sz w:val="24"/>
        </w:rPr>
        <w:t> </w:t>
      </w:r>
      <w:r>
        <w:rPr>
          <w:sz w:val="24"/>
        </w:rPr>
        <w:t>system: An overview: </w:t>
      </w:r>
      <w:r>
        <w:rPr>
          <w:i/>
          <w:sz w:val="24"/>
        </w:rPr>
        <w:t>Journal of Chemical and Pharmaceutical Research</w:t>
      </w:r>
      <w:r>
        <w:rPr>
          <w:sz w:val="24"/>
        </w:rPr>
        <w:t>, </w:t>
      </w:r>
      <w:r>
        <w:rPr>
          <w:spacing w:val="-2"/>
          <w:sz w:val="24"/>
        </w:rPr>
        <w:t>2(3):312-328.</w:t>
      </w:r>
    </w:p>
    <w:p>
      <w:pPr>
        <w:pStyle w:val="BodyText"/>
        <w:spacing w:line="480" w:lineRule="auto" w:before="192"/>
        <w:ind w:left="1016" w:right="1143" w:hanging="720"/>
        <w:jc w:val="both"/>
      </w:pPr>
      <w:r>
        <w:rPr/>
        <w:t>Duffield, G.E. (2003). DNA microarray analyses of circadian timing: the genomic basis of biological time. </w:t>
      </w:r>
      <w:r>
        <w:rPr>
          <w:i/>
        </w:rPr>
        <w:t>Journal of Neuroendocrinology</w:t>
      </w:r>
      <w:r>
        <w:rPr/>
        <w:t>, 15:991–1002.</w:t>
      </w:r>
    </w:p>
    <w:p>
      <w:pPr>
        <w:spacing w:after="0" w:line="480" w:lineRule="auto"/>
        <w:jc w:val="both"/>
        <w:sectPr>
          <w:pgSz w:w="12240" w:h="15840"/>
          <w:pgMar w:header="0" w:footer="1015" w:top="1360" w:bottom="1200" w:left="1720" w:right="300"/>
        </w:sectPr>
      </w:pPr>
    </w:p>
    <w:p>
      <w:pPr>
        <w:pStyle w:val="BodyText"/>
        <w:spacing w:line="482" w:lineRule="auto" w:before="72"/>
        <w:ind w:left="1016" w:right="1135" w:hanging="720"/>
        <w:jc w:val="both"/>
      </w:pPr>
      <w:r>
        <w:rPr/>
        <w:t>Ebru, N.C.,</w:t>
      </w:r>
      <w:r>
        <w:rPr>
          <w:spacing w:val="-3"/>
        </w:rPr>
        <w:t> </w:t>
      </w:r>
      <w:hyperlink r:id="rId42">
        <w:r>
          <w:rPr/>
          <w:t>Yunus, B.,</w:t>
        </w:r>
      </w:hyperlink>
      <w:r>
        <w:rPr>
          <w:spacing w:val="-3"/>
        </w:rPr>
        <w:t> </w:t>
      </w:r>
      <w:hyperlink r:id="rId43">
        <w:r>
          <w:rPr/>
          <w:t>Seyfullah, O.,</w:t>
        </w:r>
      </w:hyperlink>
      <w:r>
        <w:rPr>
          <w:spacing w:val="-3"/>
        </w:rPr>
        <w:t> </w:t>
      </w:r>
      <w:hyperlink r:id="rId44">
        <w:r>
          <w:rPr/>
          <w:t>Senay, T.,</w:t>
        </w:r>
      </w:hyperlink>
      <w:r>
        <w:rPr>
          <w:spacing w:val="-1"/>
        </w:rPr>
        <w:t> </w:t>
      </w:r>
      <w:hyperlink r:id="rId45">
        <w:r>
          <w:rPr/>
          <w:t>Fulya, A.,</w:t>
        </w:r>
      </w:hyperlink>
      <w:r>
        <w:rPr>
          <w:spacing w:val="-1"/>
        </w:rPr>
        <w:t> </w:t>
      </w:r>
      <w:hyperlink r:id="rId46">
        <w:r>
          <w:rPr/>
          <w:t>Hulya, A.,</w:t>
        </w:r>
      </w:hyperlink>
      <w:r>
        <w:rPr>
          <w:spacing w:val="-1"/>
        </w:rPr>
        <w:t> </w:t>
      </w:r>
      <w:r>
        <w:rPr/>
        <w:t>and </w:t>
      </w:r>
      <w:hyperlink r:id="rId47">
        <w:r>
          <w:rPr/>
          <w:t>Cem, Y.</w:t>
        </w:r>
      </w:hyperlink>
      <w:r>
        <w:rPr/>
        <w:t> (2013). Association of serum lipid levels with diabetic retinopathy. </w:t>
      </w:r>
      <w:r>
        <w:rPr>
          <w:i/>
        </w:rPr>
        <w:t>International Journal for Opthalmology</w:t>
      </w:r>
      <w:r>
        <w:rPr/>
        <w:t>, 6(3): 346–349.</w:t>
      </w:r>
    </w:p>
    <w:p>
      <w:pPr>
        <w:spacing w:line="480" w:lineRule="auto" w:before="157"/>
        <w:ind w:left="1016" w:right="1138" w:hanging="720"/>
        <w:jc w:val="both"/>
        <w:rPr>
          <w:sz w:val="24"/>
        </w:rPr>
      </w:pPr>
      <w:r>
        <w:rPr>
          <w:sz w:val="24"/>
        </w:rPr>
        <w:t>Efendic, S. and Portwood, N. (2004). Overview of incretin hormones. </w:t>
      </w:r>
      <w:r>
        <w:rPr>
          <w:i/>
          <w:sz w:val="24"/>
        </w:rPr>
        <w:t>Hormone and Metabolic Reearch</w:t>
      </w:r>
      <w:r>
        <w:rPr>
          <w:sz w:val="24"/>
        </w:rPr>
        <w:t>, 36:742-746.</w:t>
      </w:r>
    </w:p>
    <w:p>
      <w:pPr>
        <w:spacing w:line="480" w:lineRule="auto" w:before="1"/>
        <w:ind w:left="1016" w:right="1138" w:hanging="720"/>
        <w:jc w:val="both"/>
        <w:rPr>
          <w:sz w:val="24"/>
        </w:rPr>
      </w:pPr>
      <w:r>
        <w:rPr>
          <w:sz w:val="24"/>
        </w:rPr>
        <w:t>Eliot, L.A. and Jamali, F. (1999). Pharmacokinetics and Pharmacodynamics of Nifedipine in</w:t>
      </w:r>
      <w:r>
        <w:rPr>
          <w:spacing w:val="-1"/>
          <w:sz w:val="24"/>
        </w:rPr>
        <w:t> </w:t>
      </w:r>
      <w:r>
        <w:rPr>
          <w:sz w:val="24"/>
        </w:rPr>
        <w:t>untreated</w:t>
      </w:r>
      <w:r>
        <w:rPr>
          <w:spacing w:val="-2"/>
          <w:sz w:val="24"/>
        </w:rPr>
        <w:t> </w:t>
      </w:r>
      <w:r>
        <w:rPr>
          <w:sz w:val="24"/>
        </w:rPr>
        <w:t>and</w:t>
      </w:r>
      <w:r>
        <w:rPr>
          <w:spacing w:val="-2"/>
          <w:sz w:val="24"/>
        </w:rPr>
        <w:t> </w:t>
      </w:r>
      <w:r>
        <w:rPr>
          <w:sz w:val="24"/>
        </w:rPr>
        <w:t>Atorvastatin-treated</w:t>
      </w:r>
      <w:r>
        <w:rPr>
          <w:spacing w:val="-2"/>
          <w:sz w:val="24"/>
        </w:rPr>
        <w:t> </w:t>
      </w:r>
      <w:r>
        <w:rPr>
          <w:sz w:val="24"/>
        </w:rPr>
        <w:t>hyperlipidemic</w:t>
      </w:r>
      <w:r>
        <w:rPr>
          <w:spacing w:val="-3"/>
          <w:sz w:val="24"/>
        </w:rPr>
        <w:t> </w:t>
      </w:r>
      <w:r>
        <w:rPr>
          <w:sz w:val="24"/>
        </w:rPr>
        <w:t>rats. </w:t>
      </w:r>
      <w:r>
        <w:rPr>
          <w:i/>
          <w:sz w:val="24"/>
        </w:rPr>
        <w:t>Journal</w:t>
      </w:r>
      <w:r>
        <w:rPr>
          <w:i/>
          <w:spacing w:val="-1"/>
          <w:sz w:val="24"/>
        </w:rPr>
        <w:t> </w:t>
      </w:r>
      <w:r>
        <w:rPr>
          <w:i/>
          <w:sz w:val="24"/>
        </w:rPr>
        <w:t>of</w:t>
      </w:r>
      <w:r>
        <w:rPr>
          <w:i/>
          <w:spacing w:val="-1"/>
          <w:sz w:val="24"/>
        </w:rPr>
        <w:t> </w:t>
      </w:r>
      <w:r>
        <w:rPr>
          <w:i/>
          <w:sz w:val="24"/>
        </w:rPr>
        <w:t>Pharmacology and Experimental Therapeutics</w:t>
      </w:r>
      <w:r>
        <w:rPr>
          <w:sz w:val="24"/>
        </w:rPr>
        <w:t>, 291(1): 188-193.</w:t>
      </w:r>
    </w:p>
    <w:p>
      <w:pPr>
        <w:pStyle w:val="BodyText"/>
        <w:spacing w:line="480" w:lineRule="auto"/>
        <w:ind w:left="1016" w:right="1141" w:hanging="720"/>
        <w:jc w:val="both"/>
      </w:pPr>
      <w:r>
        <w:rPr/>
        <w:t>Eliot, L.A., Foster, R.T. and Jamali, F. (1999). Effects of hyperlipidemia on the pharmacokinetics of nifedipine. </w:t>
      </w:r>
      <w:r>
        <w:rPr>
          <w:i/>
        </w:rPr>
        <w:t>Pharmaceutical Research</w:t>
      </w:r>
      <w:r>
        <w:rPr/>
        <w:t>, 16:309–313.</w:t>
      </w:r>
    </w:p>
    <w:p>
      <w:pPr>
        <w:pStyle w:val="BodyText"/>
        <w:spacing w:line="480" w:lineRule="auto"/>
        <w:ind w:left="1016" w:right="1134" w:hanging="720"/>
        <w:jc w:val="both"/>
      </w:pPr>
      <w:r>
        <w:rPr/>
        <w:t>Emara, E. and Abdel-Sater, K.A. (2011). Beneficial Effects of Calcium Channel Blocker “Nifedipine” on Abnormalities of Platelets and Lipid Metabolism in Patients with Type II Diabetes Mellitus. </w:t>
      </w:r>
      <w:r>
        <w:rPr>
          <w:i/>
        </w:rPr>
        <w:t>Journal of Diabetes and Metabolism </w:t>
      </w:r>
      <w:r>
        <w:rPr/>
        <w:t>2(5):131-137.</w:t>
      </w:r>
    </w:p>
    <w:p>
      <w:pPr>
        <w:pStyle w:val="BodyText"/>
        <w:spacing w:before="6"/>
      </w:pPr>
    </w:p>
    <w:p>
      <w:pPr>
        <w:pStyle w:val="BodyText"/>
        <w:spacing w:line="480" w:lineRule="auto"/>
        <w:ind w:left="1016" w:right="1136" w:hanging="720"/>
        <w:jc w:val="both"/>
      </w:pPr>
      <w:r>
        <w:rPr/>
        <w:t>Estacio,</w:t>
      </w:r>
      <w:r>
        <w:rPr>
          <w:spacing w:val="-3"/>
        </w:rPr>
        <w:t> </w:t>
      </w:r>
      <w:r>
        <w:rPr/>
        <w:t>R.O.,</w:t>
      </w:r>
      <w:r>
        <w:rPr>
          <w:spacing w:val="-3"/>
        </w:rPr>
        <w:t> </w:t>
      </w:r>
      <w:r>
        <w:rPr/>
        <w:t>Gifford,</w:t>
      </w:r>
      <w:r>
        <w:rPr>
          <w:spacing w:val="-3"/>
        </w:rPr>
        <w:t> </w:t>
      </w:r>
      <w:r>
        <w:rPr/>
        <w:t>N.,</w:t>
      </w:r>
      <w:r>
        <w:rPr>
          <w:spacing w:val="-3"/>
        </w:rPr>
        <w:t> </w:t>
      </w:r>
      <w:r>
        <w:rPr/>
        <w:t>Jeffers,</w:t>
      </w:r>
      <w:r>
        <w:rPr>
          <w:spacing w:val="-2"/>
        </w:rPr>
        <w:t> </w:t>
      </w:r>
      <w:r>
        <w:rPr/>
        <w:t>B.W.</w:t>
      </w:r>
      <w:r>
        <w:rPr>
          <w:spacing w:val="-3"/>
        </w:rPr>
        <w:t> </w:t>
      </w:r>
      <w:r>
        <w:rPr/>
        <w:t>and</w:t>
      </w:r>
      <w:r>
        <w:rPr>
          <w:spacing w:val="-3"/>
        </w:rPr>
        <w:t> </w:t>
      </w:r>
      <w:r>
        <w:rPr/>
        <w:t>Schrier,</w:t>
      </w:r>
      <w:r>
        <w:rPr>
          <w:spacing w:val="-3"/>
        </w:rPr>
        <w:t> </w:t>
      </w:r>
      <w:r>
        <w:rPr/>
        <w:t>R.W.</w:t>
      </w:r>
      <w:r>
        <w:rPr>
          <w:spacing w:val="-3"/>
        </w:rPr>
        <w:t> </w:t>
      </w:r>
      <w:r>
        <w:rPr/>
        <w:t>(2000).</w:t>
      </w:r>
      <w:r>
        <w:rPr>
          <w:spacing w:val="-3"/>
        </w:rPr>
        <w:t> </w:t>
      </w:r>
      <w:r>
        <w:rPr/>
        <w:t>Effect</w:t>
      </w:r>
      <w:r>
        <w:rPr>
          <w:spacing w:val="-3"/>
        </w:rPr>
        <w:t> </w:t>
      </w:r>
      <w:r>
        <w:rPr/>
        <w:t>of</w:t>
      </w:r>
      <w:r>
        <w:rPr>
          <w:spacing w:val="-3"/>
        </w:rPr>
        <w:t> </w:t>
      </w:r>
      <w:r>
        <w:rPr/>
        <w:t>blood</w:t>
      </w:r>
      <w:r>
        <w:rPr>
          <w:spacing w:val="-3"/>
        </w:rPr>
        <w:t> </w:t>
      </w:r>
      <w:r>
        <w:rPr/>
        <w:t>pressure control on diabetic microvascular complications in patients with hypertension and type 2 diabetes. </w:t>
      </w:r>
      <w:r>
        <w:rPr>
          <w:i/>
        </w:rPr>
        <w:t>Diabetes Care</w:t>
      </w:r>
      <w:r>
        <w:rPr/>
        <w:t>, 23: 54–64.</w:t>
      </w:r>
    </w:p>
    <w:p>
      <w:pPr>
        <w:pStyle w:val="BodyText"/>
        <w:spacing w:before="2"/>
      </w:pPr>
    </w:p>
    <w:p>
      <w:pPr>
        <w:pStyle w:val="BodyText"/>
        <w:spacing w:line="480" w:lineRule="auto"/>
        <w:ind w:left="1016" w:right="1133" w:hanging="720"/>
        <w:jc w:val="both"/>
      </w:pPr>
      <w:r>
        <w:rPr/>
        <w:t>Eurich, D.T., Majumdar, S.R., McAlister, F.A., Tsuyuki, R.T. and Johnson, J.A. (2005). Improved clinical outcomes associated with metformin in patients with diabetes</w:t>
      </w:r>
      <w:r>
        <w:rPr>
          <w:spacing w:val="40"/>
        </w:rPr>
        <w:t> </w:t>
      </w:r>
      <w:r>
        <w:rPr/>
        <w:t>and heart failure. </w:t>
      </w:r>
      <w:r>
        <w:rPr>
          <w:i/>
        </w:rPr>
        <w:t>Diabetes care</w:t>
      </w:r>
      <w:r>
        <w:rPr/>
        <w:t>, 28: 2345-2351.</w:t>
      </w:r>
    </w:p>
    <w:p>
      <w:pPr>
        <w:pStyle w:val="BodyText"/>
        <w:spacing w:before="1"/>
        <w:ind w:left="296"/>
        <w:jc w:val="both"/>
      </w:pPr>
      <w:r>
        <w:rPr/>
        <w:t>Evans,</w:t>
      </w:r>
      <w:r>
        <w:rPr>
          <w:spacing w:val="44"/>
        </w:rPr>
        <w:t> </w:t>
      </w:r>
      <w:r>
        <w:rPr/>
        <w:t>R.M.</w:t>
      </w:r>
      <w:r>
        <w:rPr>
          <w:spacing w:val="47"/>
        </w:rPr>
        <w:t> </w:t>
      </w:r>
      <w:r>
        <w:rPr/>
        <w:t>and</w:t>
      </w:r>
      <w:r>
        <w:rPr>
          <w:spacing w:val="46"/>
        </w:rPr>
        <w:t> </w:t>
      </w:r>
      <w:r>
        <w:rPr/>
        <w:t>Marain,</w:t>
      </w:r>
      <w:r>
        <w:rPr>
          <w:spacing w:val="47"/>
        </w:rPr>
        <w:t> </w:t>
      </w:r>
      <w:r>
        <w:rPr/>
        <w:t>C.</w:t>
      </w:r>
      <w:r>
        <w:rPr>
          <w:spacing w:val="46"/>
        </w:rPr>
        <w:t> </w:t>
      </w:r>
      <w:r>
        <w:rPr/>
        <w:t>(1996).</w:t>
      </w:r>
      <w:r>
        <w:rPr>
          <w:spacing w:val="45"/>
        </w:rPr>
        <w:t> </w:t>
      </w:r>
      <w:r>
        <w:rPr/>
        <w:t>Taking</w:t>
      </w:r>
      <w:r>
        <w:rPr>
          <w:spacing w:val="44"/>
        </w:rPr>
        <w:t> </w:t>
      </w:r>
      <w:r>
        <w:rPr/>
        <w:t>Your</w:t>
      </w:r>
      <w:r>
        <w:rPr>
          <w:spacing w:val="45"/>
        </w:rPr>
        <w:t> </w:t>
      </w:r>
      <w:r>
        <w:rPr/>
        <w:t>Medication:</w:t>
      </w:r>
      <w:r>
        <w:rPr>
          <w:spacing w:val="47"/>
        </w:rPr>
        <w:t> </w:t>
      </w:r>
      <w:r>
        <w:rPr/>
        <w:t>A</w:t>
      </w:r>
      <w:r>
        <w:rPr>
          <w:spacing w:val="46"/>
        </w:rPr>
        <w:t> </w:t>
      </w:r>
      <w:r>
        <w:rPr/>
        <w:t>Question</w:t>
      </w:r>
      <w:r>
        <w:rPr>
          <w:spacing w:val="46"/>
        </w:rPr>
        <w:t> </w:t>
      </w:r>
      <w:r>
        <w:rPr/>
        <w:t>of</w:t>
      </w:r>
      <w:r>
        <w:rPr>
          <w:spacing w:val="46"/>
        </w:rPr>
        <w:t> </w:t>
      </w:r>
      <w:r>
        <w:rPr>
          <w:spacing w:val="-2"/>
        </w:rPr>
        <w:t>Timing.</w:t>
      </w:r>
    </w:p>
    <w:p>
      <w:pPr>
        <w:pStyle w:val="BodyText"/>
      </w:pPr>
    </w:p>
    <w:p>
      <w:pPr>
        <w:spacing w:before="0"/>
        <w:ind w:left="1016" w:right="0" w:firstLine="0"/>
        <w:jc w:val="left"/>
        <w:rPr>
          <w:sz w:val="24"/>
        </w:rPr>
      </w:pPr>
      <w:r>
        <w:rPr>
          <w:i/>
          <w:sz w:val="24"/>
        </w:rPr>
        <w:t>American</w:t>
      </w:r>
      <w:r>
        <w:rPr>
          <w:i/>
          <w:spacing w:val="-2"/>
          <w:sz w:val="24"/>
        </w:rPr>
        <w:t> </w:t>
      </w:r>
      <w:r>
        <w:rPr>
          <w:i/>
          <w:sz w:val="24"/>
        </w:rPr>
        <w:t>Medical Association</w:t>
      </w:r>
      <w:r>
        <w:rPr>
          <w:sz w:val="24"/>
        </w:rPr>
        <w:t>, 2: 3-</w:t>
      </w:r>
      <w:r>
        <w:rPr>
          <w:spacing w:val="-5"/>
          <w:sz w:val="24"/>
        </w:rPr>
        <w:t>8.</w:t>
      </w:r>
    </w:p>
    <w:p>
      <w:pPr>
        <w:spacing w:after="0"/>
        <w:jc w:val="left"/>
        <w:rPr>
          <w:sz w:val="24"/>
        </w:rPr>
        <w:sectPr>
          <w:pgSz w:w="12240" w:h="15840"/>
          <w:pgMar w:header="0" w:footer="1015" w:top="1360" w:bottom="1200" w:left="1720" w:right="300"/>
        </w:sectPr>
      </w:pPr>
    </w:p>
    <w:p>
      <w:pPr>
        <w:pStyle w:val="BodyText"/>
        <w:spacing w:line="482" w:lineRule="auto" w:before="72"/>
        <w:ind w:left="1016" w:right="1136" w:hanging="720"/>
        <w:jc w:val="both"/>
      </w:pPr>
      <w:r>
        <w:rPr/>
        <w:t>Ewa, S.,</w:t>
      </w:r>
      <w:r>
        <w:rPr>
          <w:spacing w:val="-2"/>
        </w:rPr>
        <w:t> </w:t>
      </w:r>
      <w:r>
        <w:rPr/>
        <w:t>Zbigniew, M.,</w:t>
      </w:r>
      <w:r>
        <w:rPr>
          <w:spacing w:val="-1"/>
        </w:rPr>
        <w:t> </w:t>
      </w:r>
      <w:r>
        <w:rPr/>
        <w:t>Wioleta, D.</w:t>
      </w:r>
      <w:r>
        <w:rPr>
          <w:spacing w:val="-2"/>
        </w:rPr>
        <w:t> </w:t>
      </w:r>
      <w:r>
        <w:rPr/>
        <w:t>and</w:t>
      </w:r>
      <w:r>
        <w:rPr>
          <w:spacing w:val="-2"/>
        </w:rPr>
        <w:t> </w:t>
      </w:r>
      <w:r>
        <w:rPr/>
        <w:t>Maria, S.A. (2007). Review of the renal system</w:t>
      </w:r>
      <w:r>
        <w:rPr>
          <w:spacing w:val="40"/>
        </w:rPr>
        <w:t> </w:t>
      </w:r>
      <w:r>
        <w:rPr/>
        <w:t>and diurnal variations of</w:t>
      </w:r>
      <w:r>
        <w:rPr>
          <w:spacing w:val="-1"/>
        </w:rPr>
        <w:t> </w:t>
      </w:r>
      <w:r>
        <w:rPr/>
        <w:t>renal activity</w:t>
      </w:r>
      <w:r>
        <w:rPr>
          <w:spacing w:val="-6"/>
        </w:rPr>
        <w:t> </w:t>
      </w:r>
      <w:r>
        <w:rPr/>
        <w:t>in livestock. </w:t>
      </w:r>
      <w:r>
        <w:rPr>
          <w:i/>
        </w:rPr>
        <w:t>Irish Veterinary Journal</w:t>
      </w:r>
      <w:r>
        <w:rPr/>
        <w:t>, 60(3): </w:t>
      </w:r>
      <w:r>
        <w:rPr>
          <w:spacing w:val="-2"/>
        </w:rPr>
        <w:t>161–168.</w:t>
      </w:r>
    </w:p>
    <w:p>
      <w:pPr>
        <w:pStyle w:val="BodyText"/>
        <w:spacing w:before="191"/>
        <w:ind w:left="154" w:right="997"/>
        <w:jc w:val="center"/>
      </w:pPr>
      <w:r>
        <w:rPr/>
        <w:t>Fineberg,</w:t>
      </w:r>
      <w:r>
        <w:rPr>
          <w:spacing w:val="46"/>
        </w:rPr>
        <w:t> </w:t>
      </w:r>
      <w:r>
        <w:rPr/>
        <w:t>S.E.,</w:t>
      </w:r>
      <w:r>
        <w:rPr>
          <w:spacing w:val="48"/>
        </w:rPr>
        <w:t> </w:t>
      </w:r>
      <w:r>
        <w:rPr/>
        <w:t>Galloway,</w:t>
      </w:r>
      <w:r>
        <w:rPr>
          <w:spacing w:val="50"/>
        </w:rPr>
        <w:t> </w:t>
      </w:r>
      <w:r>
        <w:rPr/>
        <w:t>J.A.,</w:t>
      </w:r>
      <w:r>
        <w:rPr>
          <w:spacing w:val="49"/>
        </w:rPr>
        <w:t> </w:t>
      </w:r>
      <w:r>
        <w:rPr/>
        <w:t>Fineberg,</w:t>
      </w:r>
      <w:r>
        <w:rPr>
          <w:spacing w:val="51"/>
        </w:rPr>
        <w:t> </w:t>
      </w:r>
      <w:r>
        <w:rPr/>
        <w:t>N.S.,</w:t>
      </w:r>
      <w:r>
        <w:rPr>
          <w:spacing w:val="48"/>
        </w:rPr>
        <w:t> </w:t>
      </w:r>
      <w:r>
        <w:rPr/>
        <w:t>Rathbun,</w:t>
      </w:r>
      <w:r>
        <w:rPr>
          <w:spacing w:val="49"/>
        </w:rPr>
        <w:t> </w:t>
      </w:r>
      <w:r>
        <w:rPr/>
        <w:t>M.J.</w:t>
      </w:r>
      <w:r>
        <w:rPr>
          <w:spacing w:val="46"/>
        </w:rPr>
        <w:t> </w:t>
      </w:r>
      <w:r>
        <w:rPr/>
        <w:t>and</w:t>
      </w:r>
      <w:r>
        <w:rPr>
          <w:spacing w:val="48"/>
        </w:rPr>
        <w:t> </w:t>
      </w:r>
      <w:r>
        <w:rPr/>
        <w:t>Hufferd,</w:t>
      </w:r>
      <w:r>
        <w:rPr>
          <w:spacing w:val="48"/>
        </w:rPr>
        <w:t> </w:t>
      </w:r>
      <w:r>
        <w:rPr/>
        <w:t>S.</w:t>
      </w:r>
      <w:r>
        <w:rPr>
          <w:spacing w:val="49"/>
        </w:rPr>
        <w:t> </w:t>
      </w:r>
      <w:r>
        <w:rPr>
          <w:spacing w:val="-2"/>
        </w:rPr>
        <w:t>(1983).</w:t>
      </w:r>
    </w:p>
    <w:p>
      <w:pPr>
        <w:pStyle w:val="BodyText"/>
      </w:pPr>
    </w:p>
    <w:p>
      <w:pPr>
        <w:pStyle w:val="BodyText"/>
        <w:ind w:left="992" w:right="1802"/>
        <w:jc w:val="center"/>
      </w:pPr>
      <w:r>
        <w:rPr/>
        <w:t>Immunocity</w:t>
      </w:r>
      <w:r>
        <w:rPr>
          <w:spacing w:val="-8"/>
        </w:rPr>
        <w:t> </w:t>
      </w:r>
      <w:r>
        <w:rPr/>
        <w:t>of recombinant DNA</w:t>
      </w:r>
      <w:r>
        <w:rPr>
          <w:spacing w:val="-2"/>
        </w:rPr>
        <w:t> </w:t>
      </w:r>
      <w:r>
        <w:rPr/>
        <w:t>human insulin.</w:t>
      </w:r>
      <w:r>
        <w:rPr>
          <w:spacing w:val="3"/>
        </w:rPr>
        <w:t> </w:t>
      </w:r>
      <w:r>
        <w:rPr>
          <w:i/>
        </w:rPr>
        <w:t>Diabetologia</w:t>
      </w:r>
      <w:r>
        <w:rPr/>
        <w:t>, 25:465-</w:t>
      </w:r>
      <w:r>
        <w:rPr>
          <w:spacing w:val="-4"/>
        </w:rPr>
        <w:t>469.</w:t>
      </w:r>
    </w:p>
    <w:p>
      <w:pPr>
        <w:pStyle w:val="BodyText"/>
      </w:pPr>
    </w:p>
    <w:p>
      <w:pPr>
        <w:pStyle w:val="BodyText"/>
        <w:spacing w:line="480" w:lineRule="auto"/>
        <w:ind w:left="1016" w:right="1136" w:hanging="720"/>
        <w:jc w:val="both"/>
      </w:pPr>
      <w:r>
        <w:rPr/>
        <w:t>Fisman, E.Z., Tenenbaum, A., Benderly, M., Goldbourt, U., Behar, S. and Motro, M. (1999). Antihyperglycemic treatment in diabetics with coronary disease: increased metformin-associated mortality over a 5-year follow-up. </w:t>
      </w:r>
      <w:r>
        <w:rPr>
          <w:i/>
        </w:rPr>
        <w:t>Cardiology</w:t>
      </w:r>
      <w:r>
        <w:rPr/>
        <w:t>, 91:195-202.</w:t>
      </w:r>
    </w:p>
    <w:p>
      <w:pPr>
        <w:pStyle w:val="BodyText"/>
        <w:spacing w:line="480" w:lineRule="auto" w:before="1"/>
        <w:ind w:left="1016" w:right="1136" w:hanging="720"/>
        <w:jc w:val="both"/>
      </w:pPr>
      <w:r>
        <w:rPr/>
        <w:t>Foster,</w:t>
      </w:r>
      <w:r>
        <w:rPr>
          <w:spacing w:val="-2"/>
        </w:rPr>
        <w:t> </w:t>
      </w:r>
      <w:r>
        <w:rPr/>
        <w:t>D.</w:t>
      </w:r>
      <w:r>
        <w:rPr>
          <w:spacing w:val="-4"/>
        </w:rPr>
        <w:t> </w:t>
      </w:r>
      <w:r>
        <w:rPr/>
        <w:t>W.,</w:t>
      </w:r>
      <w:r>
        <w:rPr>
          <w:spacing w:val="-4"/>
        </w:rPr>
        <w:t> </w:t>
      </w:r>
      <w:r>
        <w:rPr/>
        <w:t>(1998).</w:t>
      </w:r>
      <w:r>
        <w:rPr>
          <w:spacing w:val="-3"/>
        </w:rPr>
        <w:t> </w:t>
      </w:r>
      <w:r>
        <w:rPr/>
        <w:t>Diabetes</w:t>
      </w:r>
      <w:r>
        <w:rPr>
          <w:spacing w:val="-4"/>
        </w:rPr>
        <w:t> </w:t>
      </w:r>
      <w:r>
        <w:rPr/>
        <w:t>Mellitus,</w:t>
      </w:r>
      <w:r>
        <w:rPr>
          <w:spacing w:val="-2"/>
        </w:rPr>
        <w:t> </w:t>
      </w:r>
      <w:r>
        <w:rPr/>
        <w:t>In</w:t>
      </w:r>
      <w:r>
        <w:rPr>
          <w:spacing w:val="-2"/>
        </w:rPr>
        <w:t> </w:t>
      </w:r>
      <w:r>
        <w:rPr/>
        <w:t>Harrison's</w:t>
      </w:r>
      <w:r>
        <w:rPr>
          <w:spacing w:val="-4"/>
        </w:rPr>
        <w:t> </w:t>
      </w:r>
      <w:r>
        <w:rPr/>
        <w:t>Principles</w:t>
      </w:r>
      <w:r>
        <w:rPr>
          <w:spacing w:val="-2"/>
        </w:rPr>
        <w:t> </w:t>
      </w:r>
      <w:r>
        <w:rPr/>
        <w:t>of</w:t>
      </w:r>
      <w:r>
        <w:rPr>
          <w:spacing w:val="-1"/>
        </w:rPr>
        <w:t> </w:t>
      </w:r>
      <w:r>
        <w:rPr/>
        <w:t>Internal</w:t>
      </w:r>
      <w:r>
        <w:rPr>
          <w:spacing w:val="-4"/>
        </w:rPr>
        <w:t> </w:t>
      </w:r>
      <w:r>
        <w:rPr/>
        <w:t>Medicine</w:t>
      </w:r>
      <w:r>
        <w:rPr>
          <w:spacing w:val="-5"/>
        </w:rPr>
        <w:t> </w:t>
      </w:r>
      <w:r>
        <w:rPr/>
        <w:t>14th edition, (Isselbacher, K.J., Braunwald, E., Wilson, J.D., Martin, J.B., Fauci, A.S. and Kasper, D.L., editors) McGraw-Hill, Inc (Health Professions Division), 2060- </w:t>
      </w:r>
      <w:r>
        <w:rPr>
          <w:spacing w:val="-2"/>
        </w:rPr>
        <w:t>2080.</w:t>
      </w:r>
    </w:p>
    <w:p>
      <w:pPr>
        <w:pStyle w:val="BodyText"/>
        <w:spacing w:before="1"/>
        <w:ind w:left="296"/>
        <w:jc w:val="both"/>
      </w:pPr>
      <w:r>
        <w:rPr/>
        <w:t>Francis, L.</w:t>
      </w:r>
      <w:r>
        <w:rPr>
          <w:spacing w:val="-1"/>
        </w:rPr>
        <w:t> </w:t>
      </w:r>
      <w:r>
        <w:rPr/>
        <w:t>Ueli, S.</w:t>
      </w:r>
      <w:r>
        <w:rPr>
          <w:spacing w:val="-1"/>
        </w:rPr>
        <w:t> </w:t>
      </w:r>
      <w:r>
        <w:rPr/>
        <w:t>(2007).</w:t>
      </w:r>
      <w:r>
        <w:rPr>
          <w:spacing w:val="-1"/>
        </w:rPr>
        <w:t> </w:t>
      </w:r>
      <w:r>
        <w:rPr/>
        <w:t>Circadian</w:t>
      </w:r>
      <w:r>
        <w:rPr>
          <w:spacing w:val="-1"/>
        </w:rPr>
        <w:t> </w:t>
      </w:r>
      <w:r>
        <w:rPr/>
        <w:t>Rhythms:</w:t>
      </w:r>
      <w:r>
        <w:rPr>
          <w:spacing w:val="-1"/>
        </w:rPr>
        <w:t> </w:t>
      </w:r>
      <w:r>
        <w:rPr/>
        <w:t>Mechanisms and</w:t>
      </w:r>
      <w:r>
        <w:rPr>
          <w:spacing w:val="-1"/>
        </w:rPr>
        <w:t> </w:t>
      </w:r>
      <w:r>
        <w:rPr/>
        <w:t>Therapeutic</w:t>
      </w:r>
      <w:r>
        <w:rPr>
          <w:spacing w:val="1"/>
        </w:rPr>
        <w:t> </w:t>
      </w:r>
      <w:r>
        <w:rPr>
          <w:spacing w:val="-2"/>
        </w:rPr>
        <w:t>Implications.</w:t>
      </w:r>
    </w:p>
    <w:p>
      <w:pPr>
        <w:spacing w:before="276"/>
        <w:ind w:left="1016" w:right="0" w:firstLine="0"/>
        <w:jc w:val="left"/>
        <w:rPr>
          <w:sz w:val="24"/>
        </w:rPr>
      </w:pPr>
      <w:r>
        <w:rPr>
          <w:i/>
          <w:sz w:val="24"/>
        </w:rPr>
        <w:t>Annual</w:t>
      </w:r>
      <w:r>
        <w:rPr>
          <w:i/>
          <w:spacing w:val="-1"/>
          <w:sz w:val="24"/>
        </w:rPr>
        <w:t> </w:t>
      </w:r>
      <w:r>
        <w:rPr>
          <w:i/>
          <w:sz w:val="24"/>
        </w:rPr>
        <w:t>Review of</w:t>
      </w:r>
      <w:r>
        <w:rPr>
          <w:i/>
          <w:spacing w:val="-1"/>
          <w:sz w:val="24"/>
        </w:rPr>
        <w:t> </w:t>
      </w:r>
      <w:r>
        <w:rPr>
          <w:i/>
          <w:sz w:val="24"/>
        </w:rPr>
        <w:t>Pharmacology and</w:t>
      </w:r>
      <w:r>
        <w:rPr>
          <w:i/>
          <w:spacing w:val="-1"/>
          <w:sz w:val="24"/>
        </w:rPr>
        <w:t> </w:t>
      </w:r>
      <w:r>
        <w:rPr>
          <w:i/>
          <w:sz w:val="24"/>
        </w:rPr>
        <w:t>Toxicology</w:t>
      </w:r>
      <w:r>
        <w:rPr>
          <w:sz w:val="24"/>
        </w:rPr>
        <w:t>,</w:t>
      </w:r>
      <w:r>
        <w:rPr>
          <w:spacing w:val="2"/>
          <w:sz w:val="24"/>
        </w:rPr>
        <w:t> </w:t>
      </w:r>
      <w:r>
        <w:rPr>
          <w:sz w:val="24"/>
        </w:rPr>
        <w:t>47: 593-</w:t>
      </w:r>
      <w:r>
        <w:rPr>
          <w:spacing w:val="-4"/>
          <w:sz w:val="24"/>
        </w:rPr>
        <w:t>628.</w:t>
      </w:r>
    </w:p>
    <w:p>
      <w:pPr>
        <w:pStyle w:val="BodyText"/>
        <w:spacing w:line="480" w:lineRule="auto" w:before="276"/>
        <w:ind w:left="1016" w:right="1137" w:hanging="720"/>
        <w:jc w:val="both"/>
      </w:pPr>
      <w:r>
        <w:rPr/>
        <w:t>Freedman, B.I., Parekh, R.S. and Kao, L. (2010). Genetic basis of non-diabetic end-stage renal disease. </w:t>
      </w:r>
      <w:r>
        <w:rPr>
          <w:i/>
        </w:rPr>
        <w:t>Seminars in Nephrology </w:t>
      </w:r>
      <w:r>
        <w:rPr/>
        <w:t>30(2): 101–110.</w:t>
      </w:r>
    </w:p>
    <w:p>
      <w:pPr>
        <w:pStyle w:val="BodyText"/>
        <w:spacing w:line="480" w:lineRule="auto"/>
        <w:ind w:left="1016" w:right="1132" w:hanging="720"/>
        <w:jc w:val="both"/>
      </w:pPr>
      <w:r>
        <w:rPr/>
        <w:t>Friedman, E.A. Banerji, M.A. (2011). Chronobiology Impacts Response to Antihypertensive Drug Regimen in Type 2 Diabetes. </w:t>
      </w:r>
      <w:r>
        <w:rPr>
          <w:i/>
        </w:rPr>
        <w:t>Diabetes Care</w:t>
      </w:r>
      <w:r>
        <w:rPr/>
        <w:t>, 34: 1438- </w:t>
      </w:r>
      <w:r>
        <w:rPr>
          <w:spacing w:val="-2"/>
        </w:rPr>
        <w:t>1439.</w:t>
      </w:r>
    </w:p>
    <w:p>
      <w:pPr>
        <w:pStyle w:val="BodyText"/>
        <w:spacing w:line="480" w:lineRule="auto"/>
        <w:ind w:left="1016" w:right="1135" w:hanging="720"/>
        <w:jc w:val="both"/>
      </w:pPr>
      <w:r>
        <w:rPr/>
        <w:t>Fuhlendorff, J., Rorsman, P., Kofod, H., Brand, C.L., Rolin, B. and MacKay, P. (1998). Stimulation of insulin release by repaglinide and glibenclamide involves both common and distinct processes. </w:t>
      </w:r>
      <w:r>
        <w:rPr>
          <w:i/>
        </w:rPr>
        <w:t>Diabetes</w:t>
      </w:r>
      <w:r>
        <w:rPr/>
        <w:t>, 47:345-351.</w:t>
      </w:r>
    </w:p>
    <w:p>
      <w:pPr>
        <w:spacing w:after="0" w:line="480" w:lineRule="auto"/>
        <w:jc w:val="both"/>
        <w:sectPr>
          <w:pgSz w:w="12240" w:h="15840"/>
          <w:pgMar w:header="0" w:footer="1015" w:top="1360" w:bottom="1200" w:left="1720" w:right="300"/>
        </w:sectPr>
      </w:pPr>
    </w:p>
    <w:p>
      <w:pPr>
        <w:pStyle w:val="BodyText"/>
        <w:spacing w:line="480" w:lineRule="auto" w:before="72"/>
        <w:ind w:left="1016" w:right="1136" w:hanging="720"/>
        <w:jc w:val="both"/>
      </w:pPr>
      <w:r>
        <w:rPr/>
        <w:t>Gabra, B. H and Sirois, P. (2003). Beneficial effect of chronic treatment with the selective bradykinin B1 receptor antagonists R-715 and R-954 in attenuating streptozotocin diabetic thermal hyperalgesia in mice. </w:t>
      </w:r>
      <w:r>
        <w:rPr>
          <w:i/>
        </w:rPr>
        <w:t>Peptides</w:t>
      </w:r>
      <w:r>
        <w:rPr/>
        <w:t>, 24: 1131- 1139</w:t>
      </w:r>
    </w:p>
    <w:p>
      <w:pPr>
        <w:pStyle w:val="BodyText"/>
        <w:spacing w:line="480" w:lineRule="auto"/>
        <w:ind w:left="1016" w:right="1136" w:hanging="720"/>
        <w:jc w:val="both"/>
      </w:pPr>
      <w:r>
        <w:rPr/>
        <w:t>Gillian M.S. (2001). Drug interactions with oral hypoglycaemic drugs. </w:t>
      </w:r>
      <w:r>
        <w:rPr>
          <w:i/>
        </w:rPr>
        <w:t>Australian Prescriber</w:t>
      </w:r>
      <w:r>
        <w:rPr/>
        <w:t>, 24 (4): 83-85.</w:t>
      </w:r>
    </w:p>
    <w:p>
      <w:pPr>
        <w:pStyle w:val="BodyText"/>
        <w:spacing w:line="482" w:lineRule="auto"/>
        <w:ind w:left="1016" w:right="1139" w:hanging="720"/>
        <w:jc w:val="both"/>
      </w:pPr>
      <w:r>
        <w:rPr/>
        <w:t>Goo, R.H., Moore, J.G., Greenberg, E. and Alazraki, N.P. (1987). Circadian variation in gastric emptying of meals in humans. </w:t>
      </w:r>
      <w:r>
        <w:rPr>
          <w:i/>
        </w:rPr>
        <w:t>Gastroenterology</w:t>
      </w:r>
      <w:r>
        <w:rPr/>
        <w:t>, 93: 515-518.</w:t>
      </w:r>
    </w:p>
    <w:p>
      <w:pPr>
        <w:pStyle w:val="BodyText"/>
        <w:spacing w:line="480" w:lineRule="auto" w:before="195"/>
        <w:ind w:left="1016" w:right="1139" w:hanging="720"/>
        <w:jc w:val="both"/>
      </w:pPr>
      <w:r>
        <w:rPr/>
        <w:t>Greene, D.A., Sima, A.A.F., Feldman, E.L. and Stevens, M.J. (1997). “Ellenberg and Rifkin diabetic neuropathy,” In </w:t>
      </w:r>
      <w:r>
        <w:rPr>
          <w:i/>
        </w:rPr>
        <w:t>Diabetes Mellitus</w:t>
      </w:r>
      <w:r>
        <w:rPr/>
        <w:t>, H. Rifkin, D. Porte, and R. Sherwin, Editors., Appleton and Lange, Stanford, Califonia, USA 1009-1076.</w:t>
      </w:r>
    </w:p>
    <w:p>
      <w:pPr>
        <w:pStyle w:val="BodyText"/>
        <w:spacing w:line="480" w:lineRule="auto"/>
        <w:ind w:left="1016" w:right="1133" w:hanging="720"/>
        <w:jc w:val="both"/>
      </w:pPr>
      <w:r>
        <w:rPr/>
        <w:t>Grosso, A., Cheung, N., Veglio, F., Wong, T.Y. (2011). Similarities and differences in early</w:t>
      </w:r>
      <w:r>
        <w:rPr>
          <w:spacing w:val="-1"/>
        </w:rPr>
        <w:t> </w:t>
      </w:r>
      <w:r>
        <w:rPr/>
        <w:t>retinal phenotypes in hypertension and diabetes. </w:t>
      </w:r>
      <w:r>
        <w:rPr>
          <w:i/>
        </w:rPr>
        <w:t>Journal of Hypertension</w:t>
      </w:r>
      <w:r>
        <w:rPr/>
        <w:t>, 29, </w:t>
      </w:r>
      <w:r>
        <w:rPr>
          <w:spacing w:val="-2"/>
        </w:rPr>
        <w:t>1667–1675.</w:t>
      </w:r>
    </w:p>
    <w:p>
      <w:pPr>
        <w:pStyle w:val="BodyText"/>
        <w:spacing w:line="480" w:lineRule="auto"/>
        <w:ind w:left="1016" w:right="1133" w:hanging="720"/>
        <w:jc w:val="both"/>
      </w:pPr>
      <w:r>
        <w:rPr/>
        <w:t>Halberg, F.,Cornelissem, G. and Katinas, G. (2003). Transdisciplinary unifying implications</w:t>
      </w:r>
      <w:r>
        <w:rPr>
          <w:spacing w:val="27"/>
        </w:rPr>
        <w:t> </w:t>
      </w:r>
      <w:r>
        <w:rPr/>
        <w:t>of</w:t>
      </w:r>
      <w:r>
        <w:rPr>
          <w:spacing w:val="27"/>
        </w:rPr>
        <w:t> </w:t>
      </w:r>
      <w:r>
        <w:rPr/>
        <w:t>circadian</w:t>
      </w:r>
      <w:r>
        <w:rPr>
          <w:spacing w:val="30"/>
        </w:rPr>
        <w:t> </w:t>
      </w:r>
      <w:r>
        <w:rPr/>
        <w:t>findings</w:t>
      </w:r>
      <w:r>
        <w:rPr>
          <w:spacing w:val="28"/>
        </w:rPr>
        <w:t> </w:t>
      </w:r>
      <w:r>
        <w:rPr/>
        <w:t>in</w:t>
      </w:r>
      <w:r>
        <w:rPr>
          <w:spacing w:val="31"/>
        </w:rPr>
        <w:t> </w:t>
      </w:r>
      <w:r>
        <w:rPr/>
        <w:t>the</w:t>
      </w:r>
      <w:r>
        <w:rPr>
          <w:spacing w:val="27"/>
        </w:rPr>
        <w:t> </w:t>
      </w:r>
      <w:r>
        <w:rPr/>
        <w:t>1950s.</w:t>
      </w:r>
      <w:r>
        <w:rPr>
          <w:spacing w:val="33"/>
        </w:rPr>
        <w:t> </w:t>
      </w:r>
      <w:r>
        <w:rPr>
          <w:i/>
        </w:rPr>
        <w:t>Journal</w:t>
      </w:r>
      <w:r>
        <w:rPr>
          <w:i/>
          <w:spacing w:val="29"/>
        </w:rPr>
        <w:t> </w:t>
      </w:r>
      <w:r>
        <w:rPr>
          <w:i/>
        </w:rPr>
        <w:t>of</w:t>
      </w:r>
      <w:r>
        <w:rPr>
          <w:i/>
          <w:spacing w:val="29"/>
        </w:rPr>
        <w:t> </w:t>
      </w:r>
      <w:r>
        <w:rPr>
          <w:i/>
        </w:rPr>
        <w:t>Circadian</w:t>
      </w:r>
      <w:r>
        <w:rPr>
          <w:i/>
          <w:spacing w:val="28"/>
        </w:rPr>
        <w:t> </w:t>
      </w:r>
      <w:r>
        <w:rPr>
          <w:i/>
        </w:rPr>
        <w:t>Rhythms</w:t>
      </w:r>
      <w:r>
        <w:rPr/>
        <w:t>,</w:t>
      </w:r>
      <w:r>
        <w:rPr>
          <w:spacing w:val="28"/>
        </w:rPr>
        <w:t> </w:t>
      </w:r>
      <w:r>
        <w:rPr>
          <w:spacing w:val="-10"/>
        </w:rPr>
        <w:t>1</w:t>
      </w:r>
    </w:p>
    <w:p>
      <w:pPr>
        <w:pStyle w:val="BodyText"/>
        <w:spacing w:before="3"/>
        <w:ind w:left="1016"/>
        <w:jc w:val="both"/>
      </w:pPr>
      <w:r>
        <w:rPr/>
        <w:t>(1):</w:t>
      </w:r>
      <w:r>
        <w:rPr>
          <w:spacing w:val="-3"/>
        </w:rPr>
        <w:t> </w:t>
      </w:r>
      <w:r>
        <w:rPr/>
        <w:t>1740-</w:t>
      </w:r>
      <w:r>
        <w:rPr>
          <w:spacing w:val="-2"/>
        </w:rPr>
        <w:t>1742.</w:t>
      </w:r>
    </w:p>
    <w:p>
      <w:pPr>
        <w:pStyle w:val="BodyText"/>
        <w:spacing w:before="196"/>
      </w:pPr>
    </w:p>
    <w:p>
      <w:pPr>
        <w:spacing w:line="480" w:lineRule="auto" w:before="1"/>
        <w:ind w:left="1016" w:right="1137" w:hanging="720"/>
        <w:jc w:val="both"/>
        <w:rPr>
          <w:sz w:val="24"/>
        </w:rPr>
      </w:pPr>
      <w:r>
        <w:rPr>
          <w:sz w:val="24"/>
        </w:rPr>
        <w:t>Halim E.M. and Ali H. (2002). Reversal of diabetic retinopathy in streptozotocin induced diabetic</w:t>
      </w:r>
      <w:r>
        <w:rPr>
          <w:spacing w:val="-3"/>
          <w:sz w:val="24"/>
        </w:rPr>
        <w:t> </w:t>
      </w:r>
      <w:r>
        <w:rPr>
          <w:sz w:val="24"/>
        </w:rPr>
        <w:t>rats</w:t>
      </w:r>
      <w:r>
        <w:rPr>
          <w:spacing w:val="-2"/>
          <w:sz w:val="24"/>
        </w:rPr>
        <w:t> </w:t>
      </w:r>
      <w:r>
        <w:rPr>
          <w:sz w:val="24"/>
        </w:rPr>
        <w:t>using Indian</w:t>
      </w:r>
      <w:r>
        <w:rPr>
          <w:spacing w:val="-1"/>
          <w:sz w:val="24"/>
        </w:rPr>
        <w:t> </w:t>
      </w:r>
      <w:r>
        <w:rPr>
          <w:sz w:val="24"/>
        </w:rPr>
        <w:t>anti-diabetic</w:t>
      </w:r>
      <w:r>
        <w:rPr>
          <w:spacing w:val="-1"/>
          <w:sz w:val="24"/>
        </w:rPr>
        <w:t> </w:t>
      </w:r>
      <w:r>
        <w:rPr>
          <w:sz w:val="24"/>
        </w:rPr>
        <w:t>plant</w:t>
      </w:r>
      <w:r>
        <w:rPr>
          <w:spacing w:val="-1"/>
          <w:sz w:val="24"/>
        </w:rPr>
        <w:t> </w:t>
      </w:r>
      <w:r>
        <w:rPr>
          <w:i/>
          <w:sz w:val="24"/>
        </w:rPr>
        <w:t>Azadirachta</w:t>
      </w:r>
      <w:r>
        <w:rPr>
          <w:i/>
          <w:spacing w:val="-3"/>
          <w:sz w:val="24"/>
        </w:rPr>
        <w:t> </w:t>
      </w:r>
      <w:r>
        <w:rPr>
          <w:i/>
          <w:sz w:val="24"/>
        </w:rPr>
        <w:t>indica</w:t>
      </w:r>
      <w:r>
        <w:rPr>
          <w:i/>
          <w:spacing w:val="-1"/>
          <w:sz w:val="24"/>
        </w:rPr>
        <w:t> </w:t>
      </w:r>
      <w:r>
        <w:rPr>
          <w:sz w:val="24"/>
        </w:rPr>
        <w:t>(L). </w:t>
      </w:r>
      <w:r>
        <w:rPr>
          <w:i/>
          <w:sz w:val="24"/>
        </w:rPr>
        <w:t>Indian Journal of Clinical Biochemistry</w:t>
      </w:r>
      <w:r>
        <w:rPr>
          <w:sz w:val="24"/>
        </w:rPr>
        <w:t>, 17(2) 115-123.</w:t>
      </w:r>
    </w:p>
    <w:p>
      <w:pPr>
        <w:pStyle w:val="BodyText"/>
        <w:spacing w:line="480" w:lineRule="auto"/>
        <w:ind w:left="1016" w:right="1143" w:hanging="720"/>
        <w:jc w:val="both"/>
      </w:pPr>
      <w:r>
        <w:rPr/>
        <w:t>Hermida, R.C., Ayala D.E., Mojon, A. and Fernandez, J.R. (2008). Chronotherapy with nifedipine GITS in hypertensive patients: improved efficacy and safety with bedtime dosing. </w:t>
      </w:r>
      <w:r>
        <w:rPr>
          <w:i/>
        </w:rPr>
        <w:t>American Journal Hypertension</w:t>
      </w:r>
      <w:r>
        <w:rPr/>
        <w:t>, 21:948-54.</w:t>
      </w:r>
    </w:p>
    <w:p>
      <w:pPr>
        <w:spacing w:after="0" w:line="480" w:lineRule="auto"/>
        <w:jc w:val="both"/>
        <w:sectPr>
          <w:pgSz w:w="12240" w:h="15840"/>
          <w:pgMar w:header="0" w:footer="1015" w:top="1360" w:bottom="1200" w:left="1720" w:right="300"/>
        </w:sectPr>
      </w:pPr>
    </w:p>
    <w:p>
      <w:pPr>
        <w:pStyle w:val="BodyText"/>
        <w:spacing w:line="480" w:lineRule="auto" w:before="72"/>
        <w:ind w:left="1016" w:right="1135" w:hanging="720"/>
        <w:jc w:val="both"/>
      </w:pPr>
      <w:r>
        <w:rPr/>
        <w:t>Hermida, R.C., Ayala, D.E.,</w:t>
      </w:r>
      <w:r>
        <w:rPr>
          <w:spacing w:val="-1"/>
        </w:rPr>
        <w:t> </w:t>
      </w:r>
      <w:r>
        <w:rPr/>
        <w:t>Mojón, A.</w:t>
      </w:r>
      <w:r>
        <w:rPr>
          <w:spacing w:val="-1"/>
        </w:rPr>
        <w:t> </w:t>
      </w:r>
      <w:r>
        <w:rPr/>
        <w:t>and Fernádez, J.R. (2011). Influence</w:t>
      </w:r>
      <w:r>
        <w:rPr>
          <w:spacing w:val="-1"/>
        </w:rPr>
        <w:t> </w:t>
      </w:r>
      <w:r>
        <w:rPr/>
        <w:t>of</w:t>
      </w:r>
      <w:r>
        <w:rPr>
          <w:spacing w:val="-1"/>
        </w:rPr>
        <w:t> </w:t>
      </w:r>
      <w:r>
        <w:rPr/>
        <w:t>time</w:t>
      </w:r>
      <w:r>
        <w:rPr>
          <w:spacing w:val="-1"/>
        </w:rPr>
        <w:t> </w:t>
      </w:r>
      <w:r>
        <w:rPr/>
        <w:t>of</w:t>
      </w:r>
      <w:r>
        <w:rPr>
          <w:spacing w:val="-1"/>
        </w:rPr>
        <w:t> </w:t>
      </w:r>
      <w:r>
        <w:rPr/>
        <w:t>day of blood pressure–lowering treatment on cardiovascular risk in hypertensive patients with type 2 diabetes. </w:t>
      </w:r>
      <w:r>
        <w:rPr>
          <w:i/>
        </w:rPr>
        <w:t>Diabetes Care</w:t>
      </w:r>
      <w:r>
        <w:rPr/>
        <w:t>, 34:1270–1276.</w:t>
      </w:r>
    </w:p>
    <w:p>
      <w:pPr>
        <w:pStyle w:val="BodyText"/>
        <w:spacing w:line="480" w:lineRule="auto"/>
        <w:ind w:left="1016" w:right="1138" w:hanging="720"/>
        <w:jc w:val="both"/>
      </w:pPr>
      <w:r>
        <w:rPr/>
        <w:t>Hermida,</w:t>
      </w:r>
      <w:r>
        <w:rPr>
          <w:spacing w:val="-1"/>
        </w:rPr>
        <w:t> </w:t>
      </w:r>
      <w:r>
        <w:rPr/>
        <w:t>R.C.,</w:t>
      </w:r>
      <w:r>
        <w:rPr>
          <w:spacing w:val="-1"/>
        </w:rPr>
        <w:t> </w:t>
      </w:r>
      <w:r>
        <w:rPr/>
        <w:t>Calvo, C.,</w:t>
      </w:r>
      <w:r>
        <w:rPr>
          <w:spacing w:val="-1"/>
        </w:rPr>
        <w:t> </w:t>
      </w:r>
      <w:r>
        <w:rPr/>
        <w:t>Ayala, D.E., Lopez,</w:t>
      </w:r>
      <w:r>
        <w:rPr>
          <w:spacing w:val="-1"/>
        </w:rPr>
        <w:t> </w:t>
      </w:r>
      <w:r>
        <w:rPr/>
        <w:t>J.E.,</w:t>
      </w:r>
      <w:r>
        <w:rPr>
          <w:spacing w:val="-2"/>
        </w:rPr>
        <w:t> </w:t>
      </w:r>
      <w:r>
        <w:rPr/>
        <w:t>Rodroguez,</w:t>
      </w:r>
      <w:r>
        <w:rPr>
          <w:spacing w:val="-1"/>
        </w:rPr>
        <w:t> </w:t>
      </w:r>
      <w:r>
        <w:rPr/>
        <w:t>M. and</w:t>
      </w:r>
      <w:r>
        <w:rPr>
          <w:spacing w:val="-1"/>
        </w:rPr>
        <w:t> </w:t>
      </w:r>
      <w:r>
        <w:rPr/>
        <w:t>Chayan, L. (2007). Dose-and administration time-dependent effects of nifedipine gits on ambulatory blood pressure in hypertensive subjects. </w:t>
      </w:r>
      <w:r>
        <w:rPr>
          <w:i/>
        </w:rPr>
        <w:t>Chronobiology International</w:t>
      </w:r>
      <w:r>
        <w:rPr/>
        <w:t>, 24:471-93.</w:t>
      </w:r>
    </w:p>
    <w:p>
      <w:pPr>
        <w:spacing w:line="480" w:lineRule="auto" w:before="0"/>
        <w:ind w:left="1016" w:right="1141" w:hanging="720"/>
        <w:jc w:val="both"/>
        <w:rPr>
          <w:sz w:val="24"/>
        </w:rPr>
      </w:pPr>
      <w:r>
        <w:rPr>
          <w:sz w:val="24"/>
        </w:rPr>
        <w:t>Holt, R.I.</w:t>
      </w:r>
      <w:r>
        <w:rPr>
          <w:spacing w:val="40"/>
          <w:sz w:val="24"/>
        </w:rPr>
        <w:t> </w:t>
      </w:r>
      <w:r>
        <w:rPr>
          <w:sz w:val="24"/>
        </w:rPr>
        <w:t>(2004). Diagnosis, epidemiology and pathogenesis of diabetes mellitus: an update for psychiatrists. </w:t>
      </w:r>
      <w:r>
        <w:rPr>
          <w:i/>
          <w:sz w:val="24"/>
        </w:rPr>
        <w:t>British Journal of Psychiatry Supplement, </w:t>
      </w:r>
      <w:r>
        <w:rPr>
          <w:sz w:val="24"/>
        </w:rPr>
        <w:t>47: 55-63.</w:t>
      </w:r>
    </w:p>
    <w:p>
      <w:pPr>
        <w:pStyle w:val="BodyText"/>
        <w:spacing w:line="480" w:lineRule="auto" w:before="1"/>
        <w:ind w:left="1016" w:right="1137" w:hanging="720"/>
        <w:jc w:val="both"/>
      </w:pPr>
      <w:r>
        <w:rPr/>
        <w:t>Honda, K., Koguchi, M., Koga, K., Nakajima, K., Kobayashi, F. and Migita, K. (2007). Contribution of Ca 2+ dependent protein kinase C in the spinal cord to the development of mechanical allodynia in diabetic mice. </w:t>
      </w:r>
      <w:r>
        <w:rPr>
          <w:i/>
        </w:rPr>
        <w:t>Biological Pharmacology</w:t>
      </w:r>
      <w:r>
        <w:rPr/>
        <w:t>, 30: 990- 993.</w:t>
      </w:r>
    </w:p>
    <w:p>
      <w:pPr>
        <w:pStyle w:val="BodyText"/>
        <w:spacing w:line="480" w:lineRule="auto"/>
        <w:ind w:left="1016" w:right="1142" w:hanging="720"/>
        <w:jc w:val="both"/>
      </w:pPr>
      <w:r>
        <w:rPr/>
        <w:t>Howard, B.V., Rodriguez, B.L. and Bennet, P.H. (2002). Prevention Conference VI: Diabetes and Cardiovascular Disease: Writing group I: </w:t>
      </w:r>
      <w:r>
        <w:rPr>
          <w:i/>
        </w:rPr>
        <w:t>Epidemiology</w:t>
      </w:r>
      <w:r>
        <w:rPr/>
        <w:t>, 105: 132-7.</w:t>
      </w:r>
    </w:p>
    <w:p>
      <w:pPr>
        <w:spacing w:line="480" w:lineRule="auto" w:before="1"/>
        <w:ind w:left="1016" w:right="1134" w:hanging="720"/>
        <w:jc w:val="both"/>
        <w:rPr>
          <w:sz w:val="24"/>
        </w:rPr>
      </w:pPr>
      <w:r>
        <w:rPr>
          <w:sz w:val="24"/>
        </w:rPr>
        <w:t>Hu, S., Wang, S. and Dunning, B.E. (2001). Glucose-dependent and glucose-sensitizing insulinotropic effect of nateglinide: Comparison to sulfonylureas and repaglinide. </w:t>
      </w:r>
      <w:r>
        <w:rPr>
          <w:i/>
          <w:sz w:val="24"/>
        </w:rPr>
        <w:t>International Journal of Experimental Diabetes and Research</w:t>
      </w:r>
      <w:r>
        <w:rPr>
          <w:sz w:val="24"/>
        </w:rPr>
        <w:t>, 2:63-72.</w:t>
      </w:r>
    </w:p>
    <w:p>
      <w:pPr>
        <w:spacing w:line="480" w:lineRule="auto" w:before="0"/>
        <w:ind w:left="1016" w:right="1137" w:hanging="720"/>
        <w:jc w:val="both"/>
        <w:rPr>
          <w:sz w:val="24"/>
        </w:rPr>
      </w:pPr>
      <w:r>
        <w:rPr>
          <w:sz w:val="24"/>
        </w:rPr>
        <w:t>Hussain, H.E.M.A., Jamil, K. and Mala, R. (2001). Hypoglycemic, hypolipidemic and antioxidant properties of Tulsi (</w:t>
      </w:r>
      <w:r>
        <w:rPr>
          <w:i/>
          <w:sz w:val="24"/>
        </w:rPr>
        <w:t>Ocimum sanctum </w:t>
      </w:r>
      <w:r>
        <w:rPr>
          <w:sz w:val="24"/>
        </w:rPr>
        <w:t>Linn) on streptozotocin induced diabetes rats. </w:t>
      </w:r>
      <w:r>
        <w:rPr>
          <w:i/>
          <w:sz w:val="24"/>
        </w:rPr>
        <w:t>Indian Journal Clinical Biochemistry</w:t>
      </w:r>
      <w:r>
        <w:rPr>
          <w:sz w:val="24"/>
        </w:rPr>
        <w:t>, 16 (2), 190-194.</w:t>
      </w:r>
    </w:p>
    <w:p>
      <w:pPr>
        <w:pStyle w:val="BodyText"/>
        <w:spacing w:line="480" w:lineRule="auto" w:before="1"/>
        <w:ind w:left="1016" w:right="1137" w:hanging="720"/>
        <w:jc w:val="both"/>
      </w:pPr>
      <w:r>
        <w:rPr/>
        <w:t>Idonije, B.O., Festus, O. and Oluba, O.M. (2011). Plasma glucose, creatinine and urea levels in Type 2 diabetic patient attending a Nigerian Teaching Hospital. </w:t>
      </w:r>
      <w:r>
        <w:rPr>
          <w:i/>
        </w:rPr>
        <w:t>Research Journal of Medical Sciences</w:t>
      </w:r>
      <w:r>
        <w:rPr/>
        <w:t>, 5(1): 1–3.</w:t>
      </w:r>
    </w:p>
    <w:p>
      <w:pPr>
        <w:spacing w:after="0" w:line="480" w:lineRule="auto"/>
        <w:jc w:val="both"/>
        <w:sectPr>
          <w:pgSz w:w="12240" w:h="15840"/>
          <w:pgMar w:header="0" w:footer="1015" w:top="1360" w:bottom="1200" w:left="1720" w:right="300"/>
        </w:sectPr>
      </w:pPr>
    </w:p>
    <w:p>
      <w:pPr>
        <w:pStyle w:val="BodyText"/>
        <w:spacing w:line="480" w:lineRule="auto" w:before="72"/>
        <w:ind w:left="1016" w:right="1141" w:hanging="720"/>
      </w:pPr>
      <w:r>
        <w:rPr/>
        <w:t>International Diabetes Federation (2011). Global burden of diabetes. </w:t>
      </w:r>
      <w:r>
        <w:rPr>
          <w:i/>
        </w:rPr>
        <w:t>Diabetic Atlas, </w:t>
      </w:r>
      <w:r>
        <w:rPr/>
        <w:t>fifth</w:t>
      </w:r>
      <w:r>
        <w:rPr>
          <w:spacing w:val="40"/>
        </w:rPr>
        <w:t> </w:t>
      </w:r>
      <w:r>
        <w:rPr/>
        <w:t>edition 201-208.</w:t>
      </w:r>
    </w:p>
    <w:p>
      <w:pPr>
        <w:pStyle w:val="BodyText"/>
        <w:spacing w:line="480" w:lineRule="auto"/>
        <w:ind w:left="1016" w:right="1141" w:hanging="720"/>
      </w:pPr>
      <w:r>
        <w:rPr/>
        <w:t>International Diabetes Federation (2013). Global burden of diabetes. </w:t>
      </w:r>
      <w:r>
        <w:rPr>
          <w:i/>
        </w:rPr>
        <w:t>Diabetic Atlas, </w:t>
      </w:r>
      <w:r>
        <w:rPr/>
        <w:t>sixth edition 32-48.</w:t>
      </w:r>
    </w:p>
    <w:p>
      <w:pPr>
        <w:pStyle w:val="BodyText"/>
        <w:ind w:left="296"/>
        <w:rPr>
          <w:i/>
        </w:rPr>
      </w:pPr>
      <w:r>
        <w:rPr/>
        <w:t>International</w:t>
      </w:r>
      <w:r>
        <w:rPr>
          <w:spacing w:val="75"/>
        </w:rPr>
        <w:t> </w:t>
      </w:r>
      <w:r>
        <w:rPr/>
        <w:t>Diabetes</w:t>
      </w:r>
      <w:r>
        <w:rPr>
          <w:spacing w:val="77"/>
        </w:rPr>
        <w:t> </w:t>
      </w:r>
      <w:r>
        <w:rPr/>
        <w:t>Federation</w:t>
      </w:r>
      <w:r>
        <w:rPr>
          <w:spacing w:val="76"/>
        </w:rPr>
        <w:t> </w:t>
      </w:r>
      <w:r>
        <w:rPr/>
        <w:t>(2014).</w:t>
      </w:r>
      <w:r>
        <w:rPr>
          <w:spacing w:val="76"/>
        </w:rPr>
        <w:t> </w:t>
      </w:r>
      <w:r>
        <w:rPr/>
        <w:t>Global</w:t>
      </w:r>
      <w:r>
        <w:rPr>
          <w:spacing w:val="78"/>
        </w:rPr>
        <w:t> </w:t>
      </w:r>
      <w:r>
        <w:rPr/>
        <w:t>burden</w:t>
      </w:r>
      <w:r>
        <w:rPr>
          <w:spacing w:val="76"/>
        </w:rPr>
        <w:t> </w:t>
      </w:r>
      <w:r>
        <w:rPr/>
        <w:t>of</w:t>
      </w:r>
      <w:r>
        <w:rPr>
          <w:spacing w:val="76"/>
        </w:rPr>
        <w:t> </w:t>
      </w:r>
      <w:r>
        <w:rPr/>
        <w:t>diabetes.</w:t>
      </w:r>
      <w:r>
        <w:rPr>
          <w:spacing w:val="54"/>
          <w:w w:val="150"/>
        </w:rPr>
        <w:t> </w:t>
      </w:r>
      <w:r>
        <w:rPr>
          <w:i/>
        </w:rPr>
        <w:t>Diabetic</w:t>
      </w:r>
      <w:r>
        <w:rPr>
          <w:i/>
          <w:spacing w:val="77"/>
        </w:rPr>
        <w:t> </w:t>
      </w:r>
      <w:r>
        <w:rPr>
          <w:i/>
          <w:spacing w:val="-2"/>
        </w:rPr>
        <w:t>Atlas,</w:t>
      </w:r>
    </w:p>
    <w:p>
      <w:pPr>
        <w:pStyle w:val="BodyText"/>
        <w:rPr>
          <w:i/>
        </w:rPr>
      </w:pPr>
    </w:p>
    <w:p>
      <w:pPr>
        <w:pStyle w:val="BodyText"/>
        <w:ind w:left="1016"/>
      </w:pPr>
      <w:r>
        <w:rPr/>
        <w:t>seventh</w:t>
      </w:r>
      <w:r>
        <w:rPr>
          <w:spacing w:val="-1"/>
        </w:rPr>
        <w:t> </w:t>
      </w:r>
      <w:r>
        <w:rPr/>
        <w:t>edition</w:t>
      </w:r>
      <w:r>
        <w:rPr>
          <w:spacing w:val="-1"/>
        </w:rPr>
        <w:t> </w:t>
      </w:r>
      <w:r>
        <w:rPr/>
        <w:t>142-</w:t>
      </w:r>
      <w:r>
        <w:rPr>
          <w:spacing w:val="-4"/>
        </w:rPr>
        <w:t>153.</w:t>
      </w:r>
    </w:p>
    <w:p>
      <w:pPr>
        <w:pStyle w:val="BodyText"/>
      </w:pPr>
    </w:p>
    <w:p>
      <w:pPr>
        <w:pStyle w:val="BodyText"/>
        <w:spacing w:line="480" w:lineRule="auto"/>
        <w:ind w:left="1016" w:right="1141" w:hanging="720"/>
        <w:jc w:val="both"/>
      </w:pPr>
      <w:r>
        <w:rPr/>
        <w:t>Inzucchi, S.E. and McGuire, D.K. (2008). New drugs for the treatment of diabetes: part II: Incretin-based therapy and beyond. </w:t>
      </w:r>
      <w:r>
        <w:rPr>
          <w:i/>
        </w:rPr>
        <w:t>Circulation</w:t>
      </w:r>
      <w:r>
        <w:rPr/>
        <w:t>, 117:574-584.</w:t>
      </w:r>
    </w:p>
    <w:p>
      <w:pPr>
        <w:pStyle w:val="BodyText"/>
        <w:spacing w:line="480" w:lineRule="auto" w:before="1"/>
        <w:ind w:left="1016" w:right="1135" w:hanging="720"/>
        <w:jc w:val="both"/>
      </w:pPr>
      <w:r>
        <w:rPr/>
        <w:t>Ishrat, K., Jaweed, S.A., Bardapurkar J.S. and Patil, V.P. (2004). Study of magnesium, glycosilated haemoglobin and lipid prifil in diabetic retinopathy. </w:t>
      </w:r>
      <w:r>
        <w:rPr>
          <w:i/>
        </w:rPr>
        <w:t>Indian Journal of Clinical Biochemistry</w:t>
      </w:r>
      <w:r>
        <w:rPr/>
        <w:t>, 19(2) 124-127</w:t>
      </w:r>
    </w:p>
    <w:p>
      <w:pPr>
        <w:spacing w:line="480" w:lineRule="auto" w:before="166"/>
        <w:ind w:left="1016" w:right="1134" w:hanging="720"/>
        <w:jc w:val="both"/>
        <w:rPr>
          <w:sz w:val="24"/>
        </w:rPr>
      </w:pPr>
      <w:r>
        <w:rPr>
          <w:sz w:val="24"/>
        </w:rPr>
        <w:t>Isomoto, S. and Kurachi, Y. (1997). Function, regulation, pharmacology and molecular structure of ATP-sensitive K</w:t>
      </w:r>
      <w:r>
        <w:rPr>
          <w:sz w:val="24"/>
          <w:vertAlign w:val="superscript"/>
        </w:rPr>
        <w:t>+</w:t>
      </w:r>
      <w:r>
        <w:rPr>
          <w:sz w:val="24"/>
          <w:vertAlign w:val="baseline"/>
        </w:rPr>
        <w:t> channels in the cardiovascular system. </w:t>
      </w:r>
      <w:r>
        <w:rPr>
          <w:i/>
          <w:sz w:val="24"/>
          <w:vertAlign w:val="baseline"/>
        </w:rPr>
        <w:t>Journal of Cardiovascular Electrophysiology</w:t>
      </w:r>
      <w:r>
        <w:rPr>
          <w:sz w:val="24"/>
          <w:vertAlign w:val="baseline"/>
        </w:rPr>
        <w:t>, 8:1431–1446.</w:t>
      </w:r>
    </w:p>
    <w:p>
      <w:pPr>
        <w:pStyle w:val="BodyText"/>
        <w:spacing w:line="480" w:lineRule="auto"/>
        <w:ind w:left="1016" w:right="1137" w:hanging="720"/>
        <w:jc w:val="both"/>
      </w:pPr>
      <w:r>
        <w:rPr/>
        <w:t>Japan Multicentre investigation of Investigation of Antihypertensive Treatment for Nephropathy in Diabetics (J-MIND) (2001). Nifedipine and Enalapril equally reduce the onset and progression of nephropathy in hypertensive type 2 diabetics. </w:t>
      </w:r>
      <w:r>
        <w:rPr>
          <w:i/>
        </w:rPr>
        <w:t>Diabetes Research and Clinical Practice</w:t>
      </w:r>
      <w:r>
        <w:rPr/>
        <w:t>, 54 (3) 191-201.</w:t>
      </w:r>
    </w:p>
    <w:p>
      <w:pPr>
        <w:pStyle w:val="BodyText"/>
        <w:spacing w:line="480" w:lineRule="auto"/>
        <w:ind w:left="1016" w:right="1137" w:hanging="720"/>
        <w:jc w:val="both"/>
      </w:pPr>
      <w:r>
        <w:rPr/>
        <w:t>Kafle, D., Singh, N., Singh, S., Singh, N., Bhargav, V. and Singh, A.K. (2012). Persistent hyperglycemia generating reactive oxygen species in renal cells, a probable cause</w:t>
      </w:r>
      <w:r>
        <w:rPr>
          <w:spacing w:val="40"/>
        </w:rPr>
        <w:t> </w:t>
      </w:r>
      <w:r>
        <w:rPr/>
        <w:t>of inflammation in type 2 diabetic nephropathy subjects. </w:t>
      </w:r>
      <w:r>
        <w:rPr>
          <w:i/>
        </w:rPr>
        <w:t>Biomedical Research- India</w:t>
      </w:r>
      <w:r>
        <w:rPr/>
        <w:t>, 23 (4): 501-504.</w:t>
      </w:r>
    </w:p>
    <w:p>
      <w:pPr>
        <w:spacing w:after="0" w:line="480" w:lineRule="auto"/>
        <w:jc w:val="both"/>
        <w:sectPr>
          <w:pgSz w:w="12240" w:h="15840"/>
          <w:pgMar w:header="0" w:footer="1015" w:top="1360" w:bottom="1200" w:left="1720" w:right="300"/>
        </w:sectPr>
      </w:pPr>
    </w:p>
    <w:p>
      <w:pPr>
        <w:spacing w:line="480" w:lineRule="auto" w:before="72"/>
        <w:ind w:left="1016" w:right="1138" w:hanging="720"/>
        <w:jc w:val="both"/>
        <w:rPr>
          <w:sz w:val="24"/>
        </w:rPr>
      </w:pPr>
      <w:r>
        <w:rPr>
          <w:sz w:val="24"/>
        </w:rPr>
        <w:t>Karam, J.H. (1998). Pancreatic Hormones and Antidiabetic Drugs, </w:t>
      </w:r>
      <w:r>
        <w:rPr>
          <w:i/>
          <w:sz w:val="24"/>
        </w:rPr>
        <w:t>Basic and Clinical Pharmacology</w:t>
      </w:r>
      <w:r>
        <w:rPr>
          <w:sz w:val="24"/>
        </w:rPr>
        <w:t>, (Katzung, B. G., edition) Appleton-Lange, 684-703.</w:t>
      </w:r>
    </w:p>
    <w:p>
      <w:pPr>
        <w:pStyle w:val="BodyText"/>
        <w:spacing w:line="480" w:lineRule="auto" w:before="240"/>
        <w:ind w:left="1016" w:right="1139" w:hanging="720"/>
        <w:jc w:val="both"/>
      </w:pPr>
      <w:r>
        <w:rPr/>
        <w:t>Kato, K., Murai, I., Asai, S., Takahashi, Y., Nagata, T., Komuro, S., Mizuno, S., Iwasaki, A., Ishikawa, K. and Arakawa, Y. (2002). Circadian rhythm of melatonin and prostaglandin in modulation of stress induced gastric mucosal lesions in rats. </w:t>
      </w:r>
      <w:r>
        <w:rPr>
          <w:i/>
        </w:rPr>
        <w:t>Alimentary Pharmacology and Therapeutics</w:t>
      </w:r>
      <w:r>
        <w:rPr/>
        <w:t>, 16(2): 29-34.</w:t>
      </w:r>
    </w:p>
    <w:p>
      <w:pPr>
        <w:pStyle w:val="BodyText"/>
        <w:spacing w:line="480" w:lineRule="auto" w:before="241"/>
        <w:ind w:left="1016" w:right="1137" w:hanging="720"/>
        <w:jc w:val="both"/>
      </w:pPr>
      <w:r>
        <w:rPr/>
        <w:t>Kawashima, K., Miwa, Y., Fujimoto, K., Oohata, H.H., Nishino, H. and Koika, H. (1987). Antihypertensive</w:t>
      </w:r>
      <w:r>
        <w:rPr>
          <w:spacing w:val="80"/>
          <w:w w:val="150"/>
        </w:rPr>
        <w:t> </w:t>
      </w:r>
      <w:r>
        <w:rPr/>
        <w:t>action</w:t>
      </w:r>
      <w:r>
        <w:rPr>
          <w:spacing w:val="80"/>
          <w:w w:val="150"/>
        </w:rPr>
        <w:t> </w:t>
      </w:r>
      <w:r>
        <w:rPr/>
        <w:t>of</w:t>
      </w:r>
      <w:r>
        <w:rPr>
          <w:spacing w:val="80"/>
          <w:w w:val="150"/>
        </w:rPr>
        <w:t> </w:t>
      </w:r>
      <w:r>
        <w:rPr/>
        <w:t>melatonin</w:t>
      </w:r>
      <w:r>
        <w:rPr>
          <w:spacing w:val="80"/>
          <w:w w:val="150"/>
        </w:rPr>
        <w:t> </w:t>
      </w:r>
      <w:r>
        <w:rPr/>
        <w:t>in</w:t>
      </w:r>
      <w:r>
        <w:rPr>
          <w:spacing w:val="80"/>
          <w:w w:val="150"/>
        </w:rPr>
        <w:t> </w:t>
      </w:r>
      <w:r>
        <w:rPr/>
        <w:t>the</w:t>
      </w:r>
      <w:r>
        <w:rPr>
          <w:spacing w:val="80"/>
          <w:w w:val="150"/>
        </w:rPr>
        <w:t> </w:t>
      </w:r>
      <w:r>
        <w:rPr/>
        <w:t>spontaneously</w:t>
      </w:r>
      <w:r>
        <w:rPr>
          <w:spacing w:val="80"/>
          <w:w w:val="150"/>
        </w:rPr>
        <w:t> </w:t>
      </w:r>
      <w:r>
        <w:rPr/>
        <w:t>hypertensive rats. </w:t>
      </w:r>
      <w:r>
        <w:rPr>
          <w:i/>
        </w:rPr>
        <w:t>Clinical and Experimental Hypertension</w:t>
      </w:r>
      <w:r>
        <w:rPr/>
        <w:t>, 9: 1121–1131.</w:t>
      </w:r>
    </w:p>
    <w:p>
      <w:pPr>
        <w:pStyle w:val="BodyText"/>
        <w:spacing w:line="480" w:lineRule="auto" w:before="120"/>
        <w:ind w:left="1016" w:right="1135" w:hanging="720"/>
        <w:jc w:val="both"/>
      </w:pPr>
      <w:r>
        <w:rPr/>
        <w:t>Kim, D., Wang, L., Beconi, M., Eiermann, G.J, Fisher, M.H., He, H., Hickey, G.J., Kowalchick, J.E., Leiting, B., Lyons, K., Marsilio, F., McCann, M.E., Patel, R.A., Petrov, A.,</w:t>
      </w:r>
      <w:r>
        <w:rPr>
          <w:spacing w:val="2"/>
        </w:rPr>
        <w:t> </w:t>
      </w:r>
      <w:r>
        <w:rPr/>
        <w:t>Scapin,</w:t>
      </w:r>
      <w:r>
        <w:rPr>
          <w:spacing w:val="4"/>
        </w:rPr>
        <w:t> </w:t>
      </w:r>
      <w:r>
        <w:rPr/>
        <w:t>G., Patel,</w:t>
      </w:r>
      <w:r>
        <w:rPr>
          <w:spacing w:val="2"/>
        </w:rPr>
        <w:t> </w:t>
      </w:r>
      <w:r>
        <w:rPr/>
        <w:t>S.B.,</w:t>
      </w:r>
      <w:r>
        <w:rPr>
          <w:spacing w:val="2"/>
        </w:rPr>
        <w:t> </w:t>
      </w:r>
      <w:r>
        <w:rPr/>
        <w:t>Roy,</w:t>
      </w:r>
      <w:r>
        <w:rPr>
          <w:spacing w:val="3"/>
        </w:rPr>
        <w:t> </w:t>
      </w:r>
      <w:r>
        <w:rPr/>
        <w:t>R.S,</w:t>
      </w:r>
      <w:r>
        <w:rPr>
          <w:spacing w:val="2"/>
        </w:rPr>
        <w:t> </w:t>
      </w:r>
      <w:r>
        <w:rPr/>
        <w:t>Wu,</w:t>
      </w:r>
      <w:r>
        <w:rPr>
          <w:spacing w:val="-2"/>
        </w:rPr>
        <w:t> </w:t>
      </w:r>
      <w:r>
        <w:rPr/>
        <w:t>J.K.,</w:t>
      </w:r>
      <w:r>
        <w:rPr>
          <w:spacing w:val="3"/>
        </w:rPr>
        <w:t> </w:t>
      </w:r>
      <w:r>
        <w:rPr/>
        <w:t>Wyvratt,</w:t>
      </w:r>
      <w:r>
        <w:rPr>
          <w:spacing w:val="2"/>
        </w:rPr>
        <w:t> </w:t>
      </w:r>
      <w:r>
        <w:rPr/>
        <w:t>M.J.,</w:t>
      </w:r>
      <w:r>
        <w:rPr>
          <w:spacing w:val="3"/>
        </w:rPr>
        <w:t> </w:t>
      </w:r>
      <w:r>
        <w:rPr/>
        <w:t>Zhang,</w:t>
      </w:r>
      <w:r>
        <w:rPr>
          <w:spacing w:val="2"/>
        </w:rPr>
        <w:t> </w:t>
      </w:r>
      <w:r>
        <w:rPr/>
        <w:t>B.</w:t>
      </w:r>
      <w:r>
        <w:rPr>
          <w:spacing w:val="3"/>
        </w:rPr>
        <w:t> </w:t>
      </w:r>
      <w:r>
        <w:rPr>
          <w:spacing w:val="-5"/>
        </w:rPr>
        <w:t>B,</w:t>
      </w:r>
    </w:p>
    <w:p>
      <w:pPr>
        <w:pStyle w:val="BodyText"/>
        <w:spacing w:before="1"/>
        <w:ind w:left="1016"/>
        <w:jc w:val="both"/>
      </w:pPr>
      <w:r>
        <w:rPr/>
        <w:t>Zhu,</w:t>
      </w:r>
      <w:r>
        <w:rPr>
          <w:spacing w:val="60"/>
        </w:rPr>
        <w:t>  </w:t>
      </w:r>
      <w:r>
        <w:rPr/>
        <w:t>L.,</w:t>
      </w:r>
      <w:r>
        <w:rPr>
          <w:spacing w:val="59"/>
        </w:rPr>
        <w:t>  </w:t>
      </w:r>
      <w:r>
        <w:rPr/>
        <w:t>Thornberry,</w:t>
      </w:r>
      <w:r>
        <w:rPr>
          <w:spacing w:val="60"/>
        </w:rPr>
        <w:t>  </w:t>
      </w:r>
      <w:r>
        <w:rPr/>
        <w:t>N.A.</w:t>
      </w:r>
      <w:r>
        <w:rPr>
          <w:spacing w:val="59"/>
        </w:rPr>
        <w:t>  </w:t>
      </w:r>
      <w:r>
        <w:rPr/>
        <w:t>and</w:t>
      </w:r>
      <w:r>
        <w:rPr>
          <w:spacing w:val="59"/>
        </w:rPr>
        <w:t>  </w:t>
      </w:r>
      <w:r>
        <w:rPr/>
        <w:t>Weber,</w:t>
      </w:r>
      <w:r>
        <w:rPr>
          <w:spacing w:val="60"/>
        </w:rPr>
        <w:t>  </w:t>
      </w:r>
      <w:r>
        <w:rPr/>
        <w:t>A.E.</w:t>
      </w:r>
      <w:r>
        <w:rPr>
          <w:spacing w:val="59"/>
        </w:rPr>
        <w:t>  </w:t>
      </w:r>
      <w:r>
        <w:rPr/>
        <w:t>(2005).</w:t>
      </w:r>
      <w:r>
        <w:rPr>
          <w:spacing w:val="59"/>
        </w:rPr>
        <w:t>  </w:t>
      </w:r>
      <w:r>
        <w:rPr/>
        <w:t>(2</w:t>
      </w:r>
      <w:r>
        <w:rPr>
          <w:i/>
        </w:rPr>
        <w:t>R</w:t>
      </w:r>
      <w:r>
        <w:rPr/>
        <w:t>)-4-oxo-4-</w:t>
      </w:r>
      <w:r>
        <w:rPr>
          <w:spacing w:val="-5"/>
        </w:rPr>
        <w:t>[3-</w:t>
      </w:r>
    </w:p>
    <w:p>
      <w:pPr>
        <w:pStyle w:val="BodyText"/>
        <w:spacing w:line="480" w:lineRule="auto" w:before="276"/>
        <w:ind w:left="1016" w:right="1137"/>
        <w:jc w:val="both"/>
      </w:pPr>
      <w:r>
        <w:rPr/>
        <w:t>(trifluoromethyl) -5,6-dihydro [1,2,4]triazolo [4,3-a]pyrazin-7(8H)-yl]-1-(2,4,5- trifluoro-phenyl) butan-2-amine: a potent, orally active dipeptidyl peptidase IV inhibitor for the treatment of type 2 diabetes. </w:t>
      </w:r>
      <w:r>
        <w:rPr>
          <w:i/>
        </w:rPr>
        <w:t>Journal of Medicinal Chemistry</w:t>
      </w:r>
      <w:r>
        <w:rPr/>
        <w:t>, </w:t>
      </w:r>
      <w:r>
        <w:rPr>
          <w:spacing w:val="-2"/>
        </w:rPr>
        <w:t>48:141-151.</w:t>
      </w:r>
    </w:p>
    <w:p>
      <w:pPr>
        <w:pStyle w:val="BodyText"/>
        <w:spacing w:line="480" w:lineRule="auto"/>
        <w:ind w:left="1016" w:right="1138" w:hanging="720"/>
        <w:jc w:val="both"/>
      </w:pPr>
      <w:r>
        <w:rPr/>
        <w:t>Knowler, W.C., Barrett-Connor, E. and Fowler, S.E. (2002). Reduction in the incident of type II diabetes with lifestyle intervention or Metformin. </w:t>
      </w:r>
      <w:r>
        <w:rPr>
          <w:i/>
        </w:rPr>
        <w:t>North England Journal of Medicine</w:t>
      </w:r>
      <w:r>
        <w:rPr/>
        <w:t>, 346: 393-403.</w:t>
      </w:r>
    </w:p>
    <w:p>
      <w:pPr>
        <w:pStyle w:val="BodyText"/>
        <w:spacing w:before="1"/>
        <w:ind w:left="296"/>
        <w:jc w:val="both"/>
      </w:pPr>
      <w:r>
        <w:rPr/>
        <w:t>Korytkowski,</w:t>
      </w:r>
      <w:r>
        <w:rPr>
          <w:spacing w:val="62"/>
        </w:rPr>
        <w:t> </w:t>
      </w:r>
      <w:r>
        <w:rPr/>
        <w:t>M.</w:t>
      </w:r>
      <w:r>
        <w:rPr>
          <w:spacing w:val="63"/>
        </w:rPr>
        <w:t> </w:t>
      </w:r>
      <w:r>
        <w:rPr/>
        <w:t>(2002).</w:t>
      </w:r>
      <w:r>
        <w:rPr>
          <w:spacing w:val="62"/>
        </w:rPr>
        <w:t> </w:t>
      </w:r>
      <w:r>
        <w:rPr/>
        <w:t>When</w:t>
      </w:r>
      <w:r>
        <w:rPr>
          <w:spacing w:val="63"/>
        </w:rPr>
        <w:t> </w:t>
      </w:r>
      <w:r>
        <w:rPr/>
        <w:t>oral</w:t>
      </w:r>
      <w:r>
        <w:rPr>
          <w:spacing w:val="64"/>
        </w:rPr>
        <w:t> </w:t>
      </w:r>
      <w:r>
        <w:rPr/>
        <w:t>agents</w:t>
      </w:r>
      <w:r>
        <w:rPr>
          <w:spacing w:val="63"/>
        </w:rPr>
        <w:t> </w:t>
      </w:r>
      <w:r>
        <w:rPr/>
        <w:t>fail:</w:t>
      </w:r>
      <w:r>
        <w:rPr>
          <w:spacing w:val="64"/>
        </w:rPr>
        <w:t> </w:t>
      </w:r>
      <w:r>
        <w:rPr/>
        <w:t>practical</w:t>
      </w:r>
      <w:r>
        <w:rPr>
          <w:spacing w:val="64"/>
        </w:rPr>
        <w:t> </w:t>
      </w:r>
      <w:r>
        <w:rPr/>
        <w:t>barriers</w:t>
      </w:r>
      <w:r>
        <w:rPr>
          <w:spacing w:val="63"/>
        </w:rPr>
        <w:t> </w:t>
      </w:r>
      <w:r>
        <w:rPr/>
        <w:t>to</w:t>
      </w:r>
      <w:r>
        <w:rPr>
          <w:spacing w:val="66"/>
        </w:rPr>
        <w:t> </w:t>
      </w:r>
      <w:r>
        <w:rPr/>
        <w:t>starting</w:t>
      </w:r>
      <w:r>
        <w:rPr>
          <w:spacing w:val="61"/>
        </w:rPr>
        <w:t> </w:t>
      </w:r>
      <w:r>
        <w:rPr>
          <w:spacing w:val="-2"/>
        </w:rPr>
        <w:t>insulin.</w:t>
      </w:r>
    </w:p>
    <w:p>
      <w:pPr>
        <w:spacing w:before="275"/>
        <w:ind w:left="1016" w:right="0" w:firstLine="0"/>
        <w:jc w:val="both"/>
        <w:rPr>
          <w:sz w:val="24"/>
        </w:rPr>
      </w:pPr>
      <w:r>
        <w:rPr>
          <w:sz w:val="24"/>
        </w:rPr>
        <w:t>International</w:t>
      </w:r>
      <w:r>
        <w:rPr>
          <w:spacing w:val="-3"/>
          <w:sz w:val="24"/>
        </w:rPr>
        <w:t> </w:t>
      </w:r>
      <w:r>
        <w:rPr>
          <w:i/>
          <w:sz w:val="24"/>
        </w:rPr>
        <w:t>Journal</w:t>
      </w:r>
      <w:r>
        <w:rPr>
          <w:i/>
          <w:spacing w:val="-2"/>
          <w:sz w:val="24"/>
        </w:rPr>
        <w:t> </w:t>
      </w:r>
      <w:r>
        <w:rPr>
          <w:i/>
          <w:sz w:val="24"/>
        </w:rPr>
        <w:t>of</w:t>
      </w:r>
      <w:r>
        <w:rPr>
          <w:i/>
          <w:spacing w:val="1"/>
          <w:sz w:val="24"/>
        </w:rPr>
        <w:t> </w:t>
      </w:r>
      <w:r>
        <w:rPr>
          <w:i/>
          <w:sz w:val="24"/>
        </w:rPr>
        <w:t>Obesity</w:t>
      </w:r>
      <w:r>
        <w:rPr>
          <w:i/>
          <w:spacing w:val="-3"/>
          <w:sz w:val="24"/>
        </w:rPr>
        <w:t> </w:t>
      </w:r>
      <w:r>
        <w:rPr>
          <w:i/>
          <w:sz w:val="24"/>
        </w:rPr>
        <w:t>and</w:t>
      </w:r>
      <w:r>
        <w:rPr>
          <w:i/>
          <w:spacing w:val="-1"/>
          <w:sz w:val="24"/>
        </w:rPr>
        <w:t> </w:t>
      </w:r>
      <w:r>
        <w:rPr>
          <w:i/>
          <w:sz w:val="24"/>
        </w:rPr>
        <w:t>related</w:t>
      </w:r>
      <w:r>
        <w:rPr>
          <w:i/>
          <w:spacing w:val="-2"/>
          <w:sz w:val="24"/>
        </w:rPr>
        <w:t> </w:t>
      </w:r>
      <w:r>
        <w:rPr>
          <w:i/>
          <w:sz w:val="24"/>
        </w:rPr>
        <w:t>metabolic</w:t>
      </w:r>
      <w:r>
        <w:rPr>
          <w:i/>
          <w:spacing w:val="-2"/>
          <w:sz w:val="24"/>
        </w:rPr>
        <w:t> </w:t>
      </w:r>
      <w:r>
        <w:rPr>
          <w:i/>
          <w:sz w:val="24"/>
        </w:rPr>
        <w:t>disorders</w:t>
      </w:r>
      <w:r>
        <w:rPr>
          <w:sz w:val="24"/>
        </w:rPr>
        <w:t>,</w:t>
      </w:r>
      <w:r>
        <w:rPr>
          <w:spacing w:val="-1"/>
          <w:sz w:val="24"/>
        </w:rPr>
        <w:t> </w:t>
      </w:r>
      <w:r>
        <w:rPr>
          <w:sz w:val="24"/>
        </w:rPr>
        <w:t>26(3):18-</w:t>
      </w:r>
      <w:r>
        <w:rPr>
          <w:spacing w:val="-5"/>
          <w:sz w:val="24"/>
        </w:rPr>
        <w:t>24.</w:t>
      </w:r>
    </w:p>
    <w:p>
      <w:pPr>
        <w:spacing w:after="0"/>
        <w:jc w:val="both"/>
        <w:rPr>
          <w:sz w:val="24"/>
        </w:rPr>
        <w:sectPr>
          <w:pgSz w:w="12240" w:h="15840"/>
          <w:pgMar w:header="0" w:footer="1015" w:top="1360" w:bottom="1200" w:left="1720" w:right="300"/>
        </w:sectPr>
      </w:pPr>
    </w:p>
    <w:p>
      <w:pPr>
        <w:pStyle w:val="BodyText"/>
        <w:spacing w:line="480" w:lineRule="auto" w:before="72"/>
        <w:ind w:left="1016" w:right="1140" w:hanging="720"/>
        <w:jc w:val="both"/>
      </w:pPr>
      <w:r>
        <w:rPr/>
        <w:t>Kouroumichakis, I., Papanas, N., Zarogoulidis, P., Liakopoulos, V., Maltezos, E. and Mikhailidis, D. (2012). Fibrates: therapeutic potential for diabetic nephropathy. </w:t>
      </w:r>
      <w:r>
        <w:rPr>
          <w:i/>
        </w:rPr>
        <w:t>European Journal of International Medicine</w:t>
      </w:r>
      <w:r>
        <w:rPr/>
        <w:t>, 23: 309–316.</w:t>
      </w:r>
    </w:p>
    <w:p>
      <w:pPr>
        <w:spacing w:line="480" w:lineRule="auto" w:before="0"/>
        <w:ind w:left="1016" w:right="1140" w:hanging="720"/>
        <w:jc w:val="both"/>
        <w:rPr>
          <w:sz w:val="24"/>
        </w:rPr>
      </w:pPr>
      <w:r>
        <w:rPr>
          <w:sz w:val="24"/>
        </w:rPr>
        <w:t>Kumar, P.J. and Clark, M. (2002). </w:t>
      </w:r>
      <w:r>
        <w:rPr>
          <w:i/>
          <w:sz w:val="24"/>
        </w:rPr>
        <w:t>Textbook of Clinical Medicine</w:t>
      </w:r>
      <w:r>
        <w:rPr>
          <w:sz w:val="24"/>
        </w:rPr>
        <w:t>, Publisher: Saunders, London, UK. 1099-1121.</w:t>
      </w:r>
    </w:p>
    <w:p>
      <w:pPr>
        <w:spacing w:line="480" w:lineRule="auto" w:before="0"/>
        <w:ind w:left="1016" w:right="1135" w:hanging="720"/>
        <w:jc w:val="both"/>
        <w:rPr>
          <w:sz w:val="24"/>
        </w:rPr>
      </w:pPr>
      <w:r>
        <w:rPr>
          <w:sz w:val="24"/>
        </w:rPr>
        <w:t>Lacoviello, L., Ciccarone, E., Donati, M.B. (2002). Review: the genetics of macrovascular disease in diabetes. </w:t>
      </w:r>
      <w:r>
        <w:rPr>
          <w:i/>
          <w:sz w:val="24"/>
        </w:rPr>
        <w:t>British Journal of Diabetes and Vascular Disease</w:t>
      </w:r>
      <w:r>
        <w:rPr>
          <w:sz w:val="24"/>
        </w:rPr>
        <w:t>, 2(5): 364- </w:t>
      </w:r>
      <w:r>
        <w:rPr>
          <w:spacing w:val="-4"/>
          <w:sz w:val="24"/>
        </w:rPr>
        <w:t>368.</w:t>
      </w:r>
    </w:p>
    <w:p>
      <w:pPr>
        <w:pStyle w:val="BodyText"/>
        <w:spacing w:line="480" w:lineRule="auto" w:before="1"/>
        <w:ind w:left="1016" w:right="1138" w:hanging="720"/>
        <w:jc w:val="both"/>
      </w:pPr>
      <w:r>
        <w:rPr/>
        <w:t>Lamberg, L. (1991). Chronotherapeutics: implications for drug therapy. </w:t>
      </w:r>
      <w:r>
        <w:rPr>
          <w:i/>
        </w:rPr>
        <w:t>American Pharmacy</w:t>
      </w:r>
      <w:r>
        <w:rPr/>
        <w:t>, 31(11): 20-23.</w:t>
      </w:r>
    </w:p>
    <w:p>
      <w:pPr>
        <w:spacing w:line="480" w:lineRule="auto" w:before="0"/>
        <w:ind w:left="1016" w:right="1143" w:hanging="720"/>
        <w:jc w:val="both"/>
        <w:rPr>
          <w:sz w:val="24"/>
        </w:rPr>
      </w:pPr>
      <w:r>
        <w:rPr>
          <w:sz w:val="24"/>
        </w:rPr>
        <w:t>Lebovitz,</w:t>
      </w:r>
      <w:r>
        <w:rPr>
          <w:spacing w:val="40"/>
          <w:sz w:val="24"/>
        </w:rPr>
        <w:t> </w:t>
      </w:r>
      <w:r>
        <w:rPr>
          <w:sz w:val="24"/>
        </w:rPr>
        <w:t>H.E. (2002). Differentiating members of the thiazolidinedione class: a focus on safety. </w:t>
      </w:r>
      <w:r>
        <w:rPr>
          <w:i/>
          <w:sz w:val="24"/>
        </w:rPr>
        <w:t>Diabetes Metabolism Research and Review</w:t>
      </w:r>
      <w:r>
        <w:rPr>
          <w:sz w:val="24"/>
        </w:rPr>
        <w:t>, 18 (2):23-29.</w:t>
      </w:r>
    </w:p>
    <w:p>
      <w:pPr>
        <w:pStyle w:val="BodyText"/>
        <w:spacing w:line="480" w:lineRule="auto"/>
        <w:ind w:left="1016" w:right="1143" w:hanging="720"/>
        <w:jc w:val="both"/>
      </w:pPr>
      <w:r>
        <w:rPr/>
        <w:t>Lemmer, B, Scheidel, B., Behne, S. and Kaiser, R. (1991). Chronopharmacokinetics and cardiovascular effects of Nifedipine. </w:t>
      </w:r>
      <w:r>
        <w:rPr>
          <w:i/>
        </w:rPr>
        <w:t>Chronobiology International</w:t>
      </w:r>
      <w:r>
        <w:rPr/>
        <w:t>, 8:485-494.</w:t>
      </w:r>
    </w:p>
    <w:p>
      <w:pPr>
        <w:spacing w:line="480" w:lineRule="auto" w:before="1"/>
        <w:ind w:left="1016" w:right="1137" w:hanging="720"/>
        <w:jc w:val="both"/>
        <w:rPr>
          <w:sz w:val="24"/>
        </w:rPr>
      </w:pPr>
      <w:r>
        <w:rPr>
          <w:sz w:val="24"/>
        </w:rPr>
        <w:t>Lemmer, B. (1991). Circadian rhythms and drug delivery. </w:t>
      </w:r>
      <w:r>
        <w:rPr>
          <w:i/>
          <w:sz w:val="24"/>
        </w:rPr>
        <w:t>Journal of Controlled Release</w:t>
      </w:r>
      <w:r>
        <w:rPr>
          <w:sz w:val="24"/>
        </w:rPr>
        <w:t>, 16: 63-74.</w:t>
      </w:r>
    </w:p>
    <w:p>
      <w:pPr>
        <w:pStyle w:val="BodyText"/>
        <w:spacing w:line="480" w:lineRule="auto"/>
        <w:ind w:left="1016" w:right="1138" w:hanging="720"/>
        <w:jc w:val="both"/>
      </w:pPr>
      <w:r>
        <w:rPr/>
        <w:t>Lemmer, B. (1996). Differential Effects of Antihypertensive Drugs on Circadian Rhythm</w:t>
      </w:r>
      <w:r>
        <w:rPr>
          <w:spacing w:val="40"/>
        </w:rPr>
        <w:t> </w:t>
      </w:r>
      <w:r>
        <w:rPr/>
        <w:t>in Blood Pressure From Chronobiological Point of View. </w:t>
      </w:r>
      <w:r>
        <w:rPr>
          <w:i/>
        </w:rPr>
        <w:t>Blood Pressure Monitoring, </w:t>
      </w:r>
      <w:r>
        <w:rPr/>
        <w:t>1: 161-169.</w:t>
      </w:r>
    </w:p>
    <w:p>
      <w:pPr>
        <w:pStyle w:val="BodyText"/>
        <w:spacing w:line="480" w:lineRule="auto" w:before="1"/>
        <w:ind w:left="1016" w:right="1133" w:hanging="720"/>
        <w:jc w:val="both"/>
      </w:pPr>
      <w:r>
        <w:rPr/>
        <w:t>Lemmer, B. and Bruguerolle, B. (1994). Chronopharmacokinetics-are they clinically relevant? </w:t>
      </w:r>
      <w:r>
        <w:rPr>
          <w:i/>
        </w:rPr>
        <w:t>Clinical Pharmacokinetics</w:t>
      </w:r>
      <w:r>
        <w:rPr/>
        <w:t>, 26: 419-427.</w:t>
      </w:r>
    </w:p>
    <w:p>
      <w:pPr>
        <w:spacing w:line="480" w:lineRule="auto" w:before="0"/>
        <w:ind w:left="1016" w:right="1144" w:hanging="720"/>
        <w:jc w:val="both"/>
        <w:rPr>
          <w:sz w:val="24"/>
        </w:rPr>
      </w:pPr>
      <w:r>
        <w:rPr>
          <w:sz w:val="24"/>
        </w:rPr>
        <w:t>Lemmer. B. and Nold, G. (1991). Circadian changes in estimated hepatic blood flow in healthy subjects. </w:t>
      </w:r>
      <w:r>
        <w:rPr>
          <w:i/>
          <w:sz w:val="24"/>
        </w:rPr>
        <w:t>British Journal of Clinical Pharmacology</w:t>
      </w:r>
      <w:r>
        <w:rPr>
          <w:sz w:val="24"/>
        </w:rPr>
        <w:t>, 32: 627-629.</w:t>
      </w:r>
    </w:p>
    <w:p>
      <w:pPr>
        <w:spacing w:after="0" w:line="480" w:lineRule="auto"/>
        <w:jc w:val="both"/>
        <w:rPr>
          <w:sz w:val="24"/>
        </w:rPr>
        <w:sectPr>
          <w:pgSz w:w="12240" w:h="15840"/>
          <w:pgMar w:header="0" w:footer="1015" w:top="1360" w:bottom="1200" w:left="1720" w:right="300"/>
        </w:sectPr>
      </w:pPr>
    </w:p>
    <w:p>
      <w:pPr>
        <w:pStyle w:val="BodyText"/>
        <w:spacing w:line="480" w:lineRule="auto" w:before="72"/>
        <w:ind w:left="1016" w:right="1136" w:hanging="720"/>
        <w:jc w:val="both"/>
      </w:pPr>
      <w:r>
        <w:rPr/>
        <w:t>Levetan, C., Want, L.L., Weyer, C., Strobel, S.A, Crean, J., Wang, Y., Maggs, D.G., Kolterman, O.G., Chandran, M., Mudaliar, S.R. and Henry, R.R (2003). Impact of pramlintide on glucose fluctuations and postprandial glucose, glucagon, and triglyceride excursions among</w:t>
      </w:r>
      <w:r>
        <w:rPr>
          <w:spacing w:val="-1"/>
        </w:rPr>
        <w:t> </w:t>
      </w:r>
      <w:r>
        <w:rPr/>
        <w:t>patients with type 1 diabetes intensively</w:t>
      </w:r>
      <w:r>
        <w:rPr>
          <w:spacing w:val="-4"/>
        </w:rPr>
        <w:t> </w:t>
      </w:r>
      <w:r>
        <w:rPr/>
        <w:t>treated with insulin pumps. </w:t>
      </w:r>
      <w:r>
        <w:rPr>
          <w:i/>
        </w:rPr>
        <w:t>Diabetes Care</w:t>
      </w:r>
      <w:r>
        <w:rPr/>
        <w:t>, 26:1-8.</w:t>
      </w:r>
    </w:p>
    <w:p>
      <w:pPr>
        <w:pStyle w:val="BodyText"/>
        <w:spacing w:line="480" w:lineRule="auto"/>
        <w:ind w:left="1016" w:right="1135" w:hanging="720"/>
        <w:jc w:val="both"/>
      </w:pPr>
      <w:r>
        <w:rPr/>
        <w:t>Lotlikar, V., Kedar, U., Shidhaye, S. and Kadam, V. (2010). pH-responsive dual pulse multiparticulate dosage form for treatment of rheumatoid arthritis. </w:t>
      </w:r>
      <w:r>
        <w:rPr>
          <w:i/>
        </w:rPr>
        <w:t>Drug Development and Industrial Pharmacy</w:t>
      </w:r>
      <w:r>
        <w:rPr/>
        <w:t>, 36:1295–1302.</w:t>
      </w:r>
    </w:p>
    <w:p>
      <w:pPr>
        <w:pStyle w:val="BodyText"/>
        <w:spacing w:line="480" w:lineRule="auto" w:before="1"/>
        <w:ind w:left="1016" w:right="1136" w:hanging="720"/>
        <w:jc w:val="both"/>
      </w:pPr>
      <w:r>
        <w:rPr/>
        <w:t>Lundkvist, G.B., Kwak, Y., Davis, E.K., Tei, H. and Gene, D.B. (2005). A calcium flux is required for circadian rhythm generation in mammalian pacemaker neurons. </w:t>
      </w:r>
      <w:r>
        <w:rPr>
          <w:i/>
        </w:rPr>
        <w:t>Journal of Neuroscience</w:t>
      </w:r>
      <w:r>
        <w:rPr/>
        <w:t>, 25(23): 7682-7686.</w:t>
      </w:r>
    </w:p>
    <w:p>
      <w:pPr>
        <w:pStyle w:val="BodyText"/>
        <w:spacing w:line="480" w:lineRule="auto"/>
        <w:ind w:left="1016" w:right="1137" w:hanging="720"/>
        <w:jc w:val="both"/>
      </w:pPr>
      <w:r>
        <w:rPr/>
        <w:t>Luno, J.E., Soledad, G.V., Francisco, G.C. Inmaculada, L. and Fernando, V.A. (1998). Effects of antihypertensive therapy</w:t>
      </w:r>
      <w:r>
        <w:rPr>
          <w:spacing w:val="-1"/>
        </w:rPr>
        <w:t> </w:t>
      </w:r>
      <w:r>
        <w:rPr/>
        <w:t>on progression of diabetic nephropathy. </w:t>
      </w:r>
      <w:r>
        <w:rPr>
          <w:i/>
        </w:rPr>
        <w:t>Kidney International</w:t>
      </w:r>
      <w:r>
        <w:rPr/>
        <w:t>, 54(68) 112–119.</w:t>
      </w:r>
    </w:p>
    <w:p>
      <w:pPr>
        <w:pStyle w:val="BodyText"/>
        <w:spacing w:line="480" w:lineRule="auto" w:before="1"/>
        <w:ind w:left="1016" w:right="1135" w:hanging="720"/>
        <w:jc w:val="both"/>
      </w:pPr>
      <w:r>
        <w:rPr/>
        <w:t>Matsuo, T., Yamaguchi, S., Mitsui, S., Emi, A., Shimoda, F. and Okamura, H. (2003). Control mechanism of the circadian clock for timing of cell division in vivo. </w:t>
      </w:r>
      <w:r>
        <w:rPr>
          <w:i/>
        </w:rPr>
        <w:t>Science</w:t>
      </w:r>
      <w:r>
        <w:rPr/>
        <w:t>, 302: 255–59.</w:t>
      </w:r>
    </w:p>
    <w:p>
      <w:pPr>
        <w:spacing w:line="480" w:lineRule="auto" w:before="0"/>
        <w:ind w:left="1016" w:right="1136" w:hanging="720"/>
        <w:jc w:val="both"/>
        <w:rPr>
          <w:sz w:val="24"/>
        </w:rPr>
      </w:pPr>
      <w:r>
        <w:rPr>
          <w:sz w:val="24"/>
        </w:rPr>
        <w:t>Mbanya, J. and Sobngwi, E. (2003). Diabetes Micovascular and Macrovascular Disease in Africa. </w:t>
      </w:r>
      <w:r>
        <w:rPr>
          <w:i/>
          <w:sz w:val="24"/>
        </w:rPr>
        <w:t>European Journal of Cardiovascular prevention and Rehabilitation</w:t>
      </w:r>
      <w:r>
        <w:rPr>
          <w:sz w:val="24"/>
        </w:rPr>
        <w:t>, 10(2): </w:t>
      </w:r>
      <w:r>
        <w:rPr>
          <w:spacing w:val="-2"/>
          <w:sz w:val="24"/>
        </w:rPr>
        <w:t>97-102.</w:t>
      </w:r>
    </w:p>
    <w:p>
      <w:pPr>
        <w:pStyle w:val="BodyText"/>
        <w:spacing w:line="480" w:lineRule="auto" w:before="1"/>
        <w:ind w:left="1016" w:right="1141" w:hanging="720"/>
        <w:jc w:val="both"/>
      </w:pPr>
      <w:r>
        <w:rPr/>
        <w:t>McKeage, K. (2007). “Treatment options for the management of diabetic painful neuropathy:</w:t>
      </w:r>
      <w:r>
        <w:rPr>
          <w:spacing w:val="-1"/>
        </w:rPr>
        <w:t> </w:t>
      </w:r>
      <w:r>
        <w:rPr/>
        <w:t>best</w:t>
      </w:r>
      <w:r>
        <w:rPr>
          <w:spacing w:val="-1"/>
        </w:rPr>
        <w:t> </w:t>
      </w:r>
      <w:r>
        <w:rPr/>
        <w:t>current evidence,”</w:t>
      </w:r>
      <w:r>
        <w:rPr>
          <w:spacing w:val="-1"/>
        </w:rPr>
        <w:t> </w:t>
      </w:r>
      <w:r>
        <w:rPr>
          <w:i/>
        </w:rPr>
        <w:t>Current</w:t>
      </w:r>
      <w:r>
        <w:rPr>
          <w:i/>
          <w:spacing w:val="-1"/>
        </w:rPr>
        <w:t> </w:t>
      </w:r>
      <w:r>
        <w:rPr>
          <w:i/>
        </w:rPr>
        <w:t>Opinion</w:t>
      </w:r>
      <w:r>
        <w:rPr>
          <w:i/>
          <w:spacing w:val="-1"/>
        </w:rPr>
        <w:t> </w:t>
      </w:r>
      <w:r>
        <w:rPr>
          <w:i/>
        </w:rPr>
        <w:t>in</w:t>
      </w:r>
      <w:r>
        <w:rPr>
          <w:i/>
          <w:spacing w:val="-1"/>
        </w:rPr>
        <w:t> </w:t>
      </w:r>
      <w:r>
        <w:rPr>
          <w:i/>
        </w:rPr>
        <w:t>Neurology</w:t>
      </w:r>
      <w:r>
        <w:rPr/>
        <w:t>,</w:t>
      </w:r>
      <w:r>
        <w:rPr>
          <w:spacing w:val="-1"/>
        </w:rPr>
        <w:t> </w:t>
      </w:r>
      <w:r>
        <w:rPr/>
        <w:t>20(5):</w:t>
      </w:r>
      <w:r>
        <w:rPr>
          <w:spacing w:val="-1"/>
        </w:rPr>
        <w:t> </w:t>
      </w:r>
      <w:r>
        <w:rPr/>
        <w:t>553-557.</w:t>
      </w:r>
    </w:p>
    <w:p>
      <w:pPr>
        <w:spacing w:after="0" w:line="480" w:lineRule="auto"/>
        <w:jc w:val="both"/>
        <w:sectPr>
          <w:pgSz w:w="12240" w:h="15840"/>
          <w:pgMar w:header="0" w:footer="1015" w:top="1360" w:bottom="1200" w:left="1720" w:right="300"/>
        </w:sectPr>
      </w:pPr>
    </w:p>
    <w:p>
      <w:pPr>
        <w:spacing w:line="480" w:lineRule="auto" w:before="72"/>
        <w:ind w:left="1016" w:right="1144" w:hanging="720"/>
        <w:jc w:val="both"/>
        <w:rPr>
          <w:sz w:val="24"/>
        </w:rPr>
      </w:pPr>
      <w:r>
        <w:rPr>
          <w:sz w:val="24"/>
        </w:rPr>
        <w:t>Mclnnes, A.D. (2012). Diabetic foot disease in the United Kingdom: about time to put feet first. </w:t>
      </w:r>
      <w:r>
        <w:rPr>
          <w:i/>
          <w:sz w:val="24"/>
        </w:rPr>
        <w:t>Journal of Foot and Ankle Research</w:t>
      </w:r>
      <w:r>
        <w:rPr>
          <w:sz w:val="24"/>
        </w:rPr>
        <w:t>, 5(26): 2–7.</w:t>
      </w:r>
    </w:p>
    <w:p>
      <w:pPr>
        <w:pStyle w:val="BodyText"/>
        <w:spacing w:line="480" w:lineRule="auto"/>
        <w:ind w:left="1016" w:right="1134" w:hanging="720"/>
        <w:jc w:val="both"/>
      </w:pPr>
      <w:r>
        <w:rPr/>
        <w:t>Misbin, R.I., Green, L., Stadel, B.V, Gueriguian, J.L., Gubbi, A. and Fleming, G.A.</w:t>
      </w:r>
      <w:r>
        <w:rPr>
          <w:spacing w:val="40"/>
        </w:rPr>
        <w:t> </w:t>
      </w:r>
      <w:r>
        <w:rPr/>
        <w:t>(1998). Lactic acidosis in patients with diabetes treated with metformin. </w:t>
      </w:r>
      <w:r>
        <w:rPr>
          <w:i/>
        </w:rPr>
        <w:t>New England Journal of Medicine</w:t>
      </w:r>
      <w:r>
        <w:rPr/>
        <w:t>, 338:265-266.</w:t>
      </w:r>
    </w:p>
    <w:p>
      <w:pPr>
        <w:spacing w:line="480" w:lineRule="auto" w:before="0"/>
        <w:ind w:left="1016" w:right="1137" w:hanging="720"/>
        <w:jc w:val="both"/>
        <w:rPr>
          <w:sz w:val="24"/>
        </w:rPr>
      </w:pPr>
      <w:r>
        <w:rPr>
          <w:sz w:val="24"/>
        </w:rPr>
        <w:t>Mohammed, Q., Gillies, M.C. and Wong, T.Y.</w:t>
      </w:r>
      <w:r>
        <w:rPr>
          <w:spacing w:val="40"/>
          <w:sz w:val="24"/>
        </w:rPr>
        <w:t> </w:t>
      </w:r>
      <w:r>
        <w:rPr>
          <w:sz w:val="24"/>
        </w:rPr>
        <w:t>(2007) “Management of diabetic retinopathy: a systematic review,” </w:t>
      </w:r>
      <w:r>
        <w:rPr>
          <w:i/>
          <w:sz w:val="24"/>
        </w:rPr>
        <w:t>Journal of the American Medical Association</w:t>
      </w:r>
      <w:r>
        <w:rPr>
          <w:sz w:val="24"/>
        </w:rPr>
        <w:t>, 298, (8):902-916.</w:t>
      </w:r>
    </w:p>
    <w:p>
      <w:pPr>
        <w:pStyle w:val="BodyText"/>
        <w:spacing w:before="6"/>
      </w:pPr>
    </w:p>
    <w:p>
      <w:pPr>
        <w:pStyle w:val="BodyText"/>
        <w:spacing w:line="480" w:lineRule="auto"/>
        <w:ind w:left="1016" w:right="1133" w:hanging="720"/>
        <w:jc w:val="both"/>
      </w:pPr>
      <w:hyperlink r:id="rId48">
        <w:r>
          <w:rPr/>
          <w:t>Murali, G.</w:t>
        </w:r>
      </w:hyperlink>
      <w:r>
        <w:rPr/>
        <w:t>, </w:t>
      </w:r>
      <w:hyperlink r:id="rId49">
        <w:r>
          <w:rPr/>
          <w:t>Eduardo, J.M.</w:t>
        </w:r>
      </w:hyperlink>
      <w:r>
        <w:rPr/>
        <w:t>, </w:t>
      </w:r>
      <w:hyperlink r:id="rId50">
        <w:r>
          <w:rPr/>
          <w:t>Char, C.S.</w:t>
        </w:r>
      </w:hyperlink>
      <w:r>
        <w:rPr/>
        <w:t>, </w:t>
      </w:r>
      <w:hyperlink r:id="rId51">
        <w:r>
          <w:rPr/>
          <w:t>Lisa, M.M.</w:t>
        </w:r>
      </w:hyperlink>
      <w:r>
        <w:rPr/>
        <w:t>, </w:t>
      </w:r>
      <w:hyperlink r:id="rId52">
        <w:r>
          <w:rPr/>
          <w:t>Jean, M.R.</w:t>
        </w:r>
      </w:hyperlink>
      <w:r>
        <w:rPr/>
        <w:t>, </w:t>
      </w:r>
      <w:hyperlink r:id="rId53">
        <w:r>
          <w:rPr/>
          <w:t>Kristi, L.W.</w:t>
        </w:r>
      </w:hyperlink>
      <w:r>
        <w:rPr/>
        <w:t>, Scott, </w:t>
      </w:r>
      <w:hyperlink r:id="rId54">
        <w:r>
          <w:rPr/>
          <w:t>V.E.S.,</w:t>
        </w:r>
      </w:hyperlink>
      <w:r>
        <w:rPr/>
        <w:t> </w:t>
      </w:r>
      <w:hyperlink r:id="rId55">
        <w:r>
          <w:rPr/>
          <w:t>James, P.S.</w:t>
        </w:r>
      </w:hyperlink>
      <w:r>
        <w:rPr/>
        <w:t> and </w:t>
      </w:r>
      <w:hyperlink r:id="rId56">
        <w:r>
          <w:rPr/>
          <w:t>Jorge, D.B.</w:t>
        </w:r>
      </w:hyperlink>
      <w:r>
        <w:rPr/>
        <w:t> (2000). Pharmacology of human sulphonylurea</w:t>
      </w:r>
      <w:r>
        <w:rPr>
          <w:spacing w:val="40"/>
        </w:rPr>
        <w:t> </w:t>
      </w:r>
      <w:r>
        <w:rPr/>
        <w:t>receptor SUR1 and inward rectifier K</w:t>
      </w:r>
      <w:r>
        <w:rPr>
          <w:vertAlign w:val="superscript"/>
        </w:rPr>
        <w:t>+</w:t>
      </w:r>
      <w:r>
        <w:rPr>
          <w:vertAlign w:val="baseline"/>
        </w:rPr>
        <w:t> channel Kir6.2 combination expressed in HEK-293 cells. </w:t>
      </w:r>
      <w:r>
        <w:rPr>
          <w:i/>
          <w:vertAlign w:val="baseline"/>
        </w:rPr>
        <w:t>British Journal of Pharmacology</w:t>
      </w:r>
      <w:r>
        <w:rPr>
          <w:vertAlign w:val="baseline"/>
        </w:rPr>
        <w:t>, 129(7):1323-1332.</w:t>
      </w:r>
    </w:p>
    <w:p>
      <w:pPr>
        <w:pStyle w:val="BodyText"/>
        <w:spacing w:before="3"/>
      </w:pPr>
    </w:p>
    <w:p>
      <w:pPr>
        <w:pStyle w:val="BodyText"/>
        <w:spacing w:line="480" w:lineRule="auto"/>
        <w:ind w:left="1016" w:right="1141" w:hanging="720"/>
      </w:pPr>
      <w:r>
        <w:rPr/>
        <w:t>Nadler,</w:t>
      </w:r>
      <w:r>
        <w:rPr>
          <w:spacing w:val="40"/>
        </w:rPr>
        <w:t> </w:t>
      </w:r>
      <w:r>
        <w:rPr/>
        <w:t>J.L.,</w:t>
      </w:r>
      <w:r>
        <w:rPr>
          <w:spacing w:val="40"/>
        </w:rPr>
        <w:t> </w:t>
      </w:r>
      <w:r>
        <w:rPr/>
        <w:t>Buchanan,</w:t>
      </w:r>
      <w:r>
        <w:rPr>
          <w:spacing w:val="40"/>
        </w:rPr>
        <w:t> </w:t>
      </w:r>
      <w:r>
        <w:rPr/>
        <w:t>T.</w:t>
      </w:r>
      <w:r>
        <w:rPr>
          <w:spacing w:val="40"/>
        </w:rPr>
        <w:t> </w:t>
      </w:r>
      <w:r>
        <w:rPr/>
        <w:t>and</w:t>
      </w:r>
      <w:r>
        <w:rPr>
          <w:spacing w:val="40"/>
        </w:rPr>
        <w:t> </w:t>
      </w:r>
      <w:r>
        <w:rPr/>
        <w:t>Natrajan,</w:t>
      </w:r>
      <w:r>
        <w:rPr>
          <w:spacing w:val="40"/>
        </w:rPr>
        <w:t> </w:t>
      </w:r>
      <w:r>
        <w:rPr/>
        <w:t>R.</w:t>
      </w:r>
      <w:r>
        <w:rPr>
          <w:spacing w:val="40"/>
        </w:rPr>
        <w:t> </w:t>
      </w:r>
      <w:r>
        <w:rPr/>
        <w:t>(1993).</w:t>
      </w:r>
      <w:r>
        <w:rPr>
          <w:spacing w:val="40"/>
        </w:rPr>
        <w:t> </w:t>
      </w:r>
      <w:r>
        <w:rPr/>
        <w:t>Magnesium</w:t>
      </w:r>
      <w:r>
        <w:rPr>
          <w:spacing w:val="40"/>
        </w:rPr>
        <w:t> </w:t>
      </w:r>
      <w:r>
        <w:rPr/>
        <w:t>deficiency</w:t>
      </w:r>
      <w:r>
        <w:rPr>
          <w:spacing w:val="40"/>
        </w:rPr>
        <w:t> </w:t>
      </w:r>
      <w:r>
        <w:rPr/>
        <w:t>produces</w:t>
      </w:r>
      <w:r>
        <w:rPr>
          <w:spacing w:val="40"/>
        </w:rPr>
        <w:t> </w:t>
      </w:r>
      <w:r>
        <w:rPr/>
        <w:t>insulin resistance and increased thromboxane synthesis. </w:t>
      </w:r>
      <w:r>
        <w:rPr>
          <w:i/>
        </w:rPr>
        <w:t>Hypertension</w:t>
      </w:r>
      <w:r>
        <w:rPr/>
        <w:t>, 21:1024-29.</w:t>
      </w:r>
    </w:p>
    <w:p>
      <w:pPr>
        <w:spacing w:line="480" w:lineRule="auto" w:before="0"/>
        <w:ind w:left="1016" w:right="1141" w:hanging="720"/>
        <w:jc w:val="left"/>
        <w:rPr>
          <w:sz w:val="24"/>
        </w:rPr>
      </w:pPr>
      <w:r>
        <w:rPr>
          <w:sz w:val="24"/>
        </w:rPr>
        <w:t>Nasir, A., Jahangir, K., Tahir, S.S. (2008). Types of diabetes mellitus, </w:t>
      </w:r>
      <w:r>
        <w:rPr>
          <w:i/>
          <w:sz w:val="24"/>
        </w:rPr>
        <w:t>Journal of Ayubedic Medical College Abbottabad</w:t>
      </w:r>
      <w:r>
        <w:rPr>
          <w:sz w:val="24"/>
        </w:rPr>
        <w:t>, 20: 51-54.</w:t>
      </w:r>
    </w:p>
    <w:p>
      <w:pPr>
        <w:pStyle w:val="BodyText"/>
        <w:ind w:left="296"/>
      </w:pPr>
      <w:r>
        <w:rPr/>
        <w:t>Naylor,</w:t>
      </w:r>
      <w:r>
        <w:rPr>
          <w:spacing w:val="4"/>
        </w:rPr>
        <w:t> </w:t>
      </w:r>
      <w:r>
        <w:rPr/>
        <w:t>C.D.,</w:t>
      </w:r>
      <w:r>
        <w:rPr>
          <w:spacing w:val="5"/>
        </w:rPr>
        <w:t> </w:t>
      </w:r>
      <w:r>
        <w:rPr/>
        <w:t>Mathew,</w:t>
      </w:r>
      <w:r>
        <w:rPr>
          <w:spacing w:val="5"/>
        </w:rPr>
        <w:t> </w:t>
      </w:r>
      <w:r>
        <w:rPr/>
        <w:t>S.,</w:t>
      </w:r>
      <w:r>
        <w:rPr>
          <w:spacing w:val="4"/>
        </w:rPr>
        <w:t> </w:t>
      </w:r>
      <w:r>
        <w:rPr/>
        <w:t>Erluo</w:t>
      </w:r>
      <w:r>
        <w:rPr>
          <w:spacing w:val="6"/>
        </w:rPr>
        <w:t> </w:t>
      </w:r>
      <w:r>
        <w:rPr/>
        <w:t>C.</w:t>
      </w:r>
      <w:r>
        <w:rPr>
          <w:spacing w:val="5"/>
        </w:rPr>
        <w:t> </w:t>
      </w:r>
      <w:r>
        <w:rPr/>
        <w:t>and</w:t>
      </w:r>
      <w:r>
        <w:rPr>
          <w:spacing w:val="4"/>
        </w:rPr>
        <w:t> </w:t>
      </w:r>
      <w:r>
        <w:rPr/>
        <w:t>Dan,</w:t>
      </w:r>
      <w:r>
        <w:rPr>
          <w:spacing w:val="5"/>
        </w:rPr>
        <w:t> </w:t>
      </w:r>
      <w:r>
        <w:rPr/>
        <w:t>F.</w:t>
      </w:r>
      <w:r>
        <w:rPr>
          <w:spacing w:val="5"/>
        </w:rPr>
        <w:t> </w:t>
      </w:r>
      <w:r>
        <w:rPr/>
        <w:t>(1997).</w:t>
      </w:r>
      <w:r>
        <w:rPr>
          <w:spacing w:val="5"/>
        </w:rPr>
        <w:t> </w:t>
      </w:r>
      <w:r>
        <w:rPr/>
        <w:t>Screening</w:t>
      </w:r>
      <w:r>
        <w:rPr>
          <w:spacing w:val="7"/>
        </w:rPr>
        <w:t> </w:t>
      </w:r>
      <w:r>
        <w:rPr/>
        <w:t>for</w:t>
      </w:r>
      <w:r>
        <w:rPr>
          <w:spacing w:val="6"/>
        </w:rPr>
        <w:t> </w:t>
      </w:r>
      <w:r>
        <w:rPr/>
        <w:t>gestational</w:t>
      </w:r>
      <w:r>
        <w:rPr>
          <w:spacing w:val="6"/>
        </w:rPr>
        <w:t> </w:t>
      </w:r>
      <w:r>
        <w:rPr>
          <w:spacing w:val="-2"/>
        </w:rPr>
        <w:t>diabetes.</w:t>
      </w:r>
    </w:p>
    <w:p>
      <w:pPr>
        <w:pStyle w:val="BodyText"/>
      </w:pPr>
    </w:p>
    <w:p>
      <w:pPr>
        <w:spacing w:before="0"/>
        <w:ind w:left="1016" w:right="0" w:firstLine="0"/>
        <w:jc w:val="left"/>
        <w:rPr>
          <w:sz w:val="24"/>
        </w:rPr>
      </w:pPr>
      <w:r>
        <w:rPr>
          <w:i/>
          <w:sz w:val="24"/>
        </w:rPr>
        <w:t>Massachusetts</w:t>
      </w:r>
      <w:r>
        <w:rPr>
          <w:i/>
          <w:spacing w:val="-4"/>
          <w:sz w:val="24"/>
        </w:rPr>
        <w:t> </w:t>
      </w:r>
      <w:r>
        <w:rPr>
          <w:i/>
          <w:sz w:val="24"/>
        </w:rPr>
        <w:t>Medical</w:t>
      </w:r>
      <w:r>
        <w:rPr>
          <w:i/>
          <w:spacing w:val="-1"/>
          <w:sz w:val="24"/>
        </w:rPr>
        <w:t> </w:t>
      </w:r>
      <w:r>
        <w:rPr>
          <w:i/>
          <w:sz w:val="24"/>
        </w:rPr>
        <w:t>Society</w:t>
      </w:r>
      <w:r>
        <w:rPr>
          <w:sz w:val="24"/>
        </w:rPr>
        <w:t>,</w:t>
      </w:r>
      <w:r>
        <w:rPr>
          <w:spacing w:val="-1"/>
          <w:sz w:val="24"/>
        </w:rPr>
        <w:t> </w:t>
      </w:r>
      <w:r>
        <w:rPr>
          <w:sz w:val="24"/>
        </w:rPr>
        <w:t>337:</w:t>
      </w:r>
      <w:r>
        <w:rPr>
          <w:spacing w:val="-1"/>
          <w:sz w:val="24"/>
        </w:rPr>
        <w:t> </w:t>
      </w:r>
      <w:r>
        <w:rPr>
          <w:sz w:val="24"/>
        </w:rPr>
        <w:t>1592-</w:t>
      </w:r>
      <w:r>
        <w:rPr>
          <w:spacing w:val="-2"/>
          <w:sz w:val="24"/>
        </w:rPr>
        <w:t>1596.</w:t>
      </w:r>
    </w:p>
    <w:p>
      <w:pPr>
        <w:pStyle w:val="BodyText"/>
        <w:spacing w:before="1"/>
      </w:pPr>
    </w:p>
    <w:p>
      <w:pPr>
        <w:pStyle w:val="BodyText"/>
        <w:ind w:left="296"/>
      </w:pPr>
      <w:r>
        <w:rPr/>
        <w:t>Niefeld,</w:t>
      </w:r>
      <w:r>
        <w:rPr>
          <w:spacing w:val="40"/>
        </w:rPr>
        <w:t> </w:t>
      </w:r>
      <w:r>
        <w:rPr/>
        <w:t>M.R.,</w:t>
      </w:r>
      <w:r>
        <w:rPr>
          <w:spacing w:val="39"/>
        </w:rPr>
        <w:t> </w:t>
      </w:r>
      <w:r>
        <w:rPr/>
        <w:t>Braunstein,</w:t>
      </w:r>
      <w:r>
        <w:rPr>
          <w:spacing w:val="40"/>
        </w:rPr>
        <w:t> </w:t>
      </w:r>
      <w:r>
        <w:rPr/>
        <w:t>J.B.,</w:t>
      </w:r>
      <w:r>
        <w:rPr>
          <w:spacing w:val="39"/>
        </w:rPr>
        <w:t> </w:t>
      </w:r>
      <w:r>
        <w:rPr/>
        <w:t>Wu,</w:t>
      </w:r>
      <w:r>
        <w:rPr>
          <w:spacing w:val="39"/>
        </w:rPr>
        <w:t> </w:t>
      </w:r>
      <w:r>
        <w:rPr/>
        <w:t>A.W.,</w:t>
      </w:r>
      <w:r>
        <w:rPr>
          <w:spacing w:val="40"/>
        </w:rPr>
        <w:t> </w:t>
      </w:r>
      <w:r>
        <w:rPr/>
        <w:t>Saudek,</w:t>
      </w:r>
      <w:r>
        <w:rPr>
          <w:spacing w:val="39"/>
        </w:rPr>
        <w:t> </w:t>
      </w:r>
      <w:r>
        <w:rPr/>
        <w:t>C.D.,</w:t>
      </w:r>
      <w:r>
        <w:rPr>
          <w:spacing w:val="39"/>
        </w:rPr>
        <w:t> </w:t>
      </w:r>
      <w:r>
        <w:rPr/>
        <w:t>Weller,</w:t>
      </w:r>
      <w:r>
        <w:rPr>
          <w:spacing w:val="39"/>
        </w:rPr>
        <w:t> </w:t>
      </w:r>
      <w:r>
        <w:rPr/>
        <w:t>W.E.</w:t>
      </w:r>
      <w:r>
        <w:rPr>
          <w:spacing w:val="39"/>
        </w:rPr>
        <w:t> </w:t>
      </w:r>
      <w:r>
        <w:rPr/>
        <w:t>and</w:t>
      </w:r>
      <w:r>
        <w:rPr>
          <w:spacing w:val="40"/>
        </w:rPr>
        <w:t> </w:t>
      </w:r>
      <w:r>
        <w:rPr>
          <w:spacing w:val="-2"/>
        </w:rPr>
        <w:t>Anderson,</w:t>
      </w:r>
    </w:p>
    <w:p>
      <w:pPr>
        <w:pStyle w:val="BodyText"/>
      </w:pPr>
    </w:p>
    <w:p>
      <w:pPr>
        <w:pStyle w:val="BodyText"/>
        <w:spacing w:line="480" w:lineRule="auto"/>
        <w:ind w:left="1016" w:right="1141"/>
      </w:pPr>
      <w:r>
        <w:rPr/>
        <w:t>G.F. (2003). Preventable Hospitalization among Elderly Medicine Beneficiatiaries with T2DM, </w:t>
      </w:r>
      <w:r>
        <w:rPr>
          <w:i/>
        </w:rPr>
        <w:t>Diabetes care, </w:t>
      </w:r>
      <w:r>
        <w:rPr/>
        <w:t>26(5):1344-1349.</w:t>
      </w:r>
    </w:p>
    <w:p>
      <w:pPr>
        <w:spacing w:after="0" w:line="480" w:lineRule="auto"/>
        <w:sectPr>
          <w:pgSz w:w="12240" w:h="15840"/>
          <w:pgMar w:header="0" w:footer="1015" w:top="1360" w:bottom="1200" w:left="1720" w:right="300"/>
        </w:sectPr>
      </w:pPr>
    </w:p>
    <w:p>
      <w:pPr>
        <w:pStyle w:val="BodyText"/>
        <w:spacing w:line="480" w:lineRule="auto" w:before="72"/>
        <w:ind w:left="1016" w:right="1140" w:hanging="720"/>
        <w:jc w:val="both"/>
      </w:pPr>
      <w:r>
        <w:rPr/>
        <w:t>Novakowska, D.E. (1990). Circadian rhythm of 5-Fluorouracil pharmacokinetics and tolerance. </w:t>
      </w:r>
      <w:r>
        <w:rPr>
          <w:i/>
        </w:rPr>
        <w:t>Chronobiologia, </w:t>
      </w:r>
      <w:r>
        <w:rPr/>
        <w:t>17: 27-35.</w:t>
      </w:r>
    </w:p>
    <w:p>
      <w:pPr>
        <w:pStyle w:val="BodyText"/>
        <w:spacing w:line="480" w:lineRule="auto"/>
        <w:ind w:left="1016" w:right="1138" w:hanging="720"/>
        <w:jc w:val="both"/>
      </w:pPr>
      <w:r>
        <w:rPr/>
        <w:t>Ntemka, A., Iliadis, F., Papanikolaou, Ν.Α. and Grekas, D. (2011). Network-centric analysis of genetic predisposition in diabetic nephropathy. </w:t>
      </w:r>
      <w:r>
        <w:rPr>
          <w:i/>
        </w:rPr>
        <w:t>Hippokratia</w:t>
      </w:r>
      <w:r>
        <w:rPr/>
        <w:t>, 15 (3): </w:t>
      </w:r>
      <w:r>
        <w:rPr>
          <w:spacing w:val="-2"/>
        </w:rPr>
        <w:t>232–237.</w:t>
      </w:r>
    </w:p>
    <w:p>
      <w:pPr>
        <w:pStyle w:val="BodyText"/>
        <w:spacing w:line="480" w:lineRule="auto"/>
        <w:ind w:left="1016" w:right="1143" w:hanging="720"/>
        <w:jc w:val="both"/>
      </w:pPr>
      <w:r>
        <w:rPr/>
        <w:t>Nyenwe, E.A., Odia, O.J., Ihekwaba, A.E., Ojule, A. and Babatunde, S. (2003). Type 2 diabetes in adult Nigerians: a study of its prevalence in Port Harcourt, Nigeria. </w:t>
      </w:r>
      <w:r>
        <w:rPr>
          <w:i/>
        </w:rPr>
        <w:t>Diabetes Research in Clinical Practice</w:t>
      </w:r>
      <w:r>
        <w:rPr/>
        <w:t>, 62: 177 – 185.</w:t>
      </w:r>
    </w:p>
    <w:p>
      <w:pPr>
        <w:pStyle w:val="BodyText"/>
        <w:spacing w:line="480" w:lineRule="auto" w:before="1"/>
        <w:ind w:left="1016" w:right="1142" w:hanging="720"/>
        <w:jc w:val="both"/>
      </w:pPr>
      <w:r>
        <w:rPr/>
        <w:t>Ohdo, S., Nakano, S. and Ogawa, N. Chronopharmacokinetics of Valproic acid following constant-rate administration in mice. </w:t>
      </w:r>
      <w:r>
        <w:rPr>
          <w:i/>
        </w:rPr>
        <w:t>Chronobiology International</w:t>
      </w:r>
      <w:r>
        <w:rPr/>
        <w:t>, 1991; 8:35-43.</w:t>
      </w:r>
    </w:p>
    <w:p>
      <w:pPr>
        <w:spacing w:before="0"/>
        <w:ind w:left="296" w:right="0" w:firstLine="0"/>
        <w:jc w:val="both"/>
        <w:rPr>
          <w:sz w:val="24"/>
        </w:rPr>
      </w:pPr>
      <w:r>
        <w:rPr>
          <w:sz w:val="24"/>
        </w:rPr>
        <w:t>Oslon,</w:t>
      </w:r>
      <w:r>
        <w:rPr>
          <w:spacing w:val="6"/>
          <w:sz w:val="24"/>
        </w:rPr>
        <w:t> </w:t>
      </w:r>
      <w:r>
        <w:rPr>
          <w:sz w:val="24"/>
        </w:rPr>
        <w:t>K.</w:t>
      </w:r>
      <w:r>
        <w:rPr>
          <w:spacing w:val="5"/>
          <w:sz w:val="24"/>
        </w:rPr>
        <w:t> </w:t>
      </w:r>
      <w:r>
        <w:rPr>
          <w:sz w:val="24"/>
        </w:rPr>
        <w:t>(2011).</w:t>
      </w:r>
      <w:r>
        <w:rPr>
          <w:spacing w:val="5"/>
          <w:sz w:val="24"/>
        </w:rPr>
        <w:t> </w:t>
      </w:r>
      <w:r>
        <w:rPr>
          <w:sz w:val="24"/>
        </w:rPr>
        <w:t>Calcium</w:t>
      </w:r>
      <w:r>
        <w:rPr>
          <w:spacing w:val="6"/>
          <w:sz w:val="24"/>
        </w:rPr>
        <w:t> </w:t>
      </w:r>
      <w:r>
        <w:rPr>
          <w:sz w:val="24"/>
        </w:rPr>
        <w:t>channel</w:t>
      </w:r>
      <w:r>
        <w:rPr>
          <w:spacing w:val="8"/>
          <w:sz w:val="24"/>
        </w:rPr>
        <w:t> </w:t>
      </w:r>
      <w:r>
        <w:rPr>
          <w:sz w:val="24"/>
        </w:rPr>
        <w:t>antagonists.</w:t>
      </w:r>
      <w:r>
        <w:rPr>
          <w:spacing w:val="7"/>
          <w:sz w:val="24"/>
        </w:rPr>
        <w:t> </w:t>
      </w:r>
      <w:r>
        <w:rPr>
          <w:i/>
          <w:sz w:val="24"/>
        </w:rPr>
        <w:t>Poisoning</w:t>
      </w:r>
      <w:r>
        <w:rPr>
          <w:i/>
          <w:spacing w:val="5"/>
          <w:sz w:val="24"/>
        </w:rPr>
        <w:t> </w:t>
      </w:r>
      <w:r>
        <w:rPr>
          <w:i/>
          <w:sz w:val="24"/>
        </w:rPr>
        <w:t>and</w:t>
      </w:r>
      <w:r>
        <w:rPr>
          <w:i/>
          <w:spacing w:val="5"/>
          <w:sz w:val="24"/>
        </w:rPr>
        <w:t> </w:t>
      </w:r>
      <w:r>
        <w:rPr>
          <w:i/>
          <w:sz w:val="24"/>
        </w:rPr>
        <w:t>drug</w:t>
      </w:r>
      <w:r>
        <w:rPr>
          <w:i/>
          <w:spacing w:val="7"/>
          <w:sz w:val="24"/>
        </w:rPr>
        <w:t> </w:t>
      </w:r>
      <w:r>
        <w:rPr>
          <w:i/>
          <w:sz w:val="24"/>
        </w:rPr>
        <w:t>overdose</w:t>
      </w:r>
      <w:r>
        <w:rPr>
          <w:i/>
          <w:spacing w:val="7"/>
          <w:sz w:val="24"/>
        </w:rPr>
        <w:t> </w:t>
      </w:r>
      <w:r>
        <w:rPr>
          <w:sz w:val="24"/>
        </w:rPr>
        <w:t>(6</w:t>
      </w:r>
      <w:r>
        <w:rPr>
          <w:sz w:val="24"/>
          <w:vertAlign w:val="superscript"/>
        </w:rPr>
        <w:t>th</w:t>
      </w:r>
      <w:r>
        <w:rPr>
          <w:spacing w:val="7"/>
          <w:sz w:val="24"/>
          <w:vertAlign w:val="baseline"/>
        </w:rPr>
        <w:t> </w:t>
      </w:r>
      <w:r>
        <w:rPr>
          <w:spacing w:val="-2"/>
          <w:sz w:val="24"/>
          <w:vertAlign w:val="baseline"/>
        </w:rPr>
        <w:t>edition).</w:t>
      </w:r>
    </w:p>
    <w:p>
      <w:pPr>
        <w:pStyle w:val="BodyText"/>
      </w:pPr>
    </w:p>
    <w:p>
      <w:pPr>
        <w:pStyle w:val="BodyText"/>
        <w:ind w:left="1016"/>
      </w:pPr>
      <w:r>
        <w:rPr/>
        <w:t>McGraw-Hill</w:t>
      </w:r>
      <w:r>
        <w:rPr>
          <w:spacing w:val="-2"/>
        </w:rPr>
        <w:t> </w:t>
      </w:r>
      <w:r>
        <w:rPr/>
        <w:t>Medical</w:t>
      </w:r>
      <w:r>
        <w:rPr>
          <w:spacing w:val="-2"/>
        </w:rPr>
        <w:t> </w:t>
      </w:r>
      <w:r>
        <w:rPr/>
        <w:t>publishers,</w:t>
      </w:r>
      <w:r>
        <w:rPr>
          <w:spacing w:val="-1"/>
        </w:rPr>
        <w:t> </w:t>
      </w:r>
      <w:r>
        <w:rPr/>
        <w:t>NewYork, USA.</w:t>
      </w:r>
      <w:r>
        <w:rPr>
          <w:spacing w:val="-1"/>
        </w:rPr>
        <w:t> </w:t>
      </w:r>
      <w:r>
        <w:rPr/>
        <w:t>45-</w:t>
      </w:r>
      <w:r>
        <w:rPr>
          <w:spacing w:val="-5"/>
        </w:rPr>
        <w:t>48.</w:t>
      </w:r>
    </w:p>
    <w:p>
      <w:pPr>
        <w:pStyle w:val="BodyText"/>
      </w:pPr>
    </w:p>
    <w:p>
      <w:pPr>
        <w:pStyle w:val="BodyText"/>
        <w:spacing w:line="480" w:lineRule="auto"/>
        <w:ind w:left="1016" w:right="1144" w:hanging="720"/>
        <w:jc w:val="both"/>
      </w:pPr>
      <w:r>
        <w:rPr/>
        <w:t>Padwel, R. and Laupacis, A. (2004). Antihypertensive therapy and incidence of type 2 diabetes. </w:t>
      </w:r>
      <w:r>
        <w:rPr>
          <w:i/>
        </w:rPr>
        <w:t>Diabetes care</w:t>
      </w:r>
      <w:r>
        <w:rPr/>
        <w:t>, 27: 247-255.</w:t>
      </w:r>
    </w:p>
    <w:p>
      <w:pPr>
        <w:pStyle w:val="BodyText"/>
        <w:spacing w:line="480" w:lineRule="auto" w:before="1"/>
        <w:ind w:left="1016" w:right="1136" w:hanging="720"/>
        <w:jc w:val="both"/>
      </w:pPr>
      <w:r>
        <w:rPr/>
        <w:t>Patel, M.M. and Amin, A.F. (2011). Design and optimization of colon-targeted system of theophylline for chronotherapy of nocturnal asthma. </w:t>
      </w:r>
      <w:r>
        <w:rPr>
          <w:i/>
        </w:rPr>
        <w:t>Journal of Pharmaceutical Science</w:t>
      </w:r>
      <w:r>
        <w:rPr/>
        <w:t>, 100:1760–1772.</w:t>
      </w:r>
    </w:p>
    <w:p>
      <w:pPr>
        <w:pStyle w:val="BodyText"/>
        <w:spacing w:line="480" w:lineRule="auto"/>
        <w:ind w:left="1016" w:right="1138" w:hanging="720"/>
        <w:jc w:val="both"/>
      </w:pPr>
      <w:r>
        <w:rPr/>
        <w:t>Patidar, D. (2011). </w:t>
      </w:r>
      <w:r>
        <w:rPr>
          <w:i/>
        </w:rPr>
        <w:t>Pharmacology- III</w:t>
      </w:r>
      <w:r>
        <w:rPr/>
        <w:t>. (2</w:t>
      </w:r>
      <w:r>
        <w:rPr>
          <w:vertAlign w:val="superscript"/>
        </w:rPr>
        <w:t>nd</w:t>
      </w:r>
      <w:r>
        <w:rPr>
          <w:vertAlign w:val="baseline"/>
        </w:rPr>
        <w:t> edition). Meerut: Shree Sai Prakashan. 113– </w:t>
      </w:r>
      <w:r>
        <w:rPr>
          <w:spacing w:val="-4"/>
          <w:vertAlign w:val="baseline"/>
        </w:rPr>
        <w:t>114.</w:t>
      </w:r>
    </w:p>
    <w:p>
      <w:pPr>
        <w:pStyle w:val="BodyText"/>
        <w:spacing w:line="480" w:lineRule="auto" w:before="1"/>
        <w:ind w:left="1016" w:right="1135" w:hanging="720"/>
        <w:jc w:val="both"/>
      </w:pPr>
      <w:r>
        <w:rPr/>
        <w:t>Paysse, H., Fagiolino, P., Vazquez, M., Beyssac, E., Cardot, J.M. and Aiache, J.M. (1997). Chronopharmacokinetics of Carbamazepin and 10, 11 Epoxide. </w:t>
      </w:r>
      <w:r>
        <w:rPr>
          <w:i/>
        </w:rPr>
        <w:t>Journal de Pharmacia Clinique </w:t>
      </w:r>
      <w:r>
        <w:rPr/>
        <w:t>16: 60-64.</w:t>
      </w:r>
    </w:p>
    <w:p>
      <w:pPr>
        <w:spacing w:after="0" w:line="480" w:lineRule="auto"/>
        <w:jc w:val="both"/>
        <w:sectPr>
          <w:pgSz w:w="12240" w:h="15840"/>
          <w:pgMar w:header="0" w:footer="1015" w:top="1360" w:bottom="1200" w:left="1720" w:right="300"/>
        </w:sectPr>
      </w:pPr>
    </w:p>
    <w:p>
      <w:pPr>
        <w:spacing w:line="480" w:lineRule="auto" w:before="72"/>
        <w:ind w:left="1016" w:right="1138" w:hanging="720"/>
        <w:jc w:val="both"/>
        <w:rPr>
          <w:sz w:val="24"/>
        </w:rPr>
      </w:pPr>
      <w:r>
        <w:rPr>
          <w:sz w:val="24"/>
        </w:rPr>
        <w:t>Pourghasem, M., Ebrahim, N. and Hamid, S. (2014). Early Renal Histological Changes in Alloxan-Induced Diabetic Rats. </w:t>
      </w:r>
      <w:r>
        <w:rPr>
          <w:i/>
          <w:sz w:val="24"/>
        </w:rPr>
        <w:t>International Journal for Molecular and Cellular Medicine</w:t>
      </w:r>
      <w:r>
        <w:rPr>
          <w:sz w:val="24"/>
        </w:rPr>
        <w:t>, 3 (1): 13-15.</w:t>
      </w:r>
    </w:p>
    <w:p>
      <w:pPr>
        <w:spacing w:line="480" w:lineRule="auto" w:before="0"/>
        <w:ind w:left="1016" w:right="1137" w:hanging="720"/>
        <w:jc w:val="both"/>
        <w:rPr>
          <w:sz w:val="24"/>
        </w:rPr>
      </w:pPr>
      <w:r>
        <w:rPr>
          <w:sz w:val="24"/>
        </w:rPr>
        <w:t>Randall, L.O. and Sellito, J.J. (1957). A method for measurement of analgesic activity on inflamed tissue. </w:t>
      </w:r>
      <w:r>
        <w:rPr>
          <w:i/>
          <w:sz w:val="24"/>
        </w:rPr>
        <w:t>Archives internationals de pharmacodynamie et de therapie</w:t>
      </w:r>
      <w:r>
        <w:rPr>
          <w:sz w:val="24"/>
        </w:rPr>
        <w:t>, </w:t>
      </w:r>
      <w:r>
        <w:rPr>
          <w:spacing w:val="-2"/>
          <w:sz w:val="24"/>
        </w:rPr>
        <w:t>1;111(4):409-419.</w:t>
      </w:r>
    </w:p>
    <w:p>
      <w:pPr>
        <w:pStyle w:val="BodyText"/>
        <w:spacing w:before="6"/>
      </w:pPr>
    </w:p>
    <w:p>
      <w:pPr>
        <w:pStyle w:val="BodyText"/>
        <w:spacing w:line="480" w:lineRule="auto"/>
        <w:ind w:left="1016" w:right="1136" w:hanging="720"/>
        <w:jc w:val="both"/>
      </w:pPr>
      <w:r>
        <w:rPr/>
        <w:t>Ravid, M., Lang, R. Rachmani, R. and Lishner, M. (1996). Long-term renoprotective</w:t>
      </w:r>
      <w:r>
        <w:rPr>
          <w:spacing w:val="80"/>
        </w:rPr>
        <w:t> </w:t>
      </w:r>
      <w:r>
        <w:rPr/>
        <w:t>effect of angiotensin-converting enzyme inhibition in non-insulin-dependent diabetes mellitus: A 7-year follow-up study. </w:t>
      </w:r>
      <w:r>
        <w:rPr>
          <w:i/>
        </w:rPr>
        <w:t>Archive of Internal Medicine</w:t>
      </w:r>
      <w:r>
        <w:rPr/>
        <w:t>, 156: </w:t>
      </w:r>
      <w:r>
        <w:rPr>
          <w:spacing w:val="-2"/>
        </w:rPr>
        <w:t>286–289.</w:t>
      </w:r>
    </w:p>
    <w:p>
      <w:pPr>
        <w:pStyle w:val="BodyText"/>
        <w:spacing w:before="2"/>
      </w:pPr>
    </w:p>
    <w:p>
      <w:pPr>
        <w:pStyle w:val="BodyText"/>
        <w:spacing w:line="480" w:lineRule="auto"/>
        <w:ind w:left="1016" w:hanging="720"/>
      </w:pPr>
      <w:r>
        <w:rPr/>
        <w:t>Redfern,</w:t>
      </w:r>
      <w:r>
        <w:rPr>
          <w:spacing w:val="38"/>
        </w:rPr>
        <w:t> </w:t>
      </w:r>
      <w:r>
        <w:rPr/>
        <w:t>P.,</w:t>
      </w:r>
      <w:r>
        <w:rPr>
          <w:spacing w:val="38"/>
        </w:rPr>
        <w:t> </w:t>
      </w:r>
      <w:r>
        <w:rPr/>
        <w:t>Waterhouse,</w:t>
      </w:r>
      <w:r>
        <w:rPr>
          <w:spacing w:val="38"/>
        </w:rPr>
        <w:t> </w:t>
      </w:r>
      <w:r>
        <w:rPr/>
        <w:t>J.</w:t>
      </w:r>
      <w:r>
        <w:rPr>
          <w:spacing w:val="38"/>
        </w:rPr>
        <w:t> </w:t>
      </w:r>
      <w:r>
        <w:rPr/>
        <w:t>and</w:t>
      </w:r>
      <w:r>
        <w:rPr>
          <w:spacing w:val="38"/>
        </w:rPr>
        <w:t> </w:t>
      </w:r>
      <w:r>
        <w:rPr/>
        <w:t>Minors,</w:t>
      </w:r>
      <w:r>
        <w:rPr>
          <w:spacing w:val="38"/>
        </w:rPr>
        <w:t> </w:t>
      </w:r>
      <w:r>
        <w:rPr/>
        <w:t>D.</w:t>
      </w:r>
      <w:r>
        <w:rPr>
          <w:spacing w:val="38"/>
        </w:rPr>
        <w:t> </w:t>
      </w:r>
      <w:r>
        <w:rPr/>
        <w:t>(1991).</w:t>
      </w:r>
      <w:r>
        <w:rPr>
          <w:spacing w:val="38"/>
        </w:rPr>
        <w:t> </w:t>
      </w:r>
      <w:r>
        <w:rPr/>
        <w:t>Circadian</w:t>
      </w:r>
      <w:r>
        <w:rPr>
          <w:spacing w:val="38"/>
        </w:rPr>
        <w:t> </w:t>
      </w:r>
      <w:r>
        <w:rPr/>
        <w:t>Rhythms:</w:t>
      </w:r>
      <w:r>
        <w:rPr>
          <w:spacing w:val="40"/>
        </w:rPr>
        <w:t> </w:t>
      </w:r>
      <w:r>
        <w:rPr/>
        <w:t>Principles</w:t>
      </w:r>
      <w:r>
        <w:rPr>
          <w:spacing w:val="39"/>
        </w:rPr>
        <w:t> </w:t>
      </w:r>
      <w:r>
        <w:rPr/>
        <w:t>and Measurement.</w:t>
      </w:r>
      <w:r>
        <w:rPr>
          <w:i/>
        </w:rPr>
        <w:t>Pharmacological Therapy, </w:t>
      </w:r>
      <w:r>
        <w:rPr/>
        <w:t>49: 311-327.</w:t>
      </w:r>
    </w:p>
    <w:p>
      <w:pPr>
        <w:spacing w:line="480" w:lineRule="auto" w:before="1"/>
        <w:ind w:left="1016" w:right="1141" w:hanging="720"/>
        <w:jc w:val="left"/>
        <w:rPr>
          <w:sz w:val="24"/>
        </w:rPr>
      </w:pPr>
      <w:r>
        <w:rPr>
          <w:sz w:val="24"/>
        </w:rPr>
        <w:t>Reinberg, A. (1976). New aspects of human chronopharmacology. </w:t>
      </w:r>
      <w:r>
        <w:rPr>
          <w:i/>
          <w:sz w:val="24"/>
        </w:rPr>
        <w:t>Archives of Toxicology</w:t>
      </w:r>
      <w:r>
        <w:rPr>
          <w:sz w:val="24"/>
        </w:rPr>
        <w:t>, 36 (3-4):327-339.</w:t>
      </w:r>
    </w:p>
    <w:p>
      <w:pPr>
        <w:pStyle w:val="BodyText"/>
        <w:ind w:left="296"/>
      </w:pPr>
      <w:r>
        <w:rPr/>
        <w:t>Reppert,</w:t>
      </w:r>
      <w:r>
        <w:rPr>
          <w:spacing w:val="20"/>
        </w:rPr>
        <w:t> </w:t>
      </w:r>
      <w:r>
        <w:rPr/>
        <w:t>S.</w:t>
      </w:r>
      <w:r>
        <w:rPr>
          <w:spacing w:val="23"/>
        </w:rPr>
        <w:t> </w:t>
      </w:r>
      <w:r>
        <w:rPr/>
        <w:t>M.</w:t>
      </w:r>
      <w:r>
        <w:rPr>
          <w:spacing w:val="24"/>
        </w:rPr>
        <w:t> </w:t>
      </w:r>
      <w:r>
        <w:rPr/>
        <w:t>and</w:t>
      </w:r>
      <w:r>
        <w:rPr>
          <w:spacing w:val="23"/>
        </w:rPr>
        <w:t> </w:t>
      </w:r>
      <w:r>
        <w:rPr/>
        <w:t>Weaver</w:t>
      </w:r>
      <w:r>
        <w:rPr>
          <w:spacing w:val="22"/>
        </w:rPr>
        <w:t> </w:t>
      </w:r>
      <w:r>
        <w:rPr/>
        <w:t>D.</w:t>
      </w:r>
      <w:r>
        <w:rPr>
          <w:spacing w:val="23"/>
        </w:rPr>
        <w:t> </w:t>
      </w:r>
      <w:r>
        <w:rPr/>
        <w:t>R.</w:t>
      </w:r>
      <w:r>
        <w:rPr>
          <w:spacing w:val="26"/>
        </w:rPr>
        <w:t> </w:t>
      </w:r>
      <w:r>
        <w:rPr/>
        <w:t>(2002).</w:t>
      </w:r>
      <w:r>
        <w:rPr>
          <w:spacing w:val="23"/>
        </w:rPr>
        <w:t> </w:t>
      </w:r>
      <w:r>
        <w:rPr/>
        <w:t>Coordination</w:t>
      </w:r>
      <w:r>
        <w:rPr>
          <w:spacing w:val="23"/>
        </w:rPr>
        <w:t> </w:t>
      </w:r>
      <w:r>
        <w:rPr/>
        <w:t>of</w:t>
      </w:r>
      <w:r>
        <w:rPr>
          <w:spacing w:val="23"/>
        </w:rPr>
        <w:t> </w:t>
      </w:r>
      <w:r>
        <w:rPr/>
        <w:t>circadian</w:t>
      </w:r>
      <w:r>
        <w:rPr>
          <w:spacing w:val="23"/>
        </w:rPr>
        <w:t> </w:t>
      </w:r>
      <w:r>
        <w:rPr/>
        <w:t>timing</w:t>
      </w:r>
      <w:r>
        <w:rPr>
          <w:spacing w:val="21"/>
        </w:rPr>
        <w:t> </w:t>
      </w:r>
      <w:r>
        <w:rPr/>
        <w:t>in</w:t>
      </w:r>
      <w:r>
        <w:rPr>
          <w:spacing w:val="24"/>
        </w:rPr>
        <w:t> </w:t>
      </w:r>
      <w:r>
        <w:rPr>
          <w:spacing w:val="-2"/>
        </w:rPr>
        <w:t>mammals.</w:t>
      </w:r>
    </w:p>
    <w:p>
      <w:pPr>
        <w:pStyle w:val="BodyText"/>
        <w:spacing w:before="2"/>
      </w:pPr>
    </w:p>
    <w:p>
      <w:pPr>
        <w:spacing w:before="0"/>
        <w:ind w:left="1016" w:right="0" w:firstLine="0"/>
        <w:jc w:val="left"/>
        <w:rPr>
          <w:sz w:val="24"/>
        </w:rPr>
      </w:pPr>
      <w:r>
        <w:rPr>
          <w:i/>
          <w:sz w:val="24"/>
        </w:rPr>
        <w:t>Nature,</w:t>
      </w:r>
      <w:r>
        <w:rPr>
          <w:i/>
          <w:spacing w:val="-2"/>
          <w:sz w:val="24"/>
        </w:rPr>
        <w:t> </w:t>
      </w:r>
      <w:r>
        <w:rPr>
          <w:sz w:val="24"/>
        </w:rPr>
        <w:t>418(6901):935-</w:t>
      </w:r>
      <w:r>
        <w:rPr>
          <w:spacing w:val="-4"/>
          <w:sz w:val="24"/>
        </w:rPr>
        <w:t>941.</w:t>
      </w:r>
    </w:p>
    <w:p>
      <w:pPr>
        <w:pStyle w:val="BodyText"/>
        <w:spacing w:before="197"/>
      </w:pPr>
    </w:p>
    <w:p>
      <w:pPr>
        <w:pStyle w:val="BodyText"/>
        <w:spacing w:line="480" w:lineRule="auto"/>
        <w:ind w:left="1016" w:right="1140" w:hanging="720"/>
        <w:jc w:val="both"/>
      </w:pPr>
      <w:r>
        <w:rPr/>
        <w:t>Robertson, S., Cameron, M.E. and Cotter, M.A (1992). Effect of calcium antagonist Nifedipine on peripheral nerve function in Steptozotocin induced diabetic rats. </w:t>
      </w:r>
      <w:r>
        <w:rPr>
          <w:i/>
        </w:rPr>
        <w:t>Diabetologia</w:t>
      </w:r>
      <w:r>
        <w:rPr/>
        <w:t>, 35(12) 1113-1117</w:t>
      </w:r>
    </w:p>
    <w:p>
      <w:pPr>
        <w:spacing w:line="480" w:lineRule="auto" w:before="1"/>
        <w:ind w:left="1016" w:right="1139" w:hanging="720"/>
        <w:jc w:val="both"/>
        <w:rPr>
          <w:sz w:val="24"/>
        </w:rPr>
      </w:pPr>
      <w:r>
        <w:rPr>
          <w:sz w:val="24"/>
        </w:rPr>
        <w:t>Roenfeldt, M., Safayi, H. and Ammon, H.P. (1992). KCL-induced insulin secreation from RINm5F cells is mediated through calcium influx along L-type calcium channels. </w:t>
      </w:r>
      <w:r>
        <w:rPr>
          <w:i/>
          <w:sz w:val="24"/>
        </w:rPr>
        <w:t>Naunyn-Schmiedeberg’s Archives of Pharmacology</w:t>
      </w:r>
      <w:r>
        <w:rPr>
          <w:sz w:val="24"/>
        </w:rPr>
        <w:t>, 346:527-531.</w:t>
      </w:r>
    </w:p>
    <w:p>
      <w:pPr>
        <w:spacing w:after="0" w:line="480" w:lineRule="auto"/>
        <w:jc w:val="both"/>
        <w:rPr>
          <w:sz w:val="24"/>
        </w:rPr>
        <w:sectPr>
          <w:pgSz w:w="12240" w:h="15840"/>
          <w:pgMar w:header="0" w:footer="1015" w:top="1360" w:bottom="1200" w:left="1720" w:right="300"/>
        </w:sectPr>
      </w:pPr>
    </w:p>
    <w:p>
      <w:pPr>
        <w:pStyle w:val="BodyText"/>
        <w:spacing w:line="480" w:lineRule="auto" w:before="72"/>
        <w:ind w:left="1016" w:right="1139" w:hanging="720"/>
        <w:jc w:val="both"/>
      </w:pPr>
      <w:r>
        <w:rPr/>
        <w:t>Rosenstock, J., Samols,</w:t>
      </w:r>
      <w:r>
        <w:rPr>
          <w:spacing w:val="-1"/>
        </w:rPr>
        <w:t> </w:t>
      </w:r>
      <w:r>
        <w:rPr/>
        <w:t>E., Muchmore, D. B. and Schneider, J. (1996). Glimepiride, a new once-daily sulfonylurea. A double-blind placebo-controlled study of NIDDM patients. Glimepiride Study Group. </w:t>
      </w:r>
      <w:r>
        <w:rPr>
          <w:i/>
        </w:rPr>
        <w:t>Diabetes Care</w:t>
      </w:r>
      <w:r>
        <w:rPr/>
        <w:t>, 19:1194-1199.</w:t>
      </w:r>
    </w:p>
    <w:p>
      <w:pPr>
        <w:spacing w:line="480" w:lineRule="auto" w:before="0"/>
        <w:ind w:left="1016" w:right="1139" w:hanging="720"/>
        <w:jc w:val="both"/>
        <w:rPr>
          <w:sz w:val="24"/>
        </w:rPr>
      </w:pPr>
      <w:r>
        <w:rPr>
          <w:sz w:val="24"/>
        </w:rPr>
        <w:t>Salau, B.A., Osilesi, O., Idowu, G.O., Musa, S. and E.O.A. (2003). Effects of fruits and vegetables on cardiovascular disease risk factors in non-insulin dependent diabetes mellitus (NIDDM) subjects. </w:t>
      </w:r>
      <w:r>
        <w:rPr>
          <w:i/>
          <w:sz w:val="24"/>
        </w:rPr>
        <w:t>African Journal of Medical and Pharmaceutical Sciences</w:t>
      </w:r>
      <w:r>
        <w:rPr>
          <w:sz w:val="24"/>
        </w:rPr>
        <w:t>, 7: 21–26.</w:t>
      </w:r>
    </w:p>
    <w:p>
      <w:pPr>
        <w:pStyle w:val="BodyText"/>
        <w:spacing w:line="480" w:lineRule="auto" w:before="1"/>
        <w:ind w:left="1016" w:right="1137" w:hanging="720"/>
        <w:jc w:val="both"/>
      </w:pPr>
      <w:r>
        <w:rPr/>
        <w:t>Saltiel, A.R. and Olefsky, J.M. (1996). Thiazolidinediones in the treatment of insulin resistance and type II diabetes. </w:t>
      </w:r>
      <w:r>
        <w:rPr>
          <w:i/>
        </w:rPr>
        <w:t>Diabetes</w:t>
      </w:r>
      <w:r>
        <w:rPr/>
        <w:t>, 45:1661-1669.</w:t>
      </w:r>
    </w:p>
    <w:p>
      <w:pPr>
        <w:spacing w:line="480" w:lineRule="auto" w:before="0"/>
        <w:ind w:left="1016" w:right="1161" w:hanging="720"/>
        <w:jc w:val="left"/>
        <w:rPr>
          <w:sz w:val="24"/>
        </w:rPr>
      </w:pPr>
      <w:r>
        <w:rPr>
          <w:sz w:val="24"/>
        </w:rPr>
        <w:t>Samala, S., Sandhya, R.T. and Ciddi, V.</w:t>
      </w:r>
      <w:r>
        <w:rPr>
          <w:spacing w:val="40"/>
          <w:sz w:val="24"/>
        </w:rPr>
        <w:t> </w:t>
      </w:r>
      <w:r>
        <w:rPr>
          <w:sz w:val="24"/>
        </w:rPr>
        <w:t>(2011). Determination of Glimepiride in Rat Serum</w:t>
      </w:r>
      <w:r>
        <w:rPr>
          <w:spacing w:val="-3"/>
          <w:sz w:val="24"/>
        </w:rPr>
        <w:t> </w:t>
      </w:r>
      <w:r>
        <w:rPr>
          <w:sz w:val="24"/>
        </w:rPr>
        <w:t>by</w:t>
      </w:r>
      <w:r>
        <w:rPr>
          <w:spacing w:val="-8"/>
          <w:sz w:val="24"/>
        </w:rPr>
        <w:t> </w:t>
      </w:r>
      <w:r>
        <w:rPr>
          <w:sz w:val="24"/>
        </w:rPr>
        <w:t>RP-HPLC</w:t>
      </w:r>
      <w:r>
        <w:rPr>
          <w:spacing w:val="-3"/>
          <w:sz w:val="24"/>
        </w:rPr>
        <w:t> </w:t>
      </w:r>
      <w:r>
        <w:rPr>
          <w:sz w:val="24"/>
        </w:rPr>
        <w:t>Method</w:t>
      </w:r>
      <w:r>
        <w:rPr>
          <w:spacing w:val="-3"/>
          <w:sz w:val="24"/>
        </w:rPr>
        <w:t> </w:t>
      </w:r>
      <w:r>
        <w:rPr>
          <w:sz w:val="24"/>
        </w:rPr>
        <w:t>(2011).</w:t>
      </w:r>
      <w:r>
        <w:rPr>
          <w:spacing w:val="40"/>
          <w:sz w:val="24"/>
        </w:rPr>
        <w:t> </w:t>
      </w:r>
      <w:r>
        <w:rPr>
          <w:i/>
          <w:sz w:val="24"/>
        </w:rPr>
        <w:t>American</w:t>
      </w:r>
      <w:r>
        <w:rPr>
          <w:i/>
          <w:spacing w:val="-3"/>
          <w:sz w:val="24"/>
        </w:rPr>
        <w:t> </w:t>
      </w:r>
      <w:r>
        <w:rPr>
          <w:i/>
          <w:sz w:val="24"/>
        </w:rPr>
        <w:t>Journal</w:t>
      </w:r>
      <w:r>
        <w:rPr>
          <w:i/>
          <w:spacing w:val="-3"/>
          <w:sz w:val="24"/>
        </w:rPr>
        <w:t> </w:t>
      </w:r>
      <w:r>
        <w:rPr>
          <w:i/>
          <w:sz w:val="24"/>
        </w:rPr>
        <w:t>of</w:t>
      </w:r>
      <w:r>
        <w:rPr>
          <w:i/>
          <w:spacing w:val="-3"/>
          <w:sz w:val="24"/>
        </w:rPr>
        <w:t> </w:t>
      </w:r>
      <w:r>
        <w:rPr>
          <w:i/>
          <w:sz w:val="24"/>
        </w:rPr>
        <w:t>Analytical</w:t>
      </w:r>
      <w:r>
        <w:rPr>
          <w:i/>
          <w:spacing w:val="-3"/>
          <w:sz w:val="24"/>
        </w:rPr>
        <w:t> </w:t>
      </w:r>
      <w:r>
        <w:rPr>
          <w:i/>
          <w:sz w:val="24"/>
        </w:rPr>
        <w:t>Chemistry</w:t>
      </w:r>
      <w:r>
        <w:rPr>
          <w:sz w:val="24"/>
        </w:rPr>
        <w:t>,</w:t>
      </w:r>
      <w:r>
        <w:rPr>
          <w:spacing w:val="-3"/>
          <w:sz w:val="24"/>
        </w:rPr>
        <w:t> </w:t>
      </w:r>
      <w:r>
        <w:rPr>
          <w:sz w:val="24"/>
        </w:rPr>
        <w:t>2, </w:t>
      </w:r>
      <w:r>
        <w:rPr>
          <w:spacing w:val="-2"/>
          <w:sz w:val="24"/>
        </w:rPr>
        <w:t>152-157.</w:t>
      </w:r>
    </w:p>
    <w:p>
      <w:pPr>
        <w:spacing w:line="480" w:lineRule="auto" w:before="0"/>
        <w:ind w:left="1016" w:right="1139" w:hanging="720"/>
        <w:jc w:val="both"/>
        <w:rPr>
          <w:sz w:val="24"/>
        </w:rPr>
      </w:pPr>
      <w:r>
        <w:rPr>
          <w:sz w:val="24"/>
        </w:rPr>
        <w:t>Satwara, R.S., Patel, P.K. and Shaikh, F.B. (2012). Chronotherapeutical approach: Circadian rhythm in human and its role in occurrence and severity of diseases. </w:t>
      </w:r>
      <w:r>
        <w:rPr>
          <w:i/>
          <w:sz w:val="24"/>
        </w:rPr>
        <w:t>International Journal of Pharmaceutical Technology and Research</w:t>
      </w:r>
      <w:r>
        <w:rPr>
          <w:sz w:val="24"/>
        </w:rPr>
        <w:t>, 4(2): 765-777.</w:t>
      </w:r>
    </w:p>
    <w:p>
      <w:pPr>
        <w:pStyle w:val="BodyText"/>
        <w:spacing w:line="480" w:lineRule="auto" w:before="1"/>
        <w:ind w:left="1016" w:right="1137" w:hanging="720"/>
        <w:jc w:val="both"/>
      </w:pPr>
      <w:r>
        <w:rPr/>
        <w:t>Seki, M., Tanaka, T., Nawa, H., Usui, T., Fukuchi, T. (2004). Involvement of brain- derived neurotrophic factor in early retinal neuropathy of streptozotocin induced diabetes in rats: therapeutic potential of brain-derived neurotrophic factors for dopaminergic amacrine cells. </w:t>
      </w:r>
      <w:r>
        <w:rPr>
          <w:i/>
        </w:rPr>
        <w:t>Diabetes, </w:t>
      </w:r>
      <w:r>
        <w:rPr/>
        <w:t>53: 2412-2419.</w:t>
      </w:r>
    </w:p>
    <w:p>
      <w:pPr>
        <w:spacing w:line="480" w:lineRule="auto" w:before="1"/>
        <w:ind w:left="1016" w:right="1135" w:hanging="720"/>
        <w:jc w:val="both"/>
        <w:rPr>
          <w:sz w:val="24"/>
        </w:rPr>
      </w:pPr>
      <w:r>
        <w:rPr>
          <w:sz w:val="24"/>
        </w:rPr>
        <w:t>Shah, S.V., Baliga, R., Rajapurkar M. and Fonseca, V.A. (2007). Oxidants in chronic kidney disease. </w:t>
      </w:r>
      <w:r>
        <w:rPr>
          <w:i/>
          <w:sz w:val="24"/>
        </w:rPr>
        <w:t>Journal of American Society of Nephrologists</w:t>
      </w:r>
      <w:r>
        <w:rPr>
          <w:sz w:val="24"/>
        </w:rPr>
        <w:t>, 18: 16-28.</w:t>
      </w:r>
    </w:p>
    <w:p>
      <w:pPr>
        <w:spacing w:after="0" w:line="480" w:lineRule="auto"/>
        <w:jc w:val="both"/>
        <w:rPr>
          <w:sz w:val="24"/>
        </w:rPr>
        <w:sectPr>
          <w:pgSz w:w="12240" w:h="15840"/>
          <w:pgMar w:header="0" w:footer="1015" w:top="1360" w:bottom="1200" w:left="1720" w:right="300"/>
        </w:sectPr>
      </w:pPr>
    </w:p>
    <w:p>
      <w:pPr>
        <w:pStyle w:val="BodyText"/>
        <w:spacing w:line="480" w:lineRule="auto" w:before="72"/>
        <w:ind w:left="1016" w:right="1137" w:hanging="720"/>
        <w:jc w:val="both"/>
      </w:pPr>
      <w:r>
        <w:rPr/>
        <w:t>Sher, Z.S., Rajes, Q., Selva K., Kalaivani, B. and Ikram, S.B.I. (2014). Molecular Mechanisms of Diabetic Retinopathy, General Preventive Strategies, and Novel Therapeutic Targets. </w:t>
      </w:r>
      <w:r>
        <w:rPr>
          <w:i/>
        </w:rPr>
        <w:t>Biomedical Research International</w:t>
      </w:r>
      <w:r>
        <w:rPr/>
        <w:t>, 1-18.</w:t>
      </w:r>
    </w:p>
    <w:p>
      <w:pPr>
        <w:pStyle w:val="BodyText"/>
        <w:spacing w:line="480" w:lineRule="auto"/>
        <w:ind w:left="1016" w:right="1138" w:hanging="720"/>
        <w:jc w:val="both"/>
      </w:pPr>
      <w:r>
        <w:rPr/>
        <w:t>Shigeaki, B. (2001). Nifedipine and enalapril equally reduce the progression of nephropathy</w:t>
      </w:r>
      <w:r>
        <w:rPr>
          <w:spacing w:val="25"/>
        </w:rPr>
        <w:t> </w:t>
      </w:r>
      <w:r>
        <w:rPr/>
        <w:t>in</w:t>
      </w:r>
      <w:r>
        <w:rPr>
          <w:spacing w:val="32"/>
        </w:rPr>
        <w:t> </w:t>
      </w:r>
      <w:r>
        <w:rPr/>
        <w:t>hypertensive</w:t>
      </w:r>
      <w:r>
        <w:rPr>
          <w:spacing w:val="32"/>
        </w:rPr>
        <w:t> </w:t>
      </w:r>
      <w:r>
        <w:rPr/>
        <w:t>type</w:t>
      </w:r>
      <w:r>
        <w:rPr>
          <w:spacing w:val="31"/>
        </w:rPr>
        <w:t> </w:t>
      </w:r>
      <w:r>
        <w:rPr/>
        <w:t>2</w:t>
      </w:r>
      <w:r>
        <w:rPr>
          <w:spacing w:val="32"/>
        </w:rPr>
        <w:t> </w:t>
      </w:r>
      <w:r>
        <w:rPr/>
        <w:t>diabetes.</w:t>
      </w:r>
      <w:r>
        <w:rPr>
          <w:spacing w:val="37"/>
        </w:rPr>
        <w:t> </w:t>
      </w:r>
      <w:r>
        <w:rPr>
          <w:i/>
        </w:rPr>
        <w:t>Research</w:t>
      </w:r>
      <w:r>
        <w:rPr>
          <w:i/>
          <w:spacing w:val="31"/>
        </w:rPr>
        <w:t> </w:t>
      </w:r>
      <w:r>
        <w:rPr>
          <w:i/>
        </w:rPr>
        <w:t>and</w:t>
      </w:r>
      <w:r>
        <w:rPr>
          <w:i/>
          <w:spacing w:val="32"/>
        </w:rPr>
        <w:t> </w:t>
      </w:r>
      <w:r>
        <w:rPr>
          <w:i/>
        </w:rPr>
        <w:t>Clinical</w:t>
      </w:r>
      <w:r>
        <w:rPr>
          <w:i/>
          <w:spacing w:val="32"/>
        </w:rPr>
        <w:t> </w:t>
      </w:r>
      <w:r>
        <w:rPr>
          <w:i/>
        </w:rPr>
        <w:t>Practice</w:t>
      </w:r>
      <w:r>
        <w:rPr/>
        <w:t>,</w:t>
      </w:r>
      <w:r>
        <w:rPr>
          <w:spacing w:val="33"/>
        </w:rPr>
        <w:t> </w:t>
      </w:r>
      <w:r>
        <w:rPr>
          <w:spacing w:val="-5"/>
        </w:rPr>
        <w:t>54</w:t>
      </w:r>
    </w:p>
    <w:p>
      <w:pPr>
        <w:pStyle w:val="BodyText"/>
        <w:spacing w:before="3"/>
        <w:ind w:left="1016"/>
        <w:jc w:val="both"/>
      </w:pPr>
      <w:r>
        <w:rPr/>
        <w:t>(3):</w:t>
      </w:r>
      <w:r>
        <w:rPr>
          <w:spacing w:val="-3"/>
        </w:rPr>
        <w:t> </w:t>
      </w:r>
      <w:r>
        <w:rPr/>
        <w:t>191-</w:t>
      </w:r>
      <w:r>
        <w:rPr>
          <w:spacing w:val="-4"/>
        </w:rPr>
        <w:t>201.</w:t>
      </w:r>
    </w:p>
    <w:p>
      <w:pPr>
        <w:pStyle w:val="BodyText"/>
        <w:spacing w:before="72"/>
      </w:pPr>
    </w:p>
    <w:p>
      <w:pPr>
        <w:spacing w:line="480" w:lineRule="auto" w:before="0"/>
        <w:ind w:left="1016" w:right="1138" w:hanging="720"/>
        <w:jc w:val="both"/>
        <w:rPr>
          <w:sz w:val="24"/>
        </w:rPr>
      </w:pPr>
      <w:r>
        <w:rPr>
          <w:sz w:val="24"/>
        </w:rPr>
        <w:t>Singh, R., Sharma, P.K. and Malviya, R. (2010). Review on Chronopharmaceutics: a new remedy in the treatment of various diseases. </w:t>
      </w:r>
      <w:r>
        <w:rPr>
          <w:i/>
          <w:sz w:val="24"/>
        </w:rPr>
        <w:t>European Journal of Biological Sciences</w:t>
      </w:r>
      <w:r>
        <w:rPr>
          <w:sz w:val="24"/>
        </w:rPr>
        <w:t>, 2(3): 67-76.</w:t>
      </w:r>
    </w:p>
    <w:p>
      <w:pPr>
        <w:pStyle w:val="BodyText"/>
        <w:spacing w:line="480" w:lineRule="auto"/>
        <w:ind w:left="1016" w:right="1138" w:hanging="720"/>
        <w:jc w:val="both"/>
      </w:pPr>
      <w:r>
        <w:rPr/>
        <w:t>Smolensky, M.H., Di, M.L., Ohayon, M.M. and Philip, P. (2011). Sleep disorders, medical conditions, and road accident risk. </w:t>
      </w:r>
      <w:r>
        <w:rPr>
          <w:i/>
        </w:rPr>
        <w:t>Accident Analysis and Prevention</w:t>
      </w:r>
      <w:r>
        <w:rPr/>
        <w:t>, 43:533–548.</w:t>
      </w:r>
    </w:p>
    <w:p>
      <w:pPr>
        <w:spacing w:line="480" w:lineRule="auto" w:before="1"/>
        <w:ind w:left="1016" w:right="1138" w:hanging="720"/>
        <w:jc w:val="both"/>
        <w:rPr>
          <w:sz w:val="24"/>
        </w:rPr>
      </w:pPr>
      <w:r>
        <w:rPr>
          <w:sz w:val="24"/>
        </w:rPr>
        <w:t>Somani, R., Singhai, A., Shivgunde, P. and Jain, D. (2012).</w:t>
      </w:r>
      <w:r>
        <w:rPr>
          <w:spacing w:val="40"/>
          <w:sz w:val="24"/>
        </w:rPr>
        <w:t> </w:t>
      </w:r>
      <w:r>
        <w:rPr>
          <w:i/>
          <w:sz w:val="24"/>
        </w:rPr>
        <w:t>Asparagus racemosus </w:t>
      </w:r>
      <w:r>
        <w:rPr>
          <w:sz w:val="24"/>
        </w:rPr>
        <w:t>wild (Liliaceae) ameliorates early diabetic nephropathy in STZ induced diabetic rats. </w:t>
      </w:r>
      <w:r>
        <w:rPr>
          <w:i/>
          <w:sz w:val="24"/>
        </w:rPr>
        <w:t>Indian Journal of Experimental Biology</w:t>
      </w:r>
      <w:r>
        <w:rPr>
          <w:sz w:val="24"/>
        </w:rPr>
        <w:t>, 50: 469–475.</w:t>
      </w:r>
    </w:p>
    <w:p>
      <w:pPr>
        <w:pStyle w:val="BodyText"/>
        <w:spacing w:line="480" w:lineRule="auto" w:before="240"/>
        <w:ind w:left="1016" w:right="1136" w:hanging="720"/>
        <w:jc w:val="both"/>
      </w:pPr>
      <w:r>
        <w:rPr/>
        <w:t>Song,</w:t>
      </w:r>
      <w:r>
        <w:rPr>
          <w:spacing w:val="-2"/>
        </w:rPr>
        <w:t> </w:t>
      </w:r>
      <w:r>
        <w:rPr/>
        <w:t>Y.,</w:t>
      </w:r>
      <w:r>
        <w:rPr>
          <w:spacing w:val="-3"/>
        </w:rPr>
        <w:t> </w:t>
      </w:r>
      <w:r>
        <w:rPr/>
        <w:t>Poon,</w:t>
      </w:r>
      <w:r>
        <w:rPr>
          <w:spacing w:val="-2"/>
        </w:rPr>
        <w:t> </w:t>
      </w:r>
      <w:r>
        <w:rPr/>
        <w:t>A.M.S.,</w:t>
      </w:r>
      <w:r>
        <w:rPr>
          <w:spacing w:val="-4"/>
        </w:rPr>
        <w:t> </w:t>
      </w:r>
      <w:r>
        <w:rPr/>
        <w:t>Lee,</w:t>
      </w:r>
      <w:r>
        <w:rPr>
          <w:spacing w:val="-2"/>
        </w:rPr>
        <w:t> </w:t>
      </w:r>
      <w:r>
        <w:rPr/>
        <w:t>P.P.N.</w:t>
      </w:r>
      <w:r>
        <w:rPr>
          <w:spacing w:val="-3"/>
        </w:rPr>
        <w:t> </w:t>
      </w:r>
      <w:r>
        <w:rPr/>
        <w:t>and Pang,</w:t>
      </w:r>
      <w:r>
        <w:rPr>
          <w:spacing w:val="-2"/>
        </w:rPr>
        <w:t> </w:t>
      </w:r>
      <w:r>
        <w:rPr/>
        <w:t>S.F.</w:t>
      </w:r>
      <w:r>
        <w:rPr>
          <w:spacing w:val="-2"/>
        </w:rPr>
        <w:t> </w:t>
      </w:r>
      <w:r>
        <w:rPr/>
        <w:t>(1993).</w:t>
      </w:r>
      <w:r>
        <w:rPr>
          <w:spacing w:val="-3"/>
        </w:rPr>
        <w:t> </w:t>
      </w:r>
      <w:r>
        <w:rPr/>
        <w:t>Putative</w:t>
      </w:r>
      <w:r>
        <w:rPr>
          <w:spacing w:val="-3"/>
        </w:rPr>
        <w:t> </w:t>
      </w:r>
      <w:r>
        <w:rPr/>
        <w:t>melatonin</w:t>
      </w:r>
      <w:r>
        <w:rPr>
          <w:spacing w:val="-2"/>
        </w:rPr>
        <w:t> </w:t>
      </w:r>
      <w:r>
        <w:rPr/>
        <w:t>receptors</w:t>
      </w:r>
      <w:r>
        <w:rPr>
          <w:spacing w:val="-2"/>
        </w:rPr>
        <w:t> </w:t>
      </w:r>
      <w:r>
        <w:rPr/>
        <w:t>in the male guinea pig kidney. </w:t>
      </w:r>
      <w:r>
        <w:rPr>
          <w:i/>
        </w:rPr>
        <w:t>Journal of Pineal Research</w:t>
      </w:r>
      <w:r>
        <w:rPr/>
        <w:t>, 15:153–160.</w:t>
      </w:r>
    </w:p>
    <w:p>
      <w:pPr>
        <w:pStyle w:val="BodyText"/>
        <w:spacing w:before="120"/>
        <w:ind w:left="296"/>
        <w:jc w:val="both"/>
      </w:pPr>
      <w:r>
        <w:rPr/>
        <w:t>Sonia,</w:t>
      </w:r>
      <w:r>
        <w:rPr>
          <w:spacing w:val="46"/>
        </w:rPr>
        <w:t> </w:t>
      </w:r>
      <w:r>
        <w:rPr/>
        <w:t>B.</w:t>
      </w:r>
      <w:r>
        <w:rPr>
          <w:spacing w:val="52"/>
        </w:rPr>
        <w:t> </w:t>
      </w:r>
      <w:r>
        <w:rPr/>
        <w:t>and</w:t>
      </w:r>
      <w:r>
        <w:rPr>
          <w:spacing w:val="50"/>
        </w:rPr>
        <w:t> </w:t>
      </w:r>
      <w:r>
        <w:rPr/>
        <w:t>Srinivasan,</w:t>
      </w:r>
      <w:r>
        <w:rPr>
          <w:spacing w:val="50"/>
        </w:rPr>
        <w:t> </w:t>
      </w:r>
      <w:r>
        <w:rPr/>
        <w:t>B.P.</w:t>
      </w:r>
      <w:r>
        <w:rPr>
          <w:spacing w:val="50"/>
        </w:rPr>
        <w:t> </w:t>
      </w:r>
      <w:r>
        <w:rPr/>
        <w:t>(1999).</w:t>
      </w:r>
      <w:r>
        <w:rPr>
          <w:spacing w:val="51"/>
        </w:rPr>
        <w:t> </w:t>
      </w:r>
      <w:r>
        <w:rPr/>
        <w:t>Investigations</w:t>
      </w:r>
      <w:r>
        <w:rPr>
          <w:spacing w:val="50"/>
        </w:rPr>
        <w:t> </w:t>
      </w:r>
      <w:r>
        <w:rPr/>
        <w:t>into</w:t>
      </w:r>
      <w:r>
        <w:rPr>
          <w:spacing w:val="50"/>
        </w:rPr>
        <w:t> </w:t>
      </w:r>
      <w:r>
        <w:rPr/>
        <w:t>the</w:t>
      </w:r>
      <w:r>
        <w:rPr>
          <w:spacing w:val="49"/>
        </w:rPr>
        <w:t> </w:t>
      </w:r>
      <w:r>
        <w:rPr/>
        <w:t>Anti-diabetic</w:t>
      </w:r>
      <w:r>
        <w:rPr>
          <w:spacing w:val="49"/>
        </w:rPr>
        <w:t> </w:t>
      </w:r>
      <w:r>
        <w:rPr/>
        <w:t>activity</w:t>
      </w:r>
      <w:r>
        <w:rPr>
          <w:spacing w:val="45"/>
        </w:rPr>
        <w:t> </w:t>
      </w:r>
      <w:r>
        <w:rPr>
          <w:spacing w:val="-5"/>
        </w:rPr>
        <w:t>of</w:t>
      </w:r>
    </w:p>
    <w:p>
      <w:pPr>
        <w:pStyle w:val="BodyText"/>
      </w:pPr>
    </w:p>
    <w:p>
      <w:pPr>
        <w:spacing w:before="0"/>
        <w:ind w:left="1016" w:right="0" w:firstLine="0"/>
        <w:jc w:val="both"/>
        <w:rPr>
          <w:sz w:val="24"/>
        </w:rPr>
      </w:pPr>
      <w:r>
        <w:rPr>
          <w:i/>
          <w:sz w:val="24"/>
        </w:rPr>
        <w:t>Azadirachta</w:t>
      </w:r>
      <w:r>
        <w:rPr>
          <w:i/>
          <w:spacing w:val="-1"/>
          <w:sz w:val="24"/>
        </w:rPr>
        <w:t> </w:t>
      </w:r>
      <w:r>
        <w:rPr>
          <w:i/>
          <w:sz w:val="24"/>
        </w:rPr>
        <w:t>indica.</w:t>
      </w:r>
      <w:r>
        <w:rPr>
          <w:i/>
          <w:spacing w:val="-1"/>
          <w:sz w:val="24"/>
        </w:rPr>
        <w:t> </w:t>
      </w:r>
      <w:r>
        <w:rPr>
          <w:i/>
          <w:sz w:val="24"/>
        </w:rPr>
        <w:t>Indian</w:t>
      </w:r>
      <w:r>
        <w:rPr>
          <w:i/>
          <w:spacing w:val="-1"/>
          <w:sz w:val="24"/>
        </w:rPr>
        <w:t> </w:t>
      </w:r>
      <w:r>
        <w:rPr>
          <w:i/>
          <w:sz w:val="24"/>
        </w:rPr>
        <w:t>Journal</w:t>
      </w:r>
      <w:r>
        <w:rPr>
          <w:i/>
          <w:spacing w:val="-1"/>
          <w:sz w:val="24"/>
        </w:rPr>
        <w:t> </w:t>
      </w:r>
      <w:r>
        <w:rPr>
          <w:i/>
          <w:sz w:val="24"/>
        </w:rPr>
        <w:t>of</w:t>
      </w:r>
      <w:r>
        <w:rPr>
          <w:i/>
          <w:spacing w:val="-1"/>
          <w:sz w:val="24"/>
        </w:rPr>
        <w:t> </w:t>
      </w:r>
      <w:r>
        <w:rPr>
          <w:i/>
          <w:sz w:val="24"/>
        </w:rPr>
        <w:t>Pharmacology</w:t>
      </w:r>
      <w:r>
        <w:rPr>
          <w:sz w:val="24"/>
        </w:rPr>
        <w:t>,</w:t>
      </w:r>
      <w:r>
        <w:rPr>
          <w:spacing w:val="-1"/>
          <w:sz w:val="24"/>
        </w:rPr>
        <w:t> </w:t>
      </w:r>
      <w:r>
        <w:rPr>
          <w:sz w:val="24"/>
        </w:rPr>
        <w:t>31, 138-</w:t>
      </w:r>
      <w:r>
        <w:rPr>
          <w:spacing w:val="-4"/>
          <w:sz w:val="24"/>
        </w:rPr>
        <w:t>141.</w:t>
      </w:r>
    </w:p>
    <w:p>
      <w:pPr>
        <w:pStyle w:val="BodyText"/>
        <w:spacing w:before="1"/>
      </w:pPr>
    </w:p>
    <w:p>
      <w:pPr>
        <w:pStyle w:val="BodyText"/>
        <w:spacing w:line="480" w:lineRule="auto"/>
        <w:ind w:left="1016" w:right="1136" w:hanging="720"/>
        <w:jc w:val="both"/>
      </w:pPr>
      <w:r>
        <w:rPr/>
        <w:t>Staessen, J.A., Birkenhager, W.H. and Fagard, R.H. (2000). Dihydropyridine calcium channel blockers for the treatment of hypertensive diabetic patients. </w:t>
      </w:r>
      <w:r>
        <w:rPr>
          <w:i/>
        </w:rPr>
        <w:t>European Heart Journal</w:t>
      </w:r>
      <w:r>
        <w:rPr/>
        <w:t>, 21: 2–7.</w:t>
      </w:r>
    </w:p>
    <w:p>
      <w:pPr>
        <w:spacing w:after="0" w:line="480" w:lineRule="auto"/>
        <w:jc w:val="both"/>
        <w:sectPr>
          <w:pgSz w:w="12240" w:h="15840"/>
          <w:pgMar w:header="0" w:footer="1015" w:top="1360" w:bottom="1200" w:left="1720" w:right="300"/>
        </w:sectPr>
      </w:pPr>
    </w:p>
    <w:p>
      <w:pPr>
        <w:spacing w:line="480" w:lineRule="auto" w:before="72"/>
        <w:ind w:left="1016" w:right="1137" w:hanging="720"/>
        <w:jc w:val="both"/>
        <w:rPr>
          <w:sz w:val="24"/>
        </w:rPr>
      </w:pPr>
      <w:r>
        <w:rPr>
          <w:sz w:val="24"/>
        </w:rPr>
        <w:t>Striessnig, J., Berger, W. and Glossman, H. (1993). Molecular properties of voltage- dependent Ca</w:t>
      </w:r>
      <w:r>
        <w:rPr>
          <w:sz w:val="24"/>
          <w:vertAlign w:val="superscript"/>
        </w:rPr>
        <w:t>2+</w:t>
      </w:r>
      <w:r>
        <w:rPr>
          <w:sz w:val="24"/>
          <w:vertAlign w:val="baseline"/>
        </w:rPr>
        <w:t> channels in excitable tissues. </w:t>
      </w:r>
      <w:r>
        <w:rPr>
          <w:i/>
          <w:sz w:val="24"/>
          <w:vertAlign w:val="baseline"/>
        </w:rPr>
        <w:t>Cellular Physiology and Biochemistry</w:t>
      </w:r>
      <w:r>
        <w:rPr>
          <w:sz w:val="24"/>
          <w:vertAlign w:val="baseline"/>
        </w:rPr>
        <w:t>, 3:295-317.</w:t>
      </w:r>
    </w:p>
    <w:p>
      <w:pPr>
        <w:spacing w:line="480" w:lineRule="auto" w:before="0"/>
        <w:ind w:left="1016" w:right="1144" w:hanging="720"/>
        <w:jc w:val="both"/>
        <w:rPr>
          <w:sz w:val="24"/>
        </w:rPr>
      </w:pPr>
      <w:r>
        <w:rPr>
          <w:sz w:val="24"/>
        </w:rPr>
        <w:t>Suresh, S. and Pandit, V. (2009). Emerging Role of Biorhythms in Optimizing Treatment of Diseases. </w:t>
      </w:r>
      <w:r>
        <w:rPr>
          <w:i/>
          <w:sz w:val="24"/>
        </w:rPr>
        <w:t>Indian Journal of Novel Drug Delivery</w:t>
      </w:r>
      <w:r>
        <w:rPr>
          <w:sz w:val="24"/>
        </w:rPr>
        <w:t>, 1(1): 2-10.</w:t>
      </w:r>
    </w:p>
    <w:p>
      <w:pPr>
        <w:pStyle w:val="BodyText"/>
        <w:spacing w:line="480" w:lineRule="auto"/>
        <w:ind w:left="1016" w:right="1137" w:hanging="720"/>
        <w:jc w:val="both"/>
      </w:pPr>
      <w:r>
        <w:rPr/>
        <w:t>Suresha, R.N., Sushma, V.N., Ashwini, V., Kalabharathi, H.L., Jayanthi, M.K. and Prathima, C.</w:t>
      </w:r>
      <w:r>
        <w:rPr>
          <w:spacing w:val="40"/>
        </w:rPr>
        <w:t> </w:t>
      </w:r>
      <w:r>
        <w:rPr/>
        <w:t>(2012). The effect of Nifedipine on oral glucose induced glycaemic changes in normal albino rats international. </w:t>
      </w:r>
      <w:r>
        <w:rPr>
          <w:i/>
        </w:rPr>
        <w:t>Journal of Pharmamaceutical and Biological Sciences</w:t>
      </w:r>
      <w:r>
        <w:rPr/>
        <w:t>, 3(3): 499-507.</w:t>
      </w:r>
    </w:p>
    <w:p>
      <w:pPr>
        <w:spacing w:line="480" w:lineRule="auto" w:before="1"/>
        <w:ind w:left="1016" w:right="1137" w:hanging="720"/>
        <w:jc w:val="both"/>
        <w:rPr>
          <w:sz w:val="24"/>
        </w:rPr>
      </w:pPr>
      <w:r>
        <w:rPr>
          <w:sz w:val="24"/>
        </w:rPr>
        <w:t>Tasneem, S. (2010). Study</w:t>
      </w:r>
      <w:r>
        <w:rPr>
          <w:spacing w:val="-4"/>
          <w:sz w:val="24"/>
        </w:rPr>
        <w:t> </w:t>
      </w:r>
      <w:r>
        <w:rPr>
          <w:sz w:val="24"/>
        </w:rPr>
        <w:t>of effect of Amlodipine on Blood Sugar level. </w:t>
      </w:r>
      <w:r>
        <w:rPr>
          <w:i/>
          <w:sz w:val="24"/>
        </w:rPr>
        <w:t>Asian Journal of Medical Sciences</w:t>
      </w:r>
      <w:r>
        <w:rPr>
          <w:sz w:val="24"/>
        </w:rPr>
        <w:t>, 1:4-5.</w:t>
      </w:r>
    </w:p>
    <w:p>
      <w:pPr>
        <w:pStyle w:val="BodyText"/>
        <w:spacing w:line="480" w:lineRule="auto"/>
        <w:ind w:left="1016" w:right="1137" w:hanging="720"/>
        <w:jc w:val="both"/>
      </w:pPr>
      <w:r>
        <w:rPr/>
        <w:t>The Anithypertensive and Lipid-Lowering</w:t>
      </w:r>
      <w:r>
        <w:rPr>
          <w:spacing w:val="40"/>
        </w:rPr>
        <w:t> </w:t>
      </w:r>
      <w:r>
        <w:rPr/>
        <w:t>Treatment to prevent Heart Attack Trial (ALLHAT)</w:t>
      </w:r>
      <w:r>
        <w:rPr>
          <w:spacing w:val="40"/>
        </w:rPr>
        <w:t> </w:t>
      </w:r>
      <w:r>
        <w:rPr/>
        <w:t>Officers and Cordinators for the ALLHAT Collaborative Research Group (2002). Major outcomes in high-risk hypertensive patients randomized to angiotensin-converting enzyme inhibitor or calcium channel blocker versus</w:t>
      </w:r>
      <w:r>
        <w:rPr>
          <w:spacing w:val="40"/>
        </w:rPr>
        <w:t> </w:t>
      </w:r>
      <w:r>
        <w:rPr/>
        <w:t>diuretic. </w:t>
      </w:r>
      <w:r>
        <w:rPr>
          <w:i/>
        </w:rPr>
        <w:t>Journal of the American Medical Association</w:t>
      </w:r>
      <w:r>
        <w:rPr/>
        <w:t>, 288: 2981-2997.</w:t>
      </w:r>
    </w:p>
    <w:p>
      <w:pPr>
        <w:pStyle w:val="BodyText"/>
        <w:spacing w:line="480" w:lineRule="auto" w:before="1"/>
        <w:ind w:left="1016" w:right="1135" w:hanging="720"/>
        <w:jc w:val="both"/>
      </w:pPr>
      <w:r>
        <w:rPr/>
        <w:t>Timothy, D., Ardizzone, X.L. and Donard, S.D. (2002). Calcium-independent inhibition of glucose transport In PC-12 and L6 cells by calcium channel antagonists. </w:t>
      </w:r>
      <w:r>
        <w:rPr>
          <w:i/>
        </w:rPr>
        <w:t>American Journal of Cellular Physiology</w:t>
      </w:r>
      <w:r>
        <w:rPr/>
        <w:t>, 283: 579–586.</w:t>
      </w:r>
    </w:p>
    <w:p>
      <w:pPr>
        <w:pStyle w:val="BodyText"/>
        <w:spacing w:line="480" w:lineRule="auto" w:before="1"/>
        <w:ind w:left="1016" w:right="1141" w:hanging="720"/>
        <w:jc w:val="both"/>
      </w:pPr>
      <w:r>
        <w:rPr/>
        <w:t>Toyohiko, Y., Junya, A., Yukiyoshi, N., Fumihiro, S., Kazuma, I., Masamichi, Y., Midori, M., Yutaka, K., Yoshiaki, T., Hiroya, M., Ryuichi, M. and Hakuo, T. (2014). Comparison</w:t>
      </w:r>
      <w:r>
        <w:rPr>
          <w:spacing w:val="47"/>
        </w:rPr>
        <w:t> </w:t>
      </w:r>
      <w:r>
        <w:rPr/>
        <w:t>between</w:t>
      </w:r>
      <w:r>
        <w:rPr>
          <w:spacing w:val="50"/>
        </w:rPr>
        <w:t> </w:t>
      </w:r>
      <w:r>
        <w:rPr/>
        <w:t>Two</w:t>
      </w:r>
      <w:r>
        <w:rPr>
          <w:spacing w:val="48"/>
        </w:rPr>
        <w:t> </w:t>
      </w:r>
      <w:r>
        <w:rPr/>
        <w:t>Calcium</w:t>
      </w:r>
      <w:r>
        <w:rPr>
          <w:spacing w:val="50"/>
        </w:rPr>
        <w:t> </w:t>
      </w:r>
      <w:r>
        <w:rPr/>
        <w:t>Antagonists:</w:t>
      </w:r>
      <w:r>
        <w:rPr>
          <w:spacing w:val="49"/>
        </w:rPr>
        <w:t> </w:t>
      </w:r>
      <w:r>
        <w:rPr/>
        <w:t>Blood</w:t>
      </w:r>
      <w:r>
        <w:rPr>
          <w:spacing w:val="50"/>
        </w:rPr>
        <w:t> </w:t>
      </w:r>
      <w:r>
        <w:rPr/>
        <w:t>Pressure</w:t>
      </w:r>
      <w:r>
        <w:rPr>
          <w:spacing w:val="47"/>
        </w:rPr>
        <w:t> </w:t>
      </w:r>
      <w:r>
        <w:rPr/>
        <w:t>Reduction</w:t>
      </w:r>
      <w:r>
        <w:rPr>
          <w:spacing w:val="50"/>
        </w:rPr>
        <w:t> </w:t>
      </w:r>
      <w:r>
        <w:rPr>
          <w:spacing w:val="-5"/>
        </w:rPr>
        <w:t>and</w:t>
      </w:r>
    </w:p>
    <w:p>
      <w:pPr>
        <w:spacing w:after="0" w:line="480" w:lineRule="auto"/>
        <w:jc w:val="both"/>
        <w:sectPr>
          <w:pgSz w:w="12240" w:h="15840"/>
          <w:pgMar w:header="0" w:footer="1015" w:top="1360" w:bottom="1200" w:left="1720" w:right="300"/>
        </w:sectPr>
      </w:pPr>
    </w:p>
    <w:p>
      <w:pPr>
        <w:spacing w:line="482" w:lineRule="auto" w:before="72"/>
        <w:ind w:left="1016" w:right="1135" w:firstLine="0"/>
        <w:jc w:val="both"/>
        <w:rPr>
          <w:sz w:val="24"/>
        </w:rPr>
      </w:pPr>
      <w:r>
        <w:rPr>
          <w:sz w:val="24"/>
        </w:rPr>
        <w:t>Renal Effects in Hypertensive Patients with Type 2 Diabetes, </w:t>
      </w:r>
      <w:r>
        <w:rPr>
          <w:i/>
          <w:sz w:val="24"/>
        </w:rPr>
        <w:t>Immunology‚ Endocrine &amp; Metabolic Agents in Medicinal Chemistry</w:t>
      </w:r>
      <w:r>
        <w:rPr>
          <w:sz w:val="24"/>
        </w:rPr>
        <w:t>, 12(2) 152-159.</w:t>
      </w:r>
    </w:p>
    <w:p>
      <w:pPr>
        <w:pStyle w:val="BodyText"/>
        <w:spacing w:line="480" w:lineRule="auto" w:before="69"/>
        <w:ind w:left="1016" w:right="1136" w:hanging="720"/>
        <w:jc w:val="both"/>
      </w:pPr>
      <w:r>
        <w:rPr/>
        <w:t>Traynor, K. Newton, D.W., Hrushesky, J.M. and Reiter R.J. </w:t>
      </w:r>
      <w:r>
        <w:rPr>
          <w:i/>
        </w:rPr>
        <w:t>American Pharmacy</w:t>
      </w:r>
      <w:r>
        <w:rPr/>
        <w:t>, 1992; 32(3): 261-269.</w:t>
      </w:r>
    </w:p>
    <w:p>
      <w:pPr>
        <w:pStyle w:val="BodyText"/>
        <w:spacing w:line="480" w:lineRule="auto"/>
        <w:ind w:left="1016" w:right="1137" w:hanging="720"/>
        <w:jc w:val="both"/>
      </w:pPr>
      <w:r>
        <w:rPr/>
        <w:t>Treffel, P., Renaud, A., Humbert, P., Makki, S., Faivre, B. and Agache, P. G. (1990). Chronopharmacokinetics of 5-methoxypsoralen. </w:t>
      </w:r>
      <w:r>
        <w:rPr>
          <w:i/>
        </w:rPr>
        <w:t>Acta Dermato-Venereologica</w:t>
      </w:r>
      <w:r>
        <w:rPr/>
        <w:t>, </w:t>
      </w:r>
      <w:r>
        <w:rPr>
          <w:spacing w:val="-2"/>
        </w:rPr>
        <w:t>70:515-17.</w:t>
      </w:r>
    </w:p>
    <w:p>
      <w:pPr>
        <w:pStyle w:val="BodyText"/>
        <w:spacing w:line="480" w:lineRule="auto" w:before="1"/>
        <w:ind w:left="1016" w:right="1136" w:hanging="720"/>
        <w:jc w:val="both"/>
      </w:pPr>
      <w:r>
        <w:rPr/>
        <w:t>Waterhouse, J., Minors, D. and Waterhouse, M. (1990). </w:t>
      </w:r>
      <w:r>
        <w:rPr>
          <w:i/>
        </w:rPr>
        <w:t>Your Body Clock. </w:t>
      </w:r>
      <w:r>
        <w:rPr/>
        <w:t>Oxford University Press, Oxford, England, 215-220.</w:t>
      </w:r>
    </w:p>
    <w:p>
      <w:pPr>
        <w:spacing w:line="480" w:lineRule="auto" w:before="0"/>
        <w:ind w:left="1016" w:right="1136" w:hanging="720"/>
        <w:jc w:val="both"/>
        <w:rPr>
          <w:sz w:val="24"/>
        </w:rPr>
      </w:pPr>
      <w:r>
        <w:rPr>
          <w:color w:val="221F1F"/>
          <w:sz w:val="24"/>
        </w:rPr>
        <w:t>Wester, K., Jonsson, A.K., Spigset, O., Druid, H. and Hagg, S (2008). Incidence of fatal adverse drug reactions: a population based study. </w:t>
      </w:r>
      <w:r>
        <w:rPr>
          <w:i/>
          <w:color w:val="221F1F"/>
          <w:sz w:val="24"/>
        </w:rPr>
        <w:t>British Journal of Clinical Pharmacology</w:t>
      </w:r>
      <w:r>
        <w:rPr>
          <w:color w:val="221F1F"/>
          <w:sz w:val="24"/>
        </w:rPr>
        <w:t>, 65: 573–9.</w:t>
      </w:r>
    </w:p>
    <w:p>
      <w:pPr>
        <w:pStyle w:val="BodyText"/>
        <w:spacing w:line="480" w:lineRule="auto"/>
        <w:ind w:left="1016" w:right="1134" w:hanging="720"/>
        <w:jc w:val="both"/>
      </w:pPr>
      <w:r>
        <w:rPr/>
        <w:t>Wild, S., Roglic, G., Green, A., Sicree, R. and King, H. (2004). Global prevalence of diabetes: estimates for the year 2000 and projections for 2030. </w:t>
      </w:r>
      <w:r>
        <w:rPr>
          <w:i/>
        </w:rPr>
        <w:t>Diabetes Care</w:t>
      </w:r>
      <w:r>
        <w:rPr/>
        <w:t>, 27: </w:t>
      </w:r>
      <w:r>
        <w:rPr>
          <w:spacing w:val="-2"/>
        </w:rPr>
        <w:t>1047-1053.</w:t>
      </w:r>
    </w:p>
    <w:p>
      <w:pPr>
        <w:spacing w:before="1"/>
        <w:ind w:left="296" w:right="0" w:firstLine="0"/>
        <w:jc w:val="both"/>
        <w:rPr>
          <w:i/>
          <w:sz w:val="24"/>
        </w:rPr>
      </w:pPr>
      <w:r>
        <w:rPr>
          <w:sz w:val="24"/>
        </w:rPr>
        <w:t>Willich,</w:t>
      </w:r>
      <w:r>
        <w:rPr>
          <w:spacing w:val="50"/>
          <w:sz w:val="24"/>
        </w:rPr>
        <w:t> </w:t>
      </w:r>
      <w:r>
        <w:rPr>
          <w:sz w:val="24"/>
        </w:rPr>
        <w:t>S.N.</w:t>
      </w:r>
      <w:r>
        <w:rPr>
          <w:spacing w:val="52"/>
          <w:sz w:val="24"/>
        </w:rPr>
        <w:t> </w:t>
      </w:r>
      <w:r>
        <w:rPr>
          <w:sz w:val="24"/>
        </w:rPr>
        <w:t>and</w:t>
      </w:r>
      <w:r>
        <w:rPr>
          <w:spacing w:val="52"/>
          <w:sz w:val="24"/>
        </w:rPr>
        <w:t> </w:t>
      </w:r>
      <w:r>
        <w:rPr>
          <w:sz w:val="24"/>
        </w:rPr>
        <w:t>Muller,</w:t>
      </w:r>
      <w:r>
        <w:rPr>
          <w:spacing w:val="52"/>
          <w:sz w:val="24"/>
        </w:rPr>
        <w:t> </w:t>
      </w:r>
      <w:r>
        <w:rPr>
          <w:sz w:val="24"/>
        </w:rPr>
        <w:t>J.E.</w:t>
      </w:r>
      <w:r>
        <w:rPr>
          <w:spacing w:val="52"/>
          <w:sz w:val="24"/>
        </w:rPr>
        <w:t> </w:t>
      </w:r>
      <w:r>
        <w:rPr>
          <w:sz w:val="24"/>
        </w:rPr>
        <w:t>(1996).</w:t>
      </w:r>
      <w:r>
        <w:rPr>
          <w:spacing w:val="55"/>
          <w:sz w:val="24"/>
        </w:rPr>
        <w:t> </w:t>
      </w:r>
      <w:r>
        <w:rPr>
          <w:sz w:val="24"/>
        </w:rPr>
        <w:t>(eds)</w:t>
      </w:r>
      <w:r>
        <w:rPr>
          <w:spacing w:val="52"/>
          <w:sz w:val="24"/>
        </w:rPr>
        <w:t> </w:t>
      </w:r>
      <w:r>
        <w:rPr>
          <w:i/>
          <w:sz w:val="24"/>
        </w:rPr>
        <w:t>Triggering</w:t>
      </w:r>
      <w:r>
        <w:rPr>
          <w:i/>
          <w:spacing w:val="53"/>
          <w:sz w:val="24"/>
        </w:rPr>
        <w:t> </w:t>
      </w:r>
      <w:r>
        <w:rPr>
          <w:i/>
          <w:sz w:val="24"/>
        </w:rPr>
        <w:t>of</w:t>
      </w:r>
      <w:r>
        <w:rPr>
          <w:i/>
          <w:spacing w:val="53"/>
          <w:sz w:val="24"/>
        </w:rPr>
        <w:t> </w:t>
      </w:r>
      <w:r>
        <w:rPr>
          <w:i/>
          <w:sz w:val="24"/>
        </w:rPr>
        <w:t>Acute</w:t>
      </w:r>
      <w:r>
        <w:rPr>
          <w:i/>
          <w:spacing w:val="54"/>
          <w:sz w:val="24"/>
        </w:rPr>
        <w:t> </w:t>
      </w:r>
      <w:r>
        <w:rPr>
          <w:i/>
          <w:sz w:val="24"/>
        </w:rPr>
        <w:t>Coronary</w:t>
      </w:r>
      <w:r>
        <w:rPr>
          <w:i/>
          <w:spacing w:val="53"/>
          <w:sz w:val="24"/>
        </w:rPr>
        <w:t> </w:t>
      </w:r>
      <w:r>
        <w:rPr>
          <w:i/>
          <w:spacing w:val="-2"/>
          <w:sz w:val="24"/>
        </w:rPr>
        <w:t>Syndrome.</w:t>
      </w:r>
    </w:p>
    <w:p>
      <w:pPr>
        <w:pStyle w:val="BodyText"/>
        <w:spacing w:before="276"/>
        <w:ind w:left="1016"/>
        <w:jc w:val="both"/>
      </w:pPr>
      <w:r>
        <w:rPr/>
        <w:t>Dordrecht:</w:t>
      </w:r>
      <w:r>
        <w:rPr>
          <w:spacing w:val="-5"/>
        </w:rPr>
        <w:t> </w:t>
      </w:r>
      <w:r>
        <w:rPr/>
        <w:t>Kluwer</w:t>
      </w:r>
      <w:r>
        <w:rPr>
          <w:spacing w:val="-3"/>
        </w:rPr>
        <w:t> </w:t>
      </w:r>
      <w:r>
        <w:rPr/>
        <w:t>Academic.343-</w:t>
      </w:r>
      <w:r>
        <w:rPr>
          <w:spacing w:val="-4"/>
        </w:rPr>
        <w:t>346.</w:t>
      </w:r>
    </w:p>
    <w:p>
      <w:pPr>
        <w:pStyle w:val="BodyText"/>
        <w:spacing w:line="480" w:lineRule="auto" w:before="276"/>
        <w:ind w:left="1016" w:right="1134" w:hanging="720"/>
        <w:jc w:val="both"/>
      </w:pPr>
      <w:r>
        <w:rPr/>
        <w:t>Wong, T.Y., Cheung, N., Tay, W.T., Wang, J.J., Aung, T., Saw, S.M., Lim, S.C., Tai, E.</w:t>
      </w:r>
      <w:r>
        <w:rPr>
          <w:spacing w:val="40"/>
        </w:rPr>
        <w:t> </w:t>
      </w:r>
      <w:r>
        <w:rPr/>
        <w:t>S., Mitchell, P. (2008). Prevalence and risk factors for diabetic retinopathy: the Singapore Malay Eye Study. </w:t>
      </w:r>
      <w:r>
        <w:rPr>
          <w:i/>
        </w:rPr>
        <w:t>Ophthalmology</w:t>
      </w:r>
      <w:r>
        <w:rPr/>
        <w:t>, 115: 1869- 1874.</w:t>
      </w:r>
    </w:p>
    <w:p>
      <w:pPr>
        <w:pStyle w:val="BodyText"/>
        <w:spacing w:line="480" w:lineRule="auto"/>
        <w:ind w:left="1016" w:right="1136" w:hanging="720"/>
        <w:jc w:val="both"/>
      </w:pPr>
      <w:r>
        <w:rPr/>
        <w:t>Wong, T.Y., Klein, R., Islam, F.M., Cotch, M.F., Folsom, A.R., Klein, B.E., Sharrett A.R. and Shea, S. (2006). Diabetic retinopathy in a multi-ethnic cohort in the United States. </w:t>
      </w:r>
      <w:r>
        <w:rPr>
          <w:i/>
        </w:rPr>
        <w:t>American Journal of Ophthalmology</w:t>
      </w:r>
      <w:r>
        <w:rPr/>
        <w:t>. 141, 446–455.</w:t>
      </w:r>
    </w:p>
    <w:p>
      <w:pPr>
        <w:spacing w:after="0" w:line="480" w:lineRule="auto"/>
        <w:jc w:val="both"/>
        <w:sectPr>
          <w:pgSz w:w="12240" w:h="15840"/>
          <w:pgMar w:header="0" w:footer="1015" w:top="1360" w:bottom="1200" w:left="1720" w:right="300"/>
        </w:sectPr>
      </w:pPr>
    </w:p>
    <w:p>
      <w:pPr>
        <w:spacing w:before="72"/>
        <w:ind w:left="296" w:right="0" w:firstLine="0"/>
        <w:jc w:val="left"/>
        <w:rPr>
          <w:sz w:val="24"/>
        </w:rPr>
      </w:pPr>
      <w:r>
        <w:rPr>
          <w:sz w:val="24"/>
        </w:rPr>
        <w:t>World</w:t>
      </w:r>
      <w:r>
        <w:rPr>
          <w:spacing w:val="-2"/>
          <w:sz w:val="24"/>
        </w:rPr>
        <w:t> </w:t>
      </w:r>
      <w:r>
        <w:rPr>
          <w:sz w:val="24"/>
        </w:rPr>
        <w:t>Health</w:t>
      </w:r>
      <w:r>
        <w:rPr>
          <w:spacing w:val="-1"/>
          <w:sz w:val="24"/>
        </w:rPr>
        <w:t> </w:t>
      </w:r>
      <w:r>
        <w:rPr>
          <w:sz w:val="24"/>
        </w:rPr>
        <w:t>Organization</w:t>
      </w:r>
      <w:r>
        <w:rPr>
          <w:spacing w:val="-1"/>
          <w:sz w:val="24"/>
        </w:rPr>
        <w:t> </w:t>
      </w:r>
      <w:r>
        <w:rPr>
          <w:sz w:val="24"/>
        </w:rPr>
        <w:t>(2013). </w:t>
      </w:r>
      <w:r>
        <w:rPr>
          <w:i/>
          <w:sz w:val="24"/>
        </w:rPr>
        <w:t>Fact</w:t>
      </w:r>
      <w:r>
        <w:rPr>
          <w:i/>
          <w:spacing w:val="-1"/>
          <w:sz w:val="24"/>
        </w:rPr>
        <w:t> </w:t>
      </w:r>
      <w:r>
        <w:rPr>
          <w:i/>
          <w:sz w:val="24"/>
        </w:rPr>
        <w:t>Sheet, </w:t>
      </w:r>
      <w:r>
        <w:rPr>
          <w:sz w:val="24"/>
        </w:rPr>
        <w:t>No</w:t>
      </w:r>
      <w:r>
        <w:rPr>
          <w:spacing w:val="-1"/>
          <w:sz w:val="24"/>
        </w:rPr>
        <w:t> </w:t>
      </w:r>
      <w:r>
        <w:rPr>
          <w:sz w:val="24"/>
        </w:rPr>
        <w:t>312.</w:t>
      </w:r>
      <w:r>
        <w:rPr>
          <w:spacing w:val="-1"/>
          <w:sz w:val="24"/>
        </w:rPr>
        <w:t> </w:t>
      </w:r>
      <w:r>
        <w:rPr>
          <w:sz w:val="24"/>
        </w:rPr>
        <w:t>1-</w:t>
      </w:r>
      <w:r>
        <w:rPr>
          <w:spacing w:val="-5"/>
          <w:sz w:val="24"/>
        </w:rPr>
        <w:t>12.</w:t>
      </w:r>
    </w:p>
    <w:p>
      <w:pPr>
        <w:pStyle w:val="BodyText"/>
      </w:pPr>
    </w:p>
    <w:p>
      <w:pPr>
        <w:pStyle w:val="BodyText"/>
        <w:ind w:left="296"/>
      </w:pPr>
      <w:r>
        <w:rPr/>
        <w:t>World Health</w:t>
      </w:r>
      <w:r>
        <w:rPr>
          <w:spacing w:val="1"/>
        </w:rPr>
        <w:t> </w:t>
      </w:r>
      <w:r>
        <w:rPr/>
        <w:t>Organization (2013). Message</w:t>
      </w:r>
      <w:r>
        <w:rPr>
          <w:spacing w:val="-1"/>
        </w:rPr>
        <w:t> </w:t>
      </w:r>
      <w:r>
        <w:rPr/>
        <w:t>of the WHO</w:t>
      </w:r>
      <w:r>
        <w:rPr>
          <w:spacing w:val="-1"/>
        </w:rPr>
        <w:t> </w:t>
      </w:r>
      <w:r>
        <w:rPr/>
        <w:t>Regional</w:t>
      </w:r>
      <w:r>
        <w:rPr>
          <w:spacing w:val="1"/>
        </w:rPr>
        <w:t> </w:t>
      </w:r>
      <w:r>
        <w:rPr/>
        <w:t>Director</w:t>
      </w:r>
      <w:r>
        <w:rPr>
          <w:spacing w:val="-1"/>
        </w:rPr>
        <w:t> </w:t>
      </w:r>
      <w:r>
        <w:rPr/>
        <w:t>for</w:t>
      </w:r>
      <w:r>
        <w:rPr>
          <w:spacing w:val="-1"/>
        </w:rPr>
        <w:t> </w:t>
      </w:r>
      <w:r>
        <w:rPr/>
        <w:t>Africa,</w:t>
      </w:r>
      <w:r>
        <w:rPr>
          <w:spacing w:val="1"/>
        </w:rPr>
        <w:t> </w:t>
      </w:r>
      <w:r>
        <w:rPr>
          <w:spacing w:val="-5"/>
        </w:rPr>
        <w:t>Dr.</w:t>
      </w:r>
    </w:p>
    <w:p>
      <w:pPr>
        <w:pStyle w:val="BodyText"/>
      </w:pPr>
    </w:p>
    <w:p>
      <w:pPr>
        <w:pStyle w:val="BodyText"/>
        <w:ind w:left="1016"/>
      </w:pPr>
      <w:r>
        <w:rPr/>
        <w:t>Lius</w:t>
      </w:r>
      <w:r>
        <w:rPr>
          <w:spacing w:val="-2"/>
        </w:rPr>
        <w:t> </w:t>
      </w:r>
      <w:r>
        <w:rPr/>
        <w:t>Sambo on the</w:t>
      </w:r>
      <w:r>
        <w:rPr>
          <w:spacing w:val="-1"/>
        </w:rPr>
        <w:t> </w:t>
      </w:r>
      <w:r>
        <w:rPr/>
        <w:t>occasion of</w:t>
      </w:r>
      <w:r>
        <w:rPr>
          <w:spacing w:val="1"/>
        </w:rPr>
        <w:t> </w:t>
      </w:r>
      <w:r>
        <w:rPr/>
        <w:t>the</w:t>
      </w:r>
      <w:r>
        <w:rPr>
          <w:spacing w:val="-1"/>
        </w:rPr>
        <w:t> </w:t>
      </w:r>
      <w:r>
        <w:rPr/>
        <w:t>World Diabetes Day</w:t>
      </w:r>
      <w:r>
        <w:rPr>
          <w:spacing w:val="-5"/>
        </w:rPr>
        <w:t> </w:t>
      </w:r>
      <w:r>
        <w:rPr/>
        <w:t>2013.</w:t>
      </w:r>
      <w:r>
        <w:rPr>
          <w:spacing w:val="1"/>
        </w:rPr>
        <w:t> </w:t>
      </w:r>
      <w:r>
        <w:rPr/>
        <w:t>1-</w:t>
      </w:r>
      <w:r>
        <w:rPr>
          <w:spacing w:val="-5"/>
        </w:rPr>
        <w:t>18.</w:t>
      </w:r>
    </w:p>
    <w:p>
      <w:pPr>
        <w:pStyle w:val="BodyText"/>
      </w:pPr>
    </w:p>
    <w:p>
      <w:pPr>
        <w:spacing w:line="480" w:lineRule="auto" w:before="0"/>
        <w:ind w:left="1016" w:right="1141" w:hanging="720"/>
        <w:jc w:val="left"/>
        <w:rPr>
          <w:sz w:val="24"/>
        </w:rPr>
      </w:pPr>
      <w:r>
        <w:rPr>
          <w:sz w:val="24"/>
        </w:rPr>
        <w:t>World Health Organization (WHO) (2009). </w:t>
      </w:r>
      <w:r>
        <w:rPr>
          <w:i/>
          <w:sz w:val="24"/>
        </w:rPr>
        <w:t>Global health risks. Mortality and burden of</w:t>
      </w:r>
      <w:r>
        <w:rPr>
          <w:i/>
          <w:spacing w:val="40"/>
          <w:sz w:val="24"/>
        </w:rPr>
        <w:t> </w:t>
      </w:r>
      <w:r>
        <w:rPr>
          <w:i/>
          <w:sz w:val="24"/>
        </w:rPr>
        <w:t>disease attributable to selected major risk, </w:t>
      </w:r>
      <w:r>
        <w:rPr>
          <w:sz w:val="24"/>
        </w:rPr>
        <w:t>Geneva, Switzerland 59-61.</w:t>
      </w:r>
    </w:p>
    <w:p>
      <w:pPr>
        <w:pStyle w:val="BodyText"/>
        <w:tabs>
          <w:tab w:pos="2083" w:val="left" w:leader="none"/>
          <w:tab w:pos="3469" w:val="left" w:leader="none"/>
          <w:tab w:pos="5005" w:val="left" w:leader="none"/>
          <w:tab w:pos="5461" w:val="left" w:leader="none"/>
          <w:tab w:pos="6581" w:val="left" w:leader="none"/>
          <w:tab w:pos="7953" w:val="left" w:leader="none"/>
          <w:tab w:pos="8570" w:val="left" w:leader="none"/>
        </w:tabs>
        <w:spacing w:line="480" w:lineRule="auto"/>
        <w:ind w:left="1016" w:right="1137" w:hanging="720"/>
      </w:pPr>
      <w:r>
        <w:rPr/>
        <w:t>Yaney, G.C., Stafford, G.A., Henstenberg, J.D., Sharp, G.W. and Weiland, G.A. (1991).</w:t>
      </w:r>
      <w:r>
        <w:rPr>
          <w:spacing w:val="80"/>
        </w:rPr>
        <w:t> </w:t>
      </w:r>
      <w:r>
        <w:rPr/>
        <w:t>Binding</w:t>
      </w:r>
      <w:r>
        <w:rPr>
          <w:spacing w:val="40"/>
        </w:rPr>
        <w:t> </w:t>
      </w:r>
      <w:r>
        <w:rPr/>
        <w:t>of</w:t>
      </w:r>
      <w:r>
        <w:rPr>
          <w:spacing w:val="40"/>
        </w:rPr>
        <w:t> </w:t>
      </w:r>
      <w:r>
        <w:rPr/>
        <w:t>the</w:t>
      </w:r>
      <w:r>
        <w:rPr>
          <w:spacing w:val="40"/>
        </w:rPr>
        <w:t> </w:t>
      </w:r>
      <w:r>
        <w:rPr/>
        <w:t>dihydropyridine</w:t>
      </w:r>
      <w:r>
        <w:rPr>
          <w:spacing w:val="40"/>
        </w:rPr>
        <w:t> </w:t>
      </w:r>
      <w:r>
        <w:rPr/>
        <w:t>calcium</w:t>
      </w:r>
      <w:r>
        <w:rPr>
          <w:spacing w:val="40"/>
        </w:rPr>
        <w:t> </w:t>
      </w:r>
      <w:r>
        <w:rPr/>
        <w:t>channel</w:t>
      </w:r>
      <w:r>
        <w:rPr>
          <w:spacing w:val="40"/>
        </w:rPr>
        <w:t> </w:t>
      </w:r>
      <w:r>
        <w:rPr/>
        <w:t>blocker</w:t>
      </w:r>
      <w:r>
        <w:rPr>
          <w:spacing w:val="40"/>
        </w:rPr>
        <w:t> </w:t>
      </w:r>
      <w:r>
        <w:rPr/>
        <w:t>(+)-(</w:t>
      </w:r>
      <w:r>
        <w:rPr>
          <w:vertAlign w:val="superscript"/>
        </w:rPr>
        <w:t>3</w:t>
      </w:r>
      <w:r>
        <w:rPr>
          <w:vertAlign w:val="baseline"/>
        </w:rPr>
        <w:t>H)</w:t>
      </w:r>
      <w:r>
        <w:rPr>
          <w:spacing w:val="40"/>
          <w:vertAlign w:val="baseline"/>
        </w:rPr>
        <w:t> </w:t>
      </w:r>
      <w:r>
        <w:rPr>
          <w:vertAlign w:val="baseline"/>
        </w:rPr>
        <w:t>isopropyl-4-</w:t>
      </w:r>
      <w:r>
        <w:rPr>
          <w:spacing w:val="40"/>
          <w:vertAlign w:val="baseline"/>
        </w:rPr>
        <w:t> </w:t>
      </w:r>
      <w:r>
        <w:rPr>
          <w:spacing w:val="-2"/>
          <w:vertAlign w:val="baseline"/>
        </w:rPr>
        <w:t>(2,1,3-benzoxadiazol-4-yl)-1,4-diyhdro-5-methoxy-carbonyl-2,6-dimethyl-3-</w:t>
      </w:r>
      <w:r>
        <w:rPr>
          <w:vertAlign w:val="baseline"/>
        </w:rPr>
        <w:t> </w:t>
      </w:r>
      <w:r>
        <w:rPr>
          <w:spacing w:val="-2"/>
          <w:vertAlign w:val="baseline"/>
        </w:rPr>
        <w:t>pyridine</w:t>
      </w:r>
      <w:r>
        <w:rPr>
          <w:vertAlign w:val="baseline"/>
        </w:rPr>
        <w:tab/>
      </w:r>
      <w:r>
        <w:rPr>
          <w:spacing w:val="-2"/>
          <w:vertAlign w:val="baseline"/>
        </w:rPr>
        <w:t>carboxylate</w:t>
      </w:r>
      <w:r>
        <w:rPr>
          <w:vertAlign w:val="baseline"/>
        </w:rPr>
        <w:tab/>
      </w:r>
      <w:r>
        <w:rPr>
          <w:spacing w:val="-2"/>
          <w:vertAlign w:val="baseline"/>
        </w:rPr>
        <w:t>(PN200-110)</w:t>
      </w:r>
      <w:r>
        <w:rPr>
          <w:vertAlign w:val="baseline"/>
        </w:rPr>
        <w:tab/>
      </w:r>
      <w:r>
        <w:rPr>
          <w:spacing w:val="-6"/>
          <w:vertAlign w:val="baseline"/>
        </w:rPr>
        <w:t>to</w:t>
      </w:r>
      <w:r>
        <w:rPr>
          <w:vertAlign w:val="baseline"/>
        </w:rPr>
        <w:tab/>
      </w:r>
      <w:r>
        <w:rPr>
          <w:spacing w:val="-2"/>
          <w:vertAlign w:val="baseline"/>
        </w:rPr>
        <w:t>RINm5F</w:t>
      </w:r>
      <w:r>
        <w:rPr>
          <w:vertAlign w:val="baseline"/>
        </w:rPr>
        <w:tab/>
      </w:r>
      <w:r>
        <w:rPr>
          <w:spacing w:val="-2"/>
          <w:vertAlign w:val="baseline"/>
        </w:rPr>
        <w:t>membranes</w:t>
      </w:r>
      <w:r>
        <w:rPr>
          <w:vertAlign w:val="baseline"/>
        </w:rPr>
        <w:tab/>
      </w:r>
      <w:r>
        <w:rPr>
          <w:spacing w:val="-4"/>
          <w:vertAlign w:val="baseline"/>
        </w:rPr>
        <w:t>and</w:t>
      </w:r>
      <w:r>
        <w:rPr>
          <w:vertAlign w:val="baseline"/>
        </w:rPr>
        <w:tab/>
      </w:r>
      <w:r>
        <w:rPr>
          <w:spacing w:val="-2"/>
          <w:vertAlign w:val="baseline"/>
        </w:rPr>
        <w:t>cells: </w:t>
      </w:r>
      <w:r>
        <w:rPr>
          <w:vertAlign w:val="baseline"/>
        </w:rPr>
        <w:t>characterization</w:t>
      </w:r>
      <w:r>
        <w:rPr>
          <w:spacing w:val="80"/>
          <w:vertAlign w:val="baseline"/>
        </w:rPr>
        <w:t> </w:t>
      </w:r>
      <w:r>
        <w:rPr>
          <w:vertAlign w:val="baseline"/>
        </w:rPr>
        <w:t>and</w:t>
      </w:r>
      <w:r>
        <w:rPr>
          <w:spacing w:val="80"/>
          <w:vertAlign w:val="baseline"/>
        </w:rPr>
        <w:t> </w:t>
      </w:r>
      <w:r>
        <w:rPr>
          <w:vertAlign w:val="baseline"/>
        </w:rPr>
        <w:t>functional</w:t>
      </w:r>
      <w:r>
        <w:rPr>
          <w:spacing w:val="80"/>
          <w:vertAlign w:val="baseline"/>
        </w:rPr>
        <w:t> </w:t>
      </w:r>
      <w:r>
        <w:rPr>
          <w:vertAlign w:val="baseline"/>
        </w:rPr>
        <w:t>significance.</w:t>
      </w:r>
      <w:r>
        <w:rPr>
          <w:spacing w:val="80"/>
          <w:vertAlign w:val="baseline"/>
        </w:rPr>
        <w:t> </w:t>
      </w:r>
      <w:r>
        <w:rPr>
          <w:i/>
          <w:vertAlign w:val="baseline"/>
        </w:rPr>
        <w:t>Journal</w:t>
      </w:r>
      <w:r>
        <w:rPr>
          <w:i/>
          <w:spacing w:val="80"/>
          <w:vertAlign w:val="baseline"/>
        </w:rPr>
        <w:t> </w:t>
      </w:r>
      <w:r>
        <w:rPr>
          <w:i/>
          <w:vertAlign w:val="baseline"/>
        </w:rPr>
        <w:t>of</w:t>
      </w:r>
      <w:r>
        <w:rPr>
          <w:i/>
          <w:spacing w:val="80"/>
          <w:vertAlign w:val="baseline"/>
        </w:rPr>
        <w:t> </w:t>
      </w:r>
      <w:r>
        <w:rPr>
          <w:i/>
          <w:vertAlign w:val="baseline"/>
        </w:rPr>
        <w:t>Pharmacology</w:t>
      </w:r>
      <w:r>
        <w:rPr>
          <w:i/>
          <w:spacing w:val="80"/>
          <w:vertAlign w:val="baseline"/>
        </w:rPr>
        <w:t> </w:t>
      </w:r>
      <w:r>
        <w:rPr>
          <w:i/>
          <w:vertAlign w:val="baseline"/>
        </w:rPr>
        <w:t>and</w:t>
      </w:r>
      <w:r>
        <w:rPr>
          <w:i/>
          <w:spacing w:val="80"/>
          <w:vertAlign w:val="baseline"/>
        </w:rPr>
        <w:t> </w:t>
      </w:r>
      <w:r>
        <w:rPr>
          <w:i/>
          <w:vertAlign w:val="baseline"/>
        </w:rPr>
        <w:t>Experimental Therapeutics</w:t>
      </w:r>
      <w:r>
        <w:rPr>
          <w:vertAlign w:val="baseline"/>
        </w:rPr>
        <w:t>, 258:652-662.</w:t>
      </w:r>
    </w:p>
    <w:p>
      <w:pPr>
        <w:pStyle w:val="BodyText"/>
        <w:spacing w:line="480" w:lineRule="auto" w:before="1"/>
        <w:ind w:left="1016" w:right="1136" w:hanging="720"/>
        <w:jc w:val="both"/>
      </w:pPr>
      <w:r>
        <w:rPr/>
        <w:t>Zhang, H., Saaddine, J.B., Chou, C.F., Cotch, M.F., Cheng, Y.J., Geiss, L.S., Gregg, E.W., Albright, A.L., Klein, B.E. and Klein R. (2010). Prevalence of diabetic retinopathy in the United States, 2005–2008. </w:t>
      </w:r>
      <w:r>
        <w:rPr>
          <w:i/>
        </w:rPr>
        <w:t>Journal of American Medical Association</w:t>
      </w:r>
      <w:r>
        <w:rPr/>
        <w:t>, 304, </w:t>
      </w:r>
      <w:r>
        <w:rPr>
          <w:spacing w:val="-2"/>
        </w:rPr>
        <w:t>649-653.</w:t>
      </w:r>
    </w:p>
    <w:p>
      <w:pPr>
        <w:spacing w:line="480" w:lineRule="auto" w:before="1"/>
        <w:ind w:left="1016" w:right="1136" w:hanging="720"/>
        <w:jc w:val="both"/>
        <w:rPr>
          <w:sz w:val="24"/>
        </w:rPr>
      </w:pPr>
      <w:r>
        <w:rPr>
          <w:sz w:val="24"/>
        </w:rPr>
        <w:t>Zhang, Y., Yang S., Wang A., Sun, Z., Zhuo, Y., Xu, Y. and He Y. (2014). Protective Effect of Ethanol Extracts of </w:t>
      </w:r>
      <w:r>
        <w:rPr>
          <w:i/>
          <w:sz w:val="24"/>
        </w:rPr>
        <w:t>Hericium erinaceus </w:t>
      </w:r>
      <w:r>
        <w:rPr>
          <w:sz w:val="24"/>
        </w:rPr>
        <w:t>on Alloxan-Induced Diabetic Neuropathic Pain in Rats. </w:t>
      </w:r>
      <w:r>
        <w:rPr>
          <w:i/>
          <w:sz w:val="24"/>
        </w:rPr>
        <w:t>Evidence-Based Complementary and Alternative Medicine, </w:t>
      </w:r>
      <w:r>
        <w:rPr>
          <w:sz w:val="24"/>
        </w:rPr>
        <w:t>11: 1-5.</w:t>
      </w:r>
    </w:p>
    <w:p>
      <w:pPr>
        <w:spacing w:after="0" w:line="480" w:lineRule="auto"/>
        <w:jc w:val="both"/>
        <w:rPr>
          <w:sz w:val="24"/>
        </w:rPr>
        <w:sectPr>
          <w:pgSz w:w="12240" w:h="15840"/>
          <w:pgMar w:header="0" w:footer="1015" w:top="1360" w:bottom="1200" w:left="1720" w:right="300"/>
        </w:sectPr>
      </w:pPr>
    </w:p>
    <w:p>
      <w:pPr>
        <w:pStyle w:val="Heading1"/>
        <w:tabs>
          <w:tab w:pos="1440" w:val="left" w:leader="none"/>
        </w:tabs>
        <w:ind w:left="0" w:right="842"/>
      </w:pPr>
      <w:bookmarkStart w:name="_TOC_250001" w:id="80"/>
      <w:r>
        <w:rPr>
          <w:spacing w:val="-2"/>
        </w:rPr>
        <w:t>APPENDIX</w:t>
      </w:r>
      <w:r>
        <w:rPr/>
        <w:tab/>
      </w:r>
      <w:bookmarkEnd w:id="80"/>
      <w:r>
        <w:rPr>
          <w:spacing w:val="-10"/>
        </w:rPr>
        <w:t>I</w:t>
      </w:r>
    </w:p>
    <w:p>
      <w:pPr>
        <w:pStyle w:val="BodyText"/>
        <w:spacing w:before="1"/>
        <w:rPr>
          <w:b/>
        </w:rPr>
      </w:pPr>
    </w:p>
    <w:p>
      <w:pPr>
        <w:spacing w:before="0"/>
        <w:ind w:left="296" w:right="0" w:firstLine="0"/>
        <w:jc w:val="left"/>
        <w:rPr>
          <w:b/>
          <w:sz w:val="24"/>
        </w:rPr>
      </w:pPr>
      <w:r>
        <w:rPr>
          <w:b/>
          <w:sz w:val="24"/>
        </w:rPr>
        <w:t>Calculation</w:t>
      </w:r>
      <w:r>
        <w:rPr>
          <w:b/>
          <w:spacing w:val="-1"/>
          <w:sz w:val="24"/>
        </w:rPr>
        <w:t> </w:t>
      </w:r>
      <w:r>
        <w:rPr>
          <w:b/>
          <w:sz w:val="24"/>
        </w:rPr>
        <w:t>of relative</w:t>
      </w:r>
      <w:r>
        <w:rPr>
          <w:b/>
          <w:spacing w:val="-2"/>
          <w:sz w:val="24"/>
        </w:rPr>
        <w:t> </w:t>
      </w:r>
      <w:r>
        <w:rPr>
          <w:b/>
          <w:sz w:val="24"/>
        </w:rPr>
        <w:t>kidney</w:t>
      </w:r>
      <w:r>
        <w:rPr>
          <w:b/>
          <w:spacing w:val="-3"/>
          <w:sz w:val="24"/>
        </w:rPr>
        <w:t> </w:t>
      </w:r>
      <w:r>
        <w:rPr>
          <w:b/>
          <w:spacing w:val="-2"/>
          <w:sz w:val="24"/>
        </w:rPr>
        <w:t>weight</w:t>
      </w:r>
    </w:p>
    <w:p>
      <w:pPr>
        <w:pStyle w:val="BodyText"/>
        <w:rPr>
          <w:b/>
          <w:sz w:val="20"/>
        </w:rPr>
      </w:pPr>
    </w:p>
    <w:p>
      <w:pPr>
        <w:pStyle w:val="BodyText"/>
        <w:rPr>
          <w:b/>
          <w:sz w:val="20"/>
        </w:rPr>
      </w:pPr>
    </w:p>
    <w:p>
      <w:pPr>
        <w:pStyle w:val="BodyText"/>
        <w:spacing w:before="56"/>
        <w:rPr>
          <w:b/>
          <w:sz w:val="20"/>
        </w:rPr>
      </w:pPr>
    </w:p>
    <w:p>
      <w:pPr>
        <w:spacing w:after="0"/>
        <w:rPr>
          <w:sz w:val="20"/>
        </w:rPr>
        <w:sectPr>
          <w:pgSz w:w="12240" w:h="15840"/>
          <w:pgMar w:header="0" w:footer="1015" w:top="1360" w:bottom="1200" w:left="1720" w:right="300"/>
        </w:sectPr>
      </w:pPr>
    </w:p>
    <w:p>
      <w:pPr>
        <w:pStyle w:val="BodyText"/>
        <w:spacing w:before="241"/>
        <w:ind w:left="1381"/>
        <w:rPr>
          <w:rFonts w:ascii="Cambria Math"/>
        </w:rPr>
      </w:pPr>
      <w:r>
        <w:rPr/>
        <mc:AlternateContent>
          <mc:Choice Requires="wps">
            <w:drawing>
              <wp:anchor distT="0" distB="0" distL="0" distR="0" allowOverlap="1" layoutInCell="1" locked="0" behindDoc="0" simplePos="0" relativeHeight="15747584">
                <wp:simplePos x="0" y="0"/>
                <wp:positionH relativeFrom="page">
                  <wp:posOffset>3641471</wp:posOffset>
                </wp:positionH>
                <wp:positionV relativeFrom="paragraph">
                  <wp:posOffset>249382</wp:posOffset>
                </wp:positionV>
                <wp:extent cx="2529205" cy="1079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2529205" cy="10795"/>
                        </a:xfrm>
                        <a:custGeom>
                          <a:avLst/>
                          <a:gdLst/>
                          <a:ahLst/>
                          <a:cxnLst/>
                          <a:rect l="l" t="t" r="r" b="b"/>
                          <a:pathLst>
                            <a:path w="2529205" h="10795">
                              <a:moveTo>
                                <a:pt x="2528951" y="0"/>
                              </a:moveTo>
                              <a:lnTo>
                                <a:pt x="0" y="0"/>
                              </a:lnTo>
                              <a:lnTo>
                                <a:pt x="0" y="10668"/>
                              </a:lnTo>
                              <a:lnTo>
                                <a:pt x="2528951" y="10668"/>
                              </a:lnTo>
                              <a:lnTo>
                                <a:pt x="2528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6.730011pt;margin-top:19.636446pt;width:199.13pt;height:.84pt;mso-position-horizontal-relative:page;mso-position-vertical-relative:paragraph;z-index:15747584" id="docshape171" filled="true" fillcolor="#000000" stroked="false">
                <v:fill type="solid"/>
                <w10:wrap type="none"/>
              </v:rect>
            </w:pict>
          </mc:Fallback>
        </mc:AlternateContent>
      </w:r>
      <w:r>
        <w:rPr>
          <w:rFonts w:ascii="Cambria Math"/>
        </w:rPr>
        <w:t>Relative</w:t>
      </w:r>
      <w:r>
        <w:rPr>
          <w:rFonts w:ascii="Cambria Math"/>
          <w:spacing w:val="-14"/>
        </w:rPr>
        <w:t> </w:t>
      </w:r>
      <w:r>
        <w:rPr>
          <w:rFonts w:ascii="Cambria Math"/>
        </w:rPr>
        <w:t>kidney</w:t>
      </w:r>
      <w:r>
        <w:rPr>
          <w:rFonts w:ascii="Cambria Math"/>
          <w:spacing w:val="-8"/>
        </w:rPr>
        <w:t> </w:t>
      </w:r>
      <w:r>
        <w:rPr>
          <w:rFonts w:ascii="Cambria Math"/>
        </w:rPr>
        <w:t>weight</w:t>
      </w:r>
      <w:r>
        <w:rPr>
          <w:rFonts w:ascii="Cambria Math"/>
          <w:spacing w:val="5"/>
        </w:rPr>
        <w:t> </w:t>
      </w:r>
      <w:r>
        <w:rPr>
          <w:rFonts w:ascii="Cambria Math"/>
          <w:spacing w:val="-10"/>
        </w:rPr>
        <w:t>=</w:t>
      </w:r>
    </w:p>
    <w:p>
      <w:pPr>
        <w:pStyle w:val="BodyText"/>
        <w:spacing w:line="292" w:lineRule="auto" w:before="59"/>
        <w:ind w:left="27" w:right="2221" w:firstLine="763"/>
        <w:rPr>
          <w:rFonts w:ascii="Cambria Math" w:hAnsi="Cambria Math"/>
        </w:rPr>
      </w:pPr>
      <w:r>
        <w:rPr/>
        <w:br w:type="column"/>
      </w:r>
      <w:r>
        <w:rPr>
          <w:rFonts w:ascii="Cambria Math" w:hAnsi="Cambria Math"/>
        </w:rPr>
        <w:t>Weight of kidney</w:t>
      </w:r>
      <w:r>
        <w:rPr>
          <w:rFonts w:ascii="Cambria Math" w:hAnsi="Cambria Math"/>
          <w:spacing w:val="40"/>
        </w:rPr>
        <w:t> </w:t>
      </w:r>
      <w:r>
        <w:rPr>
          <w:rFonts w:ascii="Cambria Math" w:hAnsi="Cambria Math"/>
        </w:rPr>
        <w:t>× 100</w:t>
      </w:r>
      <w:r>
        <w:rPr>
          <w:rFonts w:ascii="Cambria Math" w:hAnsi="Cambria Math"/>
          <w:spacing w:val="40"/>
        </w:rPr>
        <w:t> </w:t>
      </w:r>
      <w:r>
        <w:rPr>
          <w:rFonts w:ascii="Cambria Math" w:hAnsi="Cambria Math"/>
        </w:rPr>
        <w:t>Weight</w:t>
      </w:r>
      <w:r>
        <w:rPr>
          <w:rFonts w:ascii="Cambria Math" w:hAnsi="Cambria Math"/>
          <w:spacing w:val="-17"/>
        </w:rPr>
        <w:t> </w:t>
      </w:r>
      <w:r>
        <w:rPr>
          <w:rFonts w:ascii="Cambria Math" w:hAnsi="Cambria Math"/>
        </w:rPr>
        <w:t>of</w:t>
      </w:r>
      <w:r>
        <w:rPr>
          <w:rFonts w:ascii="Cambria Math" w:hAnsi="Cambria Math"/>
          <w:spacing w:val="-8"/>
        </w:rPr>
        <w:t> </w:t>
      </w:r>
      <w:r>
        <w:rPr>
          <w:rFonts w:ascii="Cambria Math" w:hAnsi="Cambria Math"/>
        </w:rPr>
        <w:t>the</w:t>
      </w:r>
      <w:r>
        <w:rPr>
          <w:rFonts w:ascii="Cambria Math" w:hAnsi="Cambria Math"/>
          <w:spacing w:val="-5"/>
        </w:rPr>
        <w:t> </w:t>
      </w:r>
      <w:r>
        <w:rPr>
          <w:rFonts w:ascii="Cambria Math" w:hAnsi="Cambria Math"/>
        </w:rPr>
        <w:t>rat</w:t>
      </w:r>
      <w:r>
        <w:rPr>
          <w:rFonts w:ascii="Cambria Math" w:hAnsi="Cambria Math"/>
          <w:spacing w:val="-9"/>
        </w:rPr>
        <w:t> </w:t>
      </w:r>
      <w:r>
        <w:rPr>
          <w:rFonts w:ascii="Cambria Math" w:hAnsi="Cambria Math"/>
        </w:rPr>
        <w:t>on</w:t>
      </w:r>
      <w:r>
        <w:rPr>
          <w:rFonts w:ascii="Cambria Math" w:hAnsi="Cambria Math"/>
          <w:spacing w:val="-5"/>
        </w:rPr>
        <w:t> </w:t>
      </w:r>
      <w:r>
        <w:rPr>
          <w:rFonts w:ascii="Cambria Math" w:hAnsi="Cambria Math"/>
        </w:rPr>
        <w:t>the</w:t>
      </w:r>
      <w:r>
        <w:rPr>
          <w:rFonts w:ascii="Cambria Math" w:hAnsi="Cambria Math"/>
          <w:spacing w:val="-5"/>
        </w:rPr>
        <w:t> </w:t>
      </w:r>
      <w:r>
        <w:rPr>
          <w:rFonts w:ascii="Cambria Math" w:hAnsi="Cambria Math"/>
        </w:rPr>
        <w:t>day</w:t>
      </w:r>
      <w:r>
        <w:rPr>
          <w:rFonts w:ascii="Cambria Math" w:hAnsi="Cambria Math"/>
          <w:spacing w:val="-11"/>
        </w:rPr>
        <w:t> </w:t>
      </w:r>
      <w:r>
        <w:rPr>
          <w:rFonts w:ascii="Cambria Math" w:hAnsi="Cambria Math"/>
        </w:rPr>
        <w:t>of</w:t>
      </w:r>
      <w:r>
        <w:rPr>
          <w:rFonts w:ascii="Cambria Math" w:hAnsi="Cambria Math"/>
          <w:spacing w:val="-4"/>
        </w:rPr>
        <w:t> </w:t>
      </w:r>
      <w:r>
        <w:rPr>
          <w:rFonts w:ascii="Cambria Math" w:hAnsi="Cambria Math"/>
        </w:rPr>
        <w:t>sacrifice</w:t>
      </w:r>
    </w:p>
    <w:p>
      <w:pPr>
        <w:spacing w:after="0" w:line="292" w:lineRule="auto"/>
        <w:rPr>
          <w:rFonts w:ascii="Cambria Math" w:hAnsi="Cambria Math"/>
        </w:rPr>
        <w:sectPr>
          <w:type w:val="continuous"/>
          <w:pgSz w:w="12240" w:h="15840"/>
          <w:pgMar w:header="0" w:footer="1015" w:top="1360" w:bottom="1200" w:left="1720" w:right="300"/>
          <w:cols w:num="2" w:equalWidth="0">
            <w:col w:w="3947" w:space="40"/>
            <w:col w:w="6233"/>
          </w:cols>
        </w:sectPr>
      </w:pPr>
    </w:p>
    <w:p>
      <w:pPr>
        <w:pStyle w:val="BodyText"/>
        <w:spacing w:line="480" w:lineRule="auto" w:before="210"/>
        <w:ind w:left="296" w:right="5722"/>
      </w:pPr>
      <w:r>
        <w:rPr/>
        <w:t>For example; weight of kidney = 0.6 Weight</w:t>
      </w:r>
      <w:r>
        <w:rPr>
          <w:spacing w:val="-4"/>
        </w:rPr>
        <w:t> </w:t>
      </w:r>
      <w:r>
        <w:rPr/>
        <w:t>of</w:t>
      </w:r>
      <w:r>
        <w:rPr>
          <w:spacing w:val="-4"/>
        </w:rPr>
        <w:t> </w:t>
      </w:r>
      <w:r>
        <w:rPr/>
        <w:t>rat</w:t>
      </w:r>
      <w:r>
        <w:rPr>
          <w:spacing w:val="-4"/>
        </w:rPr>
        <w:t> </w:t>
      </w:r>
      <w:r>
        <w:rPr/>
        <w:t>on</w:t>
      </w:r>
      <w:r>
        <w:rPr>
          <w:spacing w:val="-4"/>
        </w:rPr>
        <w:t> </w:t>
      </w:r>
      <w:r>
        <w:rPr/>
        <w:t>day</w:t>
      </w:r>
      <w:r>
        <w:rPr>
          <w:spacing w:val="-9"/>
        </w:rPr>
        <w:t> </w:t>
      </w:r>
      <w:r>
        <w:rPr/>
        <w:t>of</w:t>
      </w:r>
      <w:r>
        <w:rPr>
          <w:spacing w:val="-4"/>
        </w:rPr>
        <w:t> </w:t>
      </w:r>
      <w:r>
        <w:rPr/>
        <w:t>sacrifice</w:t>
      </w:r>
      <w:r>
        <w:rPr>
          <w:spacing w:val="-5"/>
        </w:rPr>
        <w:t> </w:t>
      </w:r>
      <w:r>
        <w:rPr/>
        <w:t>=</w:t>
      </w:r>
      <w:r>
        <w:rPr>
          <w:spacing w:val="-5"/>
        </w:rPr>
        <w:t> </w:t>
      </w:r>
      <w:r>
        <w:rPr/>
        <w:t>140</w:t>
      </w:r>
      <w:r>
        <w:rPr>
          <w:spacing w:val="-2"/>
        </w:rPr>
        <w:t> </w:t>
      </w:r>
      <w:r>
        <w:rPr/>
        <w:t>g</w:t>
      </w:r>
    </w:p>
    <w:p>
      <w:pPr>
        <w:pStyle w:val="BodyText"/>
        <w:rPr>
          <w:sz w:val="20"/>
        </w:rPr>
      </w:pPr>
    </w:p>
    <w:p>
      <w:pPr>
        <w:pStyle w:val="BodyText"/>
        <w:spacing w:before="8"/>
        <w:rPr>
          <w:sz w:val="20"/>
        </w:rPr>
      </w:pPr>
    </w:p>
    <w:p>
      <w:pPr>
        <w:spacing w:after="0"/>
        <w:rPr>
          <w:sz w:val="20"/>
        </w:rPr>
        <w:sectPr>
          <w:type w:val="continuous"/>
          <w:pgSz w:w="12240" w:h="15840"/>
          <w:pgMar w:header="0" w:footer="1015" w:top="1360" w:bottom="1200" w:left="1720" w:right="300"/>
        </w:sectPr>
      </w:pPr>
    </w:p>
    <w:p>
      <w:pPr>
        <w:pStyle w:val="BodyText"/>
        <w:spacing w:before="242"/>
        <w:ind w:left="2850"/>
        <w:rPr>
          <w:rFonts w:ascii="Cambria Math"/>
        </w:rPr>
      </w:pPr>
      <w:r>
        <w:rPr>
          <w:rFonts w:ascii="Cambria Math"/>
        </w:rPr>
        <w:t>Relative</w:t>
      </w:r>
      <w:r>
        <w:rPr>
          <w:rFonts w:ascii="Cambria Math"/>
          <w:spacing w:val="-14"/>
        </w:rPr>
        <w:t> </w:t>
      </w:r>
      <w:r>
        <w:rPr>
          <w:rFonts w:ascii="Cambria Math"/>
        </w:rPr>
        <w:t>kidney</w:t>
      </w:r>
      <w:r>
        <w:rPr>
          <w:rFonts w:ascii="Cambria Math"/>
          <w:spacing w:val="-8"/>
        </w:rPr>
        <w:t> </w:t>
      </w:r>
      <w:r>
        <w:rPr>
          <w:rFonts w:ascii="Cambria Math"/>
        </w:rPr>
        <w:t>weight</w:t>
      </w:r>
      <w:r>
        <w:rPr>
          <w:rFonts w:ascii="Cambria Math"/>
          <w:spacing w:val="6"/>
        </w:rPr>
        <w:t> </w:t>
      </w:r>
      <w:r>
        <w:rPr>
          <w:rFonts w:ascii="Cambria Math"/>
          <w:spacing w:val="-10"/>
        </w:rPr>
        <w:t>=</w:t>
      </w:r>
    </w:p>
    <w:p>
      <w:pPr>
        <w:pStyle w:val="BodyText"/>
        <w:spacing w:before="103"/>
        <w:rPr>
          <w:rFonts w:ascii="Cambria Math"/>
        </w:rPr>
      </w:pPr>
    </w:p>
    <w:p>
      <w:pPr>
        <w:pStyle w:val="BodyText"/>
        <w:ind w:left="296"/>
      </w:pPr>
      <w:r>
        <w:rPr/>
        <w:t>Relative</w:t>
      </w:r>
      <w:r>
        <w:rPr>
          <w:spacing w:val="-1"/>
        </w:rPr>
        <w:t> </w:t>
      </w:r>
      <w:r>
        <w:rPr/>
        <w:t>kidney</w:t>
      </w:r>
      <w:r>
        <w:rPr>
          <w:spacing w:val="-4"/>
        </w:rPr>
        <w:t> </w:t>
      </w:r>
      <w:r>
        <w:rPr/>
        <w:t>weight</w:t>
      </w:r>
      <w:r>
        <w:rPr>
          <w:spacing w:val="-1"/>
        </w:rPr>
        <w:t> </w:t>
      </w:r>
      <w:r>
        <w:rPr/>
        <w:t>=</w:t>
      </w:r>
      <w:r>
        <w:rPr>
          <w:spacing w:val="1"/>
        </w:rPr>
        <w:t> </w:t>
      </w:r>
      <w:r>
        <w:rPr>
          <w:spacing w:val="-4"/>
        </w:rPr>
        <w:t>0.43</w:t>
      </w:r>
    </w:p>
    <w:p>
      <w:pPr>
        <w:pStyle w:val="BodyText"/>
        <w:spacing w:before="59"/>
        <w:ind w:left="27"/>
        <w:rPr>
          <w:rFonts w:ascii="Cambria Math" w:hAnsi="Cambria Math"/>
        </w:rPr>
      </w:pPr>
      <w:r>
        <w:rPr/>
        <w:br w:type="column"/>
      </w:r>
      <w:r>
        <w:rPr>
          <w:rFonts w:ascii="Cambria Math" w:hAnsi="Cambria Math"/>
        </w:rPr>
        <w:t>0.6</w:t>
      </w:r>
      <w:r>
        <w:rPr>
          <w:rFonts w:ascii="Cambria Math" w:hAnsi="Cambria Math"/>
          <w:spacing w:val="51"/>
        </w:rPr>
        <w:t> </w:t>
      </w:r>
      <w:r>
        <w:rPr>
          <w:rFonts w:ascii="Cambria Math" w:hAnsi="Cambria Math"/>
        </w:rPr>
        <w:t>×</w:t>
      </w:r>
      <w:r>
        <w:rPr>
          <w:rFonts w:ascii="Cambria Math" w:hAnsi="Cambria Math"/>
          <w:spacing w:val="1"/>
        </w:rPr>
        <w:t> </w:t>
      </w:r>
      <w:r>
        <w:rPr>
          <w:rFonts w:ascii="Cambria Math" w:hAnsi="Cambria Math"/>
          <w:spacing w:val="-5"/>
        </w:rPr>
        <w:t>100</w:t>
      </w:r>
    </w:p>
    <w:p>
      <w:pPr>
        <w:pStyle w:val="BodyText"/>
        <w:spacing w:before="5"/>
        <w:rPr>
          <w:rFonts w:ascii="Cambria Math"/>
          <w:sz w:val="4"/>
        </w:rPr>
      </w:pPr>
    </w:p>
    <w:p>
      <w:pPr>
        <w:pStyle w:val="BodyText"/>
        <w:spacing w:line="20" w:lineRule="exact"/>
        <w:ind w:left="27"/>
        <w:rPr>
          <w:rFonts w:ascii="Cambria Math"/>
          <w:sz w:val="2"/>
        </w:rPr>
      </w:pPr>
      <w:r>
        <w:rPr>
          <w:rFonts w:ascii="Cambria Math"/>
          <w:sz w:val="2"/>
        </w:rPr>
        <mc:AlternateContent>
          <mc:Choice Requires="wps">
            <w:drawing>
              <wp:inline distT="0" distB="0" distL="0" distR="0">
                <wp:extent cx="662940" cy="10795"/>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662940" cy="10795"/>
                          <a:chExt cx="662940" cy="10795"/>
                        </a:xfrm>
                      </wpg:grpSpPr>
                      <wps:wsp>
                        <wps:cNvPr id="176" name="Graphic 176"/>
                        <wps:cNvSpPr/>
                        <wps:spPr>
                          <a:xfrm>
                            <a:off x="0" y="0"/>
                            <a:ext cx="662940" cy="10795"/>
                          </a:xfrm>
                          <a:custGeom>
                            <a:avLst/>
                            <a:gdLst/>
                            <a:ahLst/>
                            <a:cxnLst/>
                            <a:rect l="l" t="t" r="r" b="b"/>
                            <a:pathLst>
                              <a:path w="662940" h="10795">
                                <a:moveTo>
                                  <a:pt x="662939" y="0"/>
                                </a:moveTo>
                                <a:lnTo>
                                  <a:pt x="0" y="0"/>
                                </a:lnTo>
                                <a:lnTo>
                                  <a:pt x="0" y="10667"/>
                                </a:lnTo>
                                <a:lnTo>
                                  <a:pt x="662939" y="10667"/>
                                </a:lnTo>
                                <a:lnTo>
                                  <a:pt x="6629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2pt;height:.85pt;mso-position-horizontal-relative:char;mso-position-vertical-relative:line" id="docshapegroup172" coordorigin="0,0" coordsize="1044,17">
                <v:rect style="position:absolute;left:0;top:0;width:1044;height:17" id="docshape173" filled="true" fillcolor="#000000" stroked="false">
                  <v:fill type="solid"/>
                </v:rect>
              </v:group>
            </w:pict>
          </mc:Fallback>
        </mc:AlternateContent>
      </w:r>
      <w:r>
        <w:rPr>
          <w:rFonts w:ascii="Cambria Math"/>
          <w:sz w:val="2"/>
        </w:rPr>
      </w:r>
    </w:p>
    <w:p>
      <w:pPr>
        <w:pStyle w:val="BodyText"/>
        <w:ind w:left="349"/>
        <w:rPr>
          <w:rFonts w:ascii="Cambria Math"/>
        </w:rPr>
      </w:pPr>
      <w:r>
        <w:rPr>
          <w:rFonts w:ascii="Cambria Math"/>
          <w:spacing w:val="-5"/>
        </w:rPr>
        <w:t>140</w:t>
      </w:r>
    </w:p>
    <w:p>
      <w:pPr>
        <w:spacing w:after="0"/>
        <w:rPr>
          <w:rFonts w:ascii="Cambria Math"/>
        </w:rPr>
        <w:sectPr>
          <w:type w:val="continuous"/>
          <w:pgSz w:w="12240" w:h="15840"/>
          <w:pgMar w:header="0" w:footer="1015" w:top="1360" w:bottom="1200" w:left="1720" w:right="300"/>
          <w:cols w:num="2" w:equalWidth="0">
            <w:col w:w="5416" w:space="40"/>
            <w:col w:w="4764"/>
          </w:cols>
        </w:sectPr>
      </w:pPr>
    </w:p>
    <w:p>
      <w:pPr>
        <w:pStyle w:val="Heading1"/>
        <w:tabs>
          <w:tab w:pos="1440" w:val="left" w:leader="none"/>
        </w:tabs>
        <w:ind w:left="0" w:right="839"/>
      </w:pPr>
      <w:bookmarkStart w:name="_TOC_250000" w:id="81"/>
      <w:r>
        <w:rPr>
          <w:spacing w:val="-2"/>
        </w:rPr>
        <w:t>APPENDIX</w:t>
      </w:r>
      <w:r>
        <w:rPr/>
        <w:tab/>
      </w:r>
      <w:bookmarkEnd w:id="81"/>
      <w:r>
        <w:rPr>
          <w:spacing w:val="-5"/>
        </w:rPr>
        <w:t>II</w:t>
      </w:r>
    </w:p>
    <w:p>
      <w:pPr>
        <w:pStyle w:val="BodyText"/>
        <w:spacing w:before="1"/>
        <w:rPr>
          <w:b/>
        </w:rPr>
      </w:pPr>
    </w:p>
    <w:p>
      <w:pPr>
        <w:pStyle w:val="Heading2"/>
        <w:ind w:left="296" w:firstLine="0"/>
      </w:pPr>
      <w:r>
        <w:rPr/>
        <w:t>Calculation</w:t>
      </w:r>
      <w:r>
        <w:rPr>
          <w:spacing w:val="-3"/>
        </w:rPr>
        <w:t> </w:t>
      </w:r>
      <w:r>
        <w:rPr/>
        <w:t>of</w:t>
      </w:r>
      <w:r>
        <w:rPr>
          <w:spacing w:val="-1"/>
        </w:rPr>
        <w:t> </w:t>
      </w:r>
      <w:r>
        <w:rPr/>
        <w:t>force</w:t>
      </w:r>
      <w:r>
        <w:rPr>
          <w:spacing w:val="-1"/>
        </w:rPr>
        <w:t> </w:t>
      </w:r>
      <w:r>
        <w:rPr/>
        <w:t>in gram</w:t>
      </w:r>
      <w:r>
        <w:rPr>
          <w:spacing w:val="-4"/>
        </w:rPr>
        <w:t> </w:t>
      </w:r>
      <w:r>
        <w:rPr/>
        <w:t>applied to</w:t>
      </w:r>
      <w:r>
        <w:rPr>
          <w:spacing w:val="-1"/>
        </w:rPr>
        <w:t> </w:t>
      </w:r>
      <w:r>
        <w:rPr/>
        <w:t>rat</w:t>
      </w:r>
      <w:r>
        <w:rPr>
          <w:spacing w:val="-1"/>
        </w:rPr>
        <w:t> </w:t>
      </w:r>
      <w:r>
        <w:rPr/>
        <w:t>foot </w:t>
      </w:r>
      <w:r>
        <w:rPr>
          <w:spacing w:val="-5"/>
        </w:rPr>
        <w:t>pad</w:t>
      </w:r>
    </w:p>
    <w:p>
      <w:pPr>
        <w:pStyle w:val="BodyText"/>
        <w:spacing w:line="480" w:lineRule="auto" w:before="271"/>
        <w:ind w:left="296" w:right="1141"/>
        <w:jc w:val="both"/>
      </w:pPr>
      <w:r>
        <w:rPr/>
        <w:t>The</w:t>
      </w:r>
      <w:r>
        <w:rPr>
          <w:spacing w:val="-4"/>
        </w:rPr>
        <w:t> </w:t>
      </w:r>
      <w:r>
        <w:rPr/>
        <w:t>force</w:t>
      </w:r>
      <w:r>
        <w:rPr>
          <w:spacing w:val="-1"/>
        </w:rPr>
        <w:t> </w:t>
      </w:r>
      <w:r>
        <w:rPr/>
        <w:t>is</w:t>
      </w:r>
      <w:r>
        <w:rPr>
          <w:spacing w:val="-2"/>
        </w:rPr>
        <w:t> </w:t>
      </w:r>
      <w:r>
        <w:rPr/>
        <w:t>measured</w:t>
      </w:r>
      <w:r>
        <w:rPr>
          <w:spacing w:val="-2"/>
        </w:rPr>
        <w:t> </w:t>
      </w:r>
      <w:r>
        <w:rPr/>
        <w:t>on the</w:t>
      </w:r>
      <w:r>
        <w:rPr>
          <w:spacing w:val="-2"/>
        </w:rPr>
        <w:t> </w:t>
      </w:r>
      <w:r>
        <w:rPr/>
        <w:t>scale</w:t>
      </w:r>
      <w:r>
        <w:rPr>
          <w:spacing w:val="-2"/>
        </w:rPr>
        <w:t> </w:t>
      </w:r>
      <w:r>
        <w:rPr/>
        <w:t>calibrated</w:t>
      </w:r>
      <w:r>
        <w:rPr>
          <w:spacing w:val="-1"/>
        </w:rPr>
        <w:t> </w:t>
      </w:r>
      <w:r>
        <w:rPr/>
        <w:t>in</w:t>
      </w:r>
      <w:r>
        <w:rPr>
          <w:spacing w:val="-2"/>
        </w:rPr>
        <w:t> </w:t>
      </w:r>
      <w:r>
        <w:rPr/>
        <w:t>10 grams</w:t>
      </w:r>
      <w:r>
        <w:rPr>
          <w:spacing w:val="-2"/>
        </w:rPr>
        <w:t> </w:t>
      </w:r>
      <w:r>
        <w:rPr/>
        <w:t>steps,</w:t>
      </w:r>
      <w:r>
        <w:rPr>
          <w:spacing w:val="-2"/>
        </w:rPr>
        <w:t> </w:t>
      </w:r>
      <w:r>
        <w:rPr/>
        <w:t>by</w:t>
      </w:r>
      <w:r>
        <w:rPr>
          <w:spacing w:val="-5"/>
        </w:rPr>
        <w:t> </w:t>
      </w:r>
      <w:r>
        <w:rPr/>
        <w:t>a</w:t>
      </w:r>
      <w:r>
        <w:rPr>
          <w:spacing w:val="-1"/>
        </w:rPr>
        <w:t> </w:t>
      </w:r>
      <w:r>
        <w:rPr/>
        <w:t>pointer</w:t>
      </w:r>
      <w:r>
        <w:rPr>
          <w:spacing w:val="-2"/>
        </w:rPr>
        <w:t> </w:t>
      </w:r>
      <w:r>
        <w:rPr/>
        <w:t>reverted to</w:t>
      </w:r>
      <w:r>
        <w:rPr>
          <w:spacing w:val="-2"/>
        </w:rPr>
        <w:t> </w:t>
      </w:r>
      <w:r>
        <w:rPr/>
        <w:t>the slide. For example, 6.5 on the scale mean 65 g. The scale can however be multiplied by 2 or 3 by adding placing on the slide one or two discs. By adding one disc on the slide the force will be</w:t>
      </w:r>
      <w:r>
        <w:rPr>
          <w:spacing w:val="-1"/>
        </w:rPr>
        <w:t> </w:t>
      </w:r>
      <w:r>
        <w:rPr/>
        <w:t>240 g</w:t>
      </w:r>
      <w:r>
        <w:rPr>
          <w:spacing w:val="-3"/>
        </w:rPr>
        <w:t> </w:t>
      </w:r>
      <w:r>
        <w:rPr/>
        <w:t>when the</w:t>
      </w:r>
      <w:r>
        <w:rPr>
          <w:spacing w:val="-1"/>
        </w:rPr>
        <w:t> </w:t>
      </w:r>
      <w:r>
        <w:rPr/>
        <w:t>pointer</w:t>
      </w:r>
      <w:r>
        <w:rPr>
          <w:spacing w:val="-1"/>
        </w:rPr>
        <w:t> </w:t>
      </w:r>
      <w:r>
        <w:rPr/>
        <w:t>indicates</w:t>
      </w:r>
      <w:r>
        <w:rPr>
          <w:spacing w:val="-1"/>
        </w:rPr>
        <w:t> </w:t>
      </w:r>
      <w:r>
        <w:rPr/>
        <w:t>12. With the</w:t>
      </w:r>
      <w:r>
        <w:rPr>
          <w:spacing w:val="-1"/>
        </w:rPr>
        <w:t> </w:t>
      </w:r>
      <w:r>
        <w:rPr/>
        <w:t>pointer</w:t>
      </w:r>
      <w:r>
        <w:rPr>
          <w:spacing w:val="-1"/>
        </w:rPr>
        <w:t> </w:t>
      </w:r>
      <w:r>
        <w:rPr/>
        <w:t>in the</w:t>
      </w:r>
      <w:r>
        <w:rPr>
          <w:spacing w:val="-1"/>
        </w:rPr>
        <w:t> </w:t>
      </w:r>
      <w:r>
        <w:rPr/>
        <w:t>same</w:t>
      </w:r>
      <w:r>
        <w:rPr>
          <w:spacing w:val="-1"/>
        </w:rPr>
        <w:t> </w:t>
      </w:r>
      <w:r>
        <w:rPr/>
        <w:t>position, by adding 2 discs on the slide, the force will be 360 g.</w:t>
      </w:r>
    </w:p>
    <w:p>
      <w:pPr>
        <w:pStyle w:val="BodyText"/>
      </w:pPr>
    </w:p>
    <w:p>
      <w:pPr>
        <w:pStyle w:val="BodyText"/>
        <w:spacing w:before="1"/>
      </w:pPr>
    </w:p>
    <w:p>
      <w:pPr>
        <w:pStyle w:val="BodyText"/>
        <w:spacing w:line="480" w:lineRule="auto"/>
        <w:ind w:left="296" w:right="1142"/>
        <w:jc w:val="both"/>
      </w:pPr>
      <w:r>
        <w:rPr/>
        <w:t>The experiment was carried out using 2 discs. As such, with the pointer on position 3 for example, the force is calculated as 3×10×3=90 grams.</w:t>
      </w:r>
    </w:p>
    <w:sectPr>
      <w:pgSz w:w="12240" w:h="15840"/>
      <w:pgMar w:header="0" w:footer="1015" w:top="1360" w:bottom="1200" w:left="17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87360">
              <wp:simplePos x="0" y="0"/>
              <wp:positionH relativeFrom="page">
                <wp:posOffset>3937127</wp:posOffset>
              </wp:positionH>
              <wp:positionV relativeFrom="page">
                <wp:posOffset>9274250</wp:posOffset>
              </wp:positionV>
              <wp:extent cx="2787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010010pt;margin-top:730.255981pt;width:21.95pt;height:13.05pt;mso-position-horizontal-relative:page;mso-position-vertical-relative:page;z-index:-17029120"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87872">
              <wp:simplePos x="0" y="0"/>
              <wp:positionH relativeFrom="page">
                <wp:posOffset>3959986</wp:posOffset>
              </wp:positionH>
              <wp:positionV relativeFrom="page">
                <wp:posOffset>9274250</wp:posOffset>
              </wp:positionV>
              <wp:extent cx="232410"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1.809998pt;margin-top:730.255981pt;width:18.3pt;height:13.05pt;mso-position-horizontal-relative:page;mso-position-vertical-relative:page;z-index:-17028608" type="#_x0000_t202" id="docshape1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6"/>
      <w:numFmt w:val="decimal"/>
      <w:lvlText w:val="%1"/>
      <w:lvlJc w:val="left"/>
      <w:pPr>
        <w:ind w:left="2344" w:hanging="721"/>
        <w:jc w:val="left"/>
      </w:pPr>
      <w:rPr>
        <w:rFonts w:hint="default"/>
        <w:lang w:val="en-US" w:eastAsia="en-US" w:bidi="ar-SA"/>
      </w:rPr>
    </w:lvl>
    <w:lvl w:ilvl="1">
      <w:start w:val="2"/>
      <w:numFmt w:val="decimal"/>
      <w:lvlText w:val="%1.%2."/>
      <w:lvlJc w:val="left"/>
      <w:pPr>
        <w:ind w:left="2344"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916" w:hanging="721"/>
      </w:pPr>
      <w:rPr>
        <w:rFonts w:hint="default"/>
        <w:lang w:val="en-US" w:eastAsia="en-US" w:bidi="ar-SA"/>
      </w:rPr>
    </w:lvl>
    <w:lvl w:ilvl="3">
      <w:start w:val="0"/>
      <w:numFmt w:val="bullet"/>
      <w:lvlText w:val="•"/>
      <w:lvlJc w:val="left"/>
      <w:pPr>
        <w:ind w:left="4704" w:hanging="721"/>
      </w:pPr>
      <w:rPr>
        <w:rFonts w:hint="default"/>
        <w:lang w:val="en-US" w:eastAsia="en-US" w:bidi="ar-SA"/>
      </w:rPr>
    </w:lvl>
    <w:lvl w:ilvl="4">
      <w:start w:val="0"/>
      <w:numFmt w:val="bullet"/>
      <w:lvlText w:val="•"/>
      <w:lvlJc w:val="left"/>
      <w:pPr>
        <w:ind w:left="5492" w:hanging="721"/>
      </w:pPr>
      <w:rPr>
        <w:rFonts w:hint="default"/>
        <w:lang w:val="en-US" w:eastAsia="en-US" w:bidi="ar-SA"/>
      </w:rPr>
    </w:lvl>
    <w:lvl w:ilvl="5">
      <w:start w:val="0"/>
      <w:numFmt w:val="bullet"/>
      <w:lvlText w:val="•"/>
      <w:lvlJc w:val="left"/>
      <w:pPr>
        <w:ind w:left="6280" w:hanging="721"/>
      </w:pPr>
      <w:rPr>
        <w:rFonts w:hint="default"/>
        <w:lang w:val="en-US" w:eastAsia="en-US" w:bidi="ar-SA"/>
      </w:rPr>
    </w:lvl>
    <w:lvl w:ilvl="6">
      <w:start w:val="0"/>
      <w:numFmt w:val="bullet"/>
      <w:lvlText w:val="•"/>
      <w:lvlJc w:val="left"/>
      <w:pPr>
        <w:ind w:left="7068" w:hanging="721"/>
      </w:pPr>
      <w:rPr>
        <w:rFonts w:hint="default"/>
        <w:lang w:val="en-US" w:eastAsia="en-US" w:bidi="ar-SA"/>
      </w:rPr>
    </w:lvl>
    <w:lvl w:ilvl="7">
      <w:start w:val="0"/>
      <w:numFmt w:val="bullet"/>
      <w:lvlText w:val="•"/>
      <w:lvlJc w:val="left"/>
      <w:pPr>
        <w:ind w:left="7856" w:hanging="721"/>
      </w:pPr>
      <w:rPr>
        <w:rFonts w:hint="default"/>
        <w:lang w:val="en-US" w:eastAsia="en-US" w:bidi="ar-SA"/>
      </w:rPr>
    </w:lvl>
    <w:lvl w:ilvl="8">
      <w:start w:val="0"/>
      <w:numFmt w:val="bullet"/>
      <w:lvlText w:val="•"/>
      <w:lvlJc w:val="left"/>
      <w:pPr>
        <w:ind w:left="8644" w:hanging="721"/>
      </w:pPr>
      <w:rPr>
        <w:rFonts w:hint="default"/>
        <w:lang w:val="en-US" w:eastAsia="en-US" w:bidi="ar-SA"/>
      </w:rPr>
    </w:lvl>
  </w:abstractNum>
  <w:abstractNum w:abstractNumId="18">
    <w:multiLevelType w:val="hybridMultilevel"/>
    <w:lvl w:ilvl="0">
      <w:start w:val="6"/>
      <w:numFmt w:val="decimal"/>
      <w:lvlText w:val="%1"/>
      <w:lvlJc w:val="left"/>
      <w:pPr>
        <w:ind w:left="3306" w:hanging="720"/>
        <w:jc w:val="left"/>
      </w:pPr>
      <w:rPr>
        <w:rFonts w:hint="default"/>
        <w:lang w:val="en-US" w:eastAsia="en-US" w:bidi="ar-SA"/>
      </w:rPr>
    </w:lvl>
    <w:lvl w:ilvl="1">
      <w:start w:val="0"/>
      <w:numFmt w:val="decimal"/>
      <w:lvlText w:val="%1.%2"/>
      <w:lvlJc w:val="left"/>
      <w:pPr>
        <w:ind w:left="3306"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684" w:hanging="720"/>
      </w:pPr>
      <w:rPr>
        <w:rFonts w:hint="default"/>
        <w:lang w:val="en-US" w:eastAsia="en-US" w:bidi="ar-SA"/>
      </w:rPr>
    </w:lvl>
    <w:lvl w:ilvl="3">
      <w:start w:val="0"/>
      <w:numFmt w:val="bullet"/>
      <w:lvlText w:val="•"/>
      <w:lvlJc w:val="left"/>
      <w:pPr>
        <w:ind w:left="5376" w:hanging="720"/>
      </w:pPr>
      <w:rPr>
        <w:rFonts w:hint="default"/>
        <w:lang w:val="en-US" w:eastAsia="en-US" w:bidi="ar-SA"/>
      </w:rPr>
    </w:lvl>
    <w:lvl w:ilvl="4">
      <w:start w:val="0"/>
      <w:numFmt w:val="bullet"/>
      <w:lvlText w:val="•"/>
      <w:lvlJc w:val="left"/>
      <w:pPr>
        <w:ind w:left="6068" w:hanging="720"/>
      </w:pPr>
      <w:rPr>
        <w:rFonts w:hint="default"/>
        <w:lang w:val="en-US" w:eastAsia="en-US" w:bidi="ar-SA"/>
      </w:rPr>
    </w:lvl>
    <w:lvl w:ilvl="5">
      <w:start w:val="0"/>
      <w:numFmt w:val="bullet"/>
      <w:lvlText w:val="•"/>
      <w:lvlJc w:val="left"/>
      <w:pPr>
        <w:ind w:left="6760" w:hanging="720"/>
      </w:pPr>
      <w:rPr>
        <w:rFonts w:hint="default"/>
        <w:lang w:val="en-US" w:eastAsia="en-US" w:bidi="ar-SA"/>
      </w:rPr>
    </w:lvl>
    <w:lvl w:ilvl="6">
      <w:start w:val="0"/>
      <w:numFmt w:val="bullet"/>
      <w:lvlText w:val="•"/>
      <w:lvlJc w:val="left"/>
      <w:pPr>
        <w:ind w:left="7452" w:hanging="720"/>
      </w:pPr>
      <w:rPr>
        <w:rFonts w:hint="default"/>
        <w:lang w:val="en-US" w:eastAsia="en-US" w:bidi="ar-SA"/>
      </w:rPr>
    </w:lvl>
    <w:lvl w:ilvl="7">
      <w:start w:val="0"/>
      <w:numFmt w:val="bullet"/>
      <w:lvlText w:val="•"/>
      <w:lvlJc w:val="left"/>
      <w:pPr>
        <w:ind w:left="8144" w:hanging="720"/>
      </w:pPr>
      <w:rPr>
        <w:rFonts w:hint="default"/>
        <w:lang w:val="en-US" w:eastAsia="en-US" w:bidi="ar-SA"/>
      </w:rPr>
    </w:lvl>
    <w:lvl w:ilvl="8">
      <w:start w:val="0"/>
      <w:numFmt w:val="bullet"/>
      <w:lvlText w:val="•"/>
      <w:lvlJc w:val="left"/>
      <w:pPr>
        <w:ind w:left="8836" w:hanging="720"/>
      </w:pPr>
      <w:rPr>
        <w:rFonts w:hint="default"/>
        <w:lang w:val="en-US" w:eastAsia="en-US" w:bidi="ar-SA"/>
      </w:rPr>
    </w:lvl>
  </w:abstractNum>
  <w:abstractNum w:abstractNumId="17">
    <w:multiLevelType w:val="hybridMultilevel"/>
    <w:lvl w:ilvl="0">
      <w:start w:val="5"/>
      <w:numFmt w:val="decimal"/>
      <w:lvlText w:val="%1"/>
      <w:lvlJc w:val="left"/>
      <w:pPr>
        <w:ind w:left="4509" w:hanging="720"/>
        <w:jc w:val="left"/>
      </w:pPr>
      <w:rPr>
        <w:rFonts w:hint="default"/>
        <w:lang w:val="en-US" w:eastAsia="en-US" w:bidi="ar-SA"/>
      </w:rPr>
    </w:lvl>
    <w:lvl w:ilvl="1">
      <w:start w:val="0"/>
      <w:numFmt w:val="decimal"/>
      <w:lvlText w:val="%1.%2"/>
      <w:lvlJc w:val="left"/>
      <w:pPr>
        <w:ind w:left="450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644" w:hanging="720"/>
      </w:pPr>
      <w:rPr>
        <w:rFonts w:hint="default"/>
        <w:lang w:val="en-US" w:eastAsia="en-US" w:bidi="ar-SA"/>
      </w:rPr>
    </w:lvl>
    <w:lvl w:ilvl="3">
      <w:start w:val="0"/>
      <w:numFmt w:val="bullet"/>
      <w:lvlText w:val="•"/>
      <w:lvlJc w:val="left"/>
      <w:pPr>
        <w:ind w:left="6216" w:hanging="720"/>
      </w:pPr>
      <w:rPr>
        <w:rFonts w:hint="default"/>
        <w:lang w:val="en-US" w:eastAsia="en-US" w:bidi="ar-SA"/>
      </w:rPr>
    </w:lvl>
    <w:lvl w:ilvl="4">
      <w:start w:val="0"/>
      <w:numFmt w:val="bullet"/>
      <w:lvlText w:val="•"/>
      <w:lvlJc w:val="left"/>
      <w:pPr>
        <w:ind w:left="6788" w:hanging="720"/>
      </w:pPr>
      <w:rPr>
        <w:rFonts w:hint="default"/>
        <w:lang w:val="en-US" w:eastAsia="en-US" w:bidi="ar-SA"/>
      </w:rPr>
    </w:lvl>
    <w:lvl w:ilvl="5">
      <w:start w:val="0"/>
      <w:numFmt w:val="bullet"/>
      <w:lvlText w:val="•"/>
      <w:lvlJc w:val="left"/>
      <w:pPr>
        <w:ind w:left="7360" w:hanging="720"/>
      </w:pPr>
      <w:rPr>
        <w:rFonts w:hint="default"/>
        <w:lang w:val="en-US" w:eastAsia="en-US" w:bidi="ar-SA"/>
      </w:rPr>
    </w:lvl>
    <w:lvl w:ilvl="6">
      <w:start w:val="0"/>
      <w:numFmt w:val="bullet"/>
      <w:lvlText w:val="•"/>
      <w:lvlJc w:val="left"/>
      <w:pPr>
        <w:ind w:left="7932" w:hanging="720"/>
      </w:pPr>
      <w:rPr>
        <w:rFonts w:hint="default"/>
        <w:lang w:val="en-US" w:eastAsia="en-US" w:bidi="ar-SA"/>
      </w:rPr>
    </w:lvl>
    <w:lvl w:ilvl="7">
      <w:start w:val="0"/>
      <w:numFmt w:val="bullet"/>
      <w:lvlText w:val="•"/>
      <w:lvlJc w:val="left"/>
      <w:pPr>
        <w:ind w:left="8504"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16">
    <w:multiLevelType w:val="hybridMultilevel"/>
    <w:lvl w:ilvl="0">
      <w:start w:val="4"/>
      <w:numFmt w:val="decimal"/>
      <w:lvlText w:val="%1"/>
      <w:lvlJc w:val="left"/>
      <w:pPr>
        <w:ind w:left="1875" w:hanging="720"/>
        <w:jc w:val="left"/>
      </w:pPr>
      <w:rPr>
        <w:rFonts w:hint="default"/>
        <w:lang w:val="en-US" w:eastAsia="en-US" w:bidi="ar-SA"/>
      </w:rPr>
    </w:lvl>
    <w:lvl w:ilvl="1">
      <w:start w:val="3"/>
      <w:numFmt w:val="decimal"/>
      <w:lvlText w:val="%1.%2"/>
      <w:lvlJc w:val="left"/>
      <w:pPr>
        <w:ind w:left="1875"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33" w:hanging="720"/>
      </w:pPr>
      <w:rPr>
        <w:rFonts w:hint="default"/>
        <w:lang w:val="en-US" w:eastAsia="en-US" w:bidi="ar-SA"/>
      </w:rPr>
    </w:lvl>
    <w:lvl w:ilvl="4">
      <w:start w:val="0"/>
      <w:numFmt w:val="bullet"/>
      <w:lvlText w:val="•"/>
      <w:lvlJc w:val="left"/>
      <w:pPr>
        <w:ind w:left="4660" w:hanging="720"/>
      </w:pPr>
      <w:rPr>
        <w:rFonts w:hint="default"/>
        <w:lang w:val="en-US" w:eastAsia="en-US" w:bidi="ar-SA"/>
      </w:rPr>
    </w:lvl>
    <w:lvl w:ilvl="5">
      <w:start w:val="0"/>
      <w:numFmt w:val="bullet"/>
      <w:lvlText w:val="•"/>
      <w:lvlJc w:val="left"/>
      <w:pPr>
        <w:ind w:left="5586" w:hanging="720"/>
      </w:pPr>
      <w:rPr>
        <w:rFonts w:hint="default"/>
        <w:lang w:val="en-US" w:eastAsia="en-US" w:bidi="ar-SA"/>
      </w:rPr>
    </w:lvl>
    <w:lvl w:ilvl="6">
      <w:start w:val="0"/>
      <w:numFmt w:val="bullet"/>
      <w:lvlText w:val="•"/>
      <w:lvlJc w:val="left"/>
      <w:pPr>
        <w:ind w:left="6513" w:hanging="720"/>
      </w:pPr>
      <w:rPr>
        <w:rFonts w:hint="default"/>
        <w:lang w:val="en-US" w:eastAsia="en-US" w:bidi="ar-SA"/>
      </w:rPr>
    </w:lvl>
    <w:lvl w:ilvl="7">
      <w:start w:val="0"/>
      <w:numFmt w:val="bullet"/>
      <w:lvlText w:val="•"/>
      <w:lvlJc w:val="left"/>
      <w:pPr>
        <w:ind w:left="7440" w:hanging="720"/>
      </w:pPr>
      <w:rPr>
        <w:rFonts w:hint="default"/>
        <w:lang w:val="en-US" w:eastAsia="en-US" w:bidi="ar-SA"/>
      </w:rPr>
    </w:lvl>
    <w:lvl w:ilvl="8">
      <w:start w:val="0"/>
      <w:numFmt w:val="bullet"/>
      <w:lvlText w:val="•"/>
      <w:lvlJc w:val="left"/>
      <w:pPr>
        <w:ind w:left="8366" w:hanging="720"/>
      </w:pPr>
      <w:rPr>
        <w:rFonts w:hint="default"/>
        <w:lang w:val="en-US" w:eastAsia="en-US" w:bidi="ar-SA"/>
      </w:rPr>
    </w:lvl>
  </w:abstractNum>
  <w:abstractNum w:abstractNumId="15">
    <w:multiLevelType w:val="hybridMultilevel"/>
    <w:lvl w:ilvl="0">
      <w:start w:val="4"/>
      <w:numFmt w:val="decimal"/>
      <w:lvlText w:val="%1"/>
      <w:lvlJc w:val="left"/>
      <w:pPr>
        <w:ind w:left="4674" w:hanging="720"/>
        <w:jc w:val="left"/>
      </w:pPr>
      <w:rPr>
        <w:rFonts w:hint="default"/>
        <w:lang w:val="en-US" w:eastAsia="en-US" w:bidi="ar-SA"/>
      </w:rPr>
    </w:lvl>
    <w:lvl w:ilvl="1">
      <w:start w:val="0"/>
      <w:numFmt w:val="decimal"/>
      <w:lvlText w:val="%1.%2"/>
      <w:lvlJc w:val="left"/>
      <w:pPr>
        <w:ind w:left="4674"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5911" w:hanging="720"/>
      </w:pPr>
      <w:rPr>
        <w:rFonts w:hint="default"/>
        <w:lang w:val="en-US" w:eastAsia="en-US" w:bidi="ar-SA"/>
      </w:rPr>
    </w:lvl>
    <w:lvl w:ilvl="4">
      <w:start w:val="0"/>
      <w:numFmt w:val="bullet"/>
      <w:lvlText w:val="•"/>
      <w:lvlJc w:val="left"/>
      <w:pPr>
        <w:ind w:left="6526" w:hanging="720"/>
      </w:pPr>
      <w:rPr>
        <w:rFonts w:hint="default"/>
        <w:lang w:val="en-US" w:eastAsia="en-US" w:bidi="ar-SA"/>
      </w:rPr>
    </w:lvl>
    <w:lvl w:ilvl="5">
      <w:start w:val="0"/>
      <w:numFmt w:val="bullet"/>
      <w:lvlText w:val="•"/>
      <w:lvlJc w:val="left"/>
      <w:pPr>
        <w:ind w:left="7142" w:hanging="720"/>
      </w:pPr>
      <w:rPr>
        <w:rFonts w:hint="default"/>
        <w:lang w:val="en-US" w:eastAsia="en-US" w:bidi="ar-SA"/>
      </w:rPr>
    </w:lvl>
    <w:lvl w:ilvl="6">
      <w:start w:val="0"/>
      <w:numFmt w:val="bullet"/>
      <w:lvlText w:val="•"/>
      <w:lvlJc w:val="left"/>
      <w:pPr>
        <w:ind w:left="7757" w:hanging="720"/>
      </w:pPr>
      <w:rPr>
        <w:rFonts w:hint="default"/>
        <w:lang w:val="en-US" w:eastAsia="en-US" w:bidi="ar-SA"/>
      </w:rPr>
    </w:lvl>
    <w:lvl w:ilvl="7">
      <w:start w:val="0"/>
      <w:numFmt w:val="bullet"/>
      <w:lvlText w:val="•"/>
      <w:lvlJc w:val="left"/>
      <w:pPr>
        <w:ind w:left="8373" w:hanging="720"/>
      </w:pPr>
      <w:rPr>
        <w:rFonts w:hint="default"/>
        <w:lang w:val="en-US" w:eastAsia="en-US" w:bidi="ar-SA"/>
      </w:rPr>
    </w:lvl>
    <w:lvl w:ilvl="8">
      <w:start w:val="0"/>
      <w:numFmt w:val="bullet"/>
      <w:lvlText w:val="•"/>
      <w:lvlJc w:val="left"/>
      <w:pPr>
        <w:ind w:left="8988" w:hanging="720"/>
      </w:pPr>
      <w:rPr>
        <w:rFonts w:hint="default"/>
        <w:lang w:val="en-US" w:eastAsia="en-US" w:bidi="ar-SA"/>
      </w:rPr>
    </w:lvl>
  </w:abstractNum>
  <w:abstractNum w:abstractNumId="14">
    <w:multiLevelType w:val="hybridMultilevel"/>
    <w:lvl w:ilvl="0">
      <w:start w:val="3"/>
      <w:numFmt w:val="decimal"/>
      <w:lvlText w:val="%1"/>
      <w:lvlJc w:val="left"/>
      <w:pPr>
        <w:ind w:left="3868" w:hanging="720"/>
        <w:jc w:val="left"/>
      </w:pPr>
      <w:rPr>
        <w:rFonts w:hint="default"/>
        <w:lang w:val="en-US" w:eastAsia="en-US" w:bidi="ar-SA"/>
      </w:rPr>
    </w:lvl>
    <w:lvl w:ilvl="1">
      <w:start w:val="0"/>
      <w:numFmt w:val="decimal"/>
      <w:lvlText w:val="%1.%2"/>
      <w:lvlJc w:val="left"/>
      <w:pPr>
        <w:ind w:left="3868"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1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5980" w:hanging="720"/>
      </w:pPr>
      <w:rPr>
        <w:rFonts w:hint="default"/>
        <w:lang w:val="en-US" w:eastAsia="en-US" w:bidi="ar-SA"/>
      </w:rPr>
    </w:lvl>
    <w:lvl w:ilvl="5">
      <w:start w:val="0"/>
      <w:numFmt w:val="bullet"/>
      <w:lvlText w:val="•"/>
      <w:lvlJc w:val="left"/>
      <w:pPr>
        <w:ind w:left="6686" w:hanging="720"/>
      </w:pPr>
      <w:rPr>
        <w:rFonts w:hint="default"/>
        <w:lang w:val="en-US" w:eastAsia="en-US" w:bidi="ar-SA"/>
      </w:rPr>
    </w:lvl>
    <w:lvl w:ilvl="6">
      <w:start w:val="0"/>
      <w:numFmt w:val="bullet"/>
      <w:lvlText w:val="•"/>
      <w:lvlJc w:val="left"/>
      <w:pPr>
        <w:ind w:left="7393" w:hanging="720"/>
      </w:pPr>
      <w:rPr>
        <w:rFonts w:hint="default"/>
        <w:lang w:val="en-US" w:eastAsia="en-US" w:bidi="ar-SA"/>
      </w:rPr>
    </w:lvl>
    <w:lvl w:ilvl="7">
      <w:start w:val="0"/>
      <w:numFmt w:val="bullet"/>
      <w:lvlText w:val="•"/>
      <w:lvlJc w:val="left"/>
      <w:pPr>
        <w:ind w:left="8100" w:hanging="720"/>
      </w:pPr>
      <w:rPr>
        <w:rFonts w:hint="default"/>
        <w:lang w:val="en-US" w:eastAsia="en-US" w:bidi="ar-SA"/>
      </w:rPr>
    </w:lvl>
    <w:lvl w:ilvl="8">
      <w:start w:val="0"/>
      <w:numFmt w:val="bullet"/>
      <w:lvlText w:val="•"/>
      <w:lvlJc w:val="left"/>
      <w:pPr>
        <w:ind w:left="8806" w:hanging="720"/>
      </w:pPr>
      <w:rPr>
        <w:rFonts w:hint="default"/>
        <w:lang w:val="en-US" w:eastAsia="en-US" w:bidi="ar-SA"/>
      </w:rPr>
    </w:lvl>
  </w:abstractNum>
  <w:abstractNum w:abstractNumId="13">
    <w:multiLevelType w:val="hybridMultilevel"/>
    <w:lvl w:ilvl="0">
      <w:start w:val="2"/>
      <w:numFmt w:val="decimal"/>
      <w:lvlText w:val="%1"/>
      <w:lvlJc w:val="left"/>
      <w:pPr>
        <w:ind w:left="1016" w:hanging="720"/>
        <w:jc w:val="left"/>
      </w:pPr>
      <w:rPr>
        <w:rFonts w:hint="default"/>
        <w:lang w:val="en-US" w:eastAsia="en-US" w:bidi="ar-SA"/>
      </w:rPr>
    </w:lvl>
    <w:lvl w:ilvl="1">
      <w:start w:val="7"/>
      <w:numFmt w:val="decimal"/>
      <w:lvlText w:val="%1.%2"/>
      <w:lvlJc w:val="left"/>
      <w:pPr>
        <w:ind w:left="1016" w:hanging="720"/>
        <w:jc w:val="left"/>
      </w:pPr>
      <w:rPr>
        <w:rFonts w:hint="default"/>
        <w:lang w:val="en-US" w:eastAsia="en-US" w:bidi="ar-SA"/>
      </w:rPr>
    </w:lvl>
    <w:lvl w:ilvl="2">
      <w:start w:val="2"/>
      <w:numFmt w:val="decimal"/>
      <w:lvlText w:val="%1.%2.%3"/>
      <w:lvlJc w:val="left"/>
      <w:pPr>
        <w:ind w:left="1016" w:hanging="720"/>
        <w:jc w:val="left"/>
      </w:pPr>
      <w:rPr>
        <w:rFonts w:hint="default"/>
        <w:lang w:val="en-US" w:eastAsia="en-US" w:bidi="ar-SA"/>
      </w:rPr>
    </w:lvl>
    <w:lvl w:ilvl="3">
      <w:start w:val="3"/>
      <w:numFmt w:val="decimal"/>
      <w:lvlText w:val="%1.%2.%3.%4"/>
      <w:lvlJc w:val="left"/>
      <w:pPr>
        <w:ind w:left="101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700" w:hanging="720"/>
      </w:pPr>
      <w:rPr>
        <w:rFonts w:hint="default"/>
        <w:lang w:val="en-US" w:eastAsia="en-US" w:bidi="ar-SA"/>
      </w:rPr>
    </w:lvl>
    <w:lvl w:ilvl="5">
      <w:start w:val="0"/>
      <w:numFmt w:val="bullet"/>
      <w:lvlText w:val="•"/>
      <w:lvlJc w:val="left"/>
      <w:pPr>
        <w:ind w:left="5620" w:hanging="720"/>
      </w:pPr>
      <w:rPr>
        <w:rFonts w:hint="default"/>
        <w:lang w:val="en-US" w:eastAsia="en-US" w:bidi="ar-SA"/>
      </w:rPr>
    </w:lvl>
    <w:lvl w:ilvl="6">
      <w:start w:val="0"/>
      <w:numFmt w:val="bullet"/>
      <w:lvlText w:val="•"/>
      <w:lvlJc w:val="left"/>
      <w:pPr>
        <w:ind w:left="6540" w:hanging="720"/>
      </w:pPr>
      <w:rPr>
        <w:rFonts w:hint="default"/>
        <w:lang w:val="en-US" w:eastAsia="en-US" w:bidi="ar-SA"/>
      </w:rPr>
    </w:lvl>
    <w:lvl w:ilvl="7">
      <w:start w:val="0"/>
      <w:numFmt w:val="bullet"/>
      <w:lvlText w:val="•"/>
      <w:lvlJc w:val="left"/>
      <w:pPr>
        <w:ind w:left="7460" w:hanging="720"/>
      </w:pPr>
      <w:rPr>
        <w:rFonts w:hint="default"/>
        <w:lang w:val="en-US" w:eastAsia="en-US" w:bidi="ar-SA"/>
      </w:rPr>
    </w:lvl>
    <w:lvl w:ilvl="8">
      <w:start w:val="0"/>
      <w:numFmt w:val="bullet"/>
      <w:lvlText w:val="•"/>
      <w:lvlJc w:val="left"/>
      <w:pPr>
        <w:ind w:left="8380" w:hanging="720"/>
      </w:pPr>
      <w:rPr>
        <w:rFonts w:hint="default"/>
        <w:lang w:val="en-US" w:eastAsia="en-US" w:bidi="ar-SA"/>
      </w:rPr>
    </w:lvl>
  </w:abstractNum>
  <w:abstractNum w:abstractNumId="12">
    <w:multiLevelType w:val="hybridMultilevel"/>
    <w:lvl w:ilvl="0">
      <w:start w:val="2"/>
      <w:numFmt w:val="decimal"/>
      <w:lvlText w:val="%1"/>
      <w:lvlJc w:val="left"/>
      <w:pPr>
        <w:ind w:left="3851" w:hanging="720"/>
        <w:jc w:val="left"/>
      </w:pPr>
      <w:rPr>
        <w:rFonts w:hint="default"/>
        <w:lang w:val="en-US" w:eastAsia="en-US" w:bidi="ar-SA"/>
      </w:rPr>
    </w:lvl>
    <w:lvl w:ilvl="1">
      <w:start w:val="6"/>
      <w:numFmt w:val="decimal"/>
      <w:lvlText w:val="%1.%2"/>
      <w:lvlJc w:val="left"/>
      <w:pPr>
        <w:ind w:left="3851"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16" w:hanging="720"/>
        <w:jc w:val="left"/>
      </w:pPr>
      <w:rPr>
        <w:rFonts w:hint="default"/>
        <w:spacing w:val="0"/>
        <w:w w:val="100"/>
        <w:lang w:val="en-US" w:eastAsia="en-US" w:bidi="ar-SA"/>
      </w:rPr>
    </w:lvl>
    <w:lvl w:ilvl="4">
      <w:start w:val="0"/>
      <w:numFmt w:val="bullet"/>
      <w:lvlText w:val="•"/>
      <w:lvlJc w:val="left"/>
      <w:pPr>
        <w:ind w:left="5980" w:hanging="720"/>
      </w:pPr>
      <w:rPr>
        <w:rFonts w:hint="default"/>
        <w:lang w:val="en-US" w:eastAsia="en-US" w:bidi="ar-SA"/>
      </w:rPr>
    </w:lvl>
    <w:lvl w:ilvl="5">
      <w:start w:val="0"/>
      <w:numFmt w:val="bullet"/>
      <w:lvlText w:val="•"/>
      <w:lvlJc w:val="left"/>
      <w:pPr>
        <w:ind w:left="6686" w:hanging="720"/>
      </w:pPr>
      <w:rPr>
        <w:rFonts w:hint="default"/>
        <w:lang w:val="en-US" w:eastAsia="en-US" w:bidi="ar-SA"/>
      </w:rPr>
    </w:lvl>
    <w:lvl w:ilvl="6">
      <w:start w:val="0"/>
      <w:numFmt w:val="bullet"/>
      <w:lvlText w:val="•"/>
      <w:lvlJc w:val="left"/>
      <w:pPr>
        <w:ind w:left="7393" w:hanging="720"/>
      </w:pPr>
      <w:rPr>
        <w:rFonts w:hint="default"/>
        <w:lang w:val="en-US" w:eastAsia="en-US" w:bidi="ar-SA"/>
      </w:rPr>
    </w:lvl>
    <w:lvl w:ilvl="7">
      <w:start w:val="0"/>
      <w:numFmt w:val="bullet"/>
      <w:lvlText w:val="•"/>
      <w:lvlJc w:val="left"/>
      <w:pPr>
        <w:ind w:left="8100" w:hanging="720"/>
      </w:pPr>
      <w:rPr>
        <w:rFonts w:hint="default"/>
        <w:lang w:val="en-US" w:eastAsia="en-US" w:bidi="ar-SA"/>
      </w:rPr>
    </w:lvl>
    <w:lvl w:ilvl="8">
      <w:start w:val="0"/>
      <w:numFmt w:val="bullet"/>
      <w:lvlText w:val="•"/>
      <w:lvlJc w:val="left"/>
      <w:pPr>
        <w:ind w:left="8806" w:hanging="720"/>
      </w:pPr>
      <w:rPr>
        <w:rFonts w:hint="default"/>
        <w:lang w:val="en-US" w:eastAsia="en-US" w:bidi="ar-SA"/>
      </w:rPr>
    </w:lvl>
  </w:abstractNum>
  <w:abstractNum w:abstractNumId="11">
    <w:multiLevelType w:val="hybridMultilevel"/>
    <w:lvl w:ilvl="0">
      <w:start w:val="2"/>
      <w:numFmt w:val="decimal"/>
      <w:lvlText w:val="%1"/>
      <w:lvlJc w:val="left"/>
      <w:pPr>
        <w:ind w:left="4146" w:hanging="720"/>
        <w:jc w:val="left"/>
      </w:pPr>
      <w:rPr>
        <w:rFonts w:hint="default"/>
        <w:lang w:val="en-US" w:eastAsia="en-US" w:bidi="ar-SA"/>
      </w:rPr>
    </w:lvl>
    <w:lvl w:ilvl="1">
      <w:start w:val="0"/>
      <w:numFmt w:val="decimal"/>
      <w:lvlText w:val="%1.%2"/>
      <w:lvlJc w:val="left"/>
      <w:pPr>
        <w:ind w:left="4146"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1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1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6166" w:hanging="720"/>
      </w:pPr>
      <w:rPr>
        <w:rFonts w:hint="default"/>
        <w:lang w:val="en-US" w:eastAsia="en-US" w:bidi="ar-SA"/>
      </w:rPr>
    </w:lvl>
    <w:lvl w:ilvl="5">
      <w:start w:val="0"/>
      <w:numFmt w:val="bullet"/>
      <w:lvlText w:val="•"/>
      <w:lvlJc w:val="left"/>
      <w:pPr>
        <w:ind w:left="6842" w:hanging="720"/>
      </w:pPr>
      <w:rPr>
        <w:rFonts w:hint="default"/>
        <w:lang w:val="en-US" w:eastAsia="en-US" w:bidi="ar-SA"/>
      </w:rPr>
    </w:lvl>
    <w:lvl w:ilvl="6">
      <w:start w:val="0"/>
      <w:numFmt w:val="bullet"/>
      <w:lvlText w:val="•"/>
      <w:lvlJc w:val="left"/>
      <w:pPr>
        <w:ind w:left="7517" w:hanging="720"/>
      </w:pPr>
      <w:rPr>
        <w:rFonts w:hint="default"/>
        <w:lang w:val="en-US" w:eastAsia="en-US" w:bidi="ar-SA"/>
      </w:rPr>
    </w:lvl>
    <w:lvl w:ilvl="7">
      <w:start w:val="0"/>
      <w:numFmt w:val="bullet"/>
      <w:lvlText w:val="•"/>
      <w:lvlJc w:val="left"/>
      <w:pPr>
        <w:ind w:left="8193" w:hanging="720"/>
      </w:pPr>
      <w:rPr>
        <w:rFonts w:hint="default"/>
        <w:lang w:val="en-US" w:eastAsia="en-US" w:bidi="ar-SA"/>
      </w:rPr>
    </w:lvl>
    <w:lvl w:ilvl="8">
      <w:start w:val="0"/>
      <w:numFmt w:val="bullet"/>
      <w:lvlText w:val="•"/>
      <w:lvlJc w:val="left"/>
      <w:pPr>
        <w:ind w:left="8868" w:hanging="720"/>
      </w:pPr>
      <w:rPr>
        <w:rFonts w:hint="default"/>
        <w:lang w:val="en-US" w:eastAsia="en-US" w:bidi="ar-SA"/>
      </w:rPr>
    </w:lvl>
  </w:abstractNum>
  <w:abstractNum w:abstractNumId="10">
    <w:multiLevelType w:val="hybridMultilevel"/>
    <w:lvl w:ilvl="0">
      <w:start w:val="1"/>
      <w:numFmt w:val="decimal"/>
      <w:lvlText w:val="%1"/>
      <w:lvlJc w:val="left"/>
      <w:pPr>
        <w:ind w:left="4393" w:hanging="720"/>
        <w:jc w:val="left"/>
      </w:pPr>
      <w:rPr>
        <w:rFonts w:hint="default"/>
        <w:lang w:val="en-US" w:eastAsia="en-US" w:bidi="ar-SA"/>
      </w:rPr>
    </w:lvl>
    <w:lvl w:ilvl="1">
      <w:start w:val="0"/>
      <w:numFmt w:val="decimal"/>
      <w:lvlText w:val="%1.%2"/>
      <w:lvlJc w:val="left"/>
      <w:pPr>
        <w:ind w:left="4393"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564" w:hanging="720"/>
      </w:pPr>
      <w:rPr>
        <w:rFonts w:hint="default"/>
        <w:lang w:val="en-US" w:eastAsia="en-US" w:bidi="ar-SA"/>
      </w:rPr>
    </w:lvl>
    <w:lvl w:ilvl="3">
      <w:start w:val="0"/>
      <w:numFmt w:val="bullet"/>
      <w:lvlText w:val="•"/>
      <w:lvlJc w:val="left"/>
      <w:pPr>
        <w:ind w:left="6146" w:hanging="720"/>
      </w:pPr>
      <w:rPr>
        <w:rFonts w:hint="default"/>
        <w:lang w:val="en-US" w:eastAsia="en-US" w:bidi="ar-SA"/>
      </w:rPr>
    </w:lvl>
    <w:lvl w:ilvl="4">
      <w:start w:val="0"/>
      <w:numFmt w:val="bullet"/>
      <w:lvlText w:val="•"/>
      <w:lvlJc w:val="left"/>
      <w:pPr>
        <w:ind w:left="6728" w:hanging="720"/>
      </w:pPr>
      <w:rPr>
        <w:rFonts w:hint="default"/>
        <w:lang w:val="en-US" w:eastAsia="en-US" w:bidi="ar-SA"/>
      </w:rPr>
    </w:lvl>
    <w:lvl w:ilvl="5">
      <w:start w:val="0"/>
      <w:numFmt w:val="bullet"/>
      <w:lvlText w:val="•"/>
      <w:lvlJc w:val="left"/>
      <w:pPr>
        <w:ind w:left="7310" w:hanging="720"/>
      </w:pPr>
      <w:rPr>
        <w:rFonts w:hint="default"/>
        <w:lang w:val="en-US" w:eastAsia="en-US" w:bidi="ar-SA"/>
      </w:rPr>
    </w:lvl>
    <w:lvl w:ilvl="6">
      <w:start w:val="0"/>
      <w:numFmt w:val="bullet"/>
      <w:lvlText w:val="•"/>
      <w:lvlJc w:val="left"/>
      <w:pPr>
        <w:ind w:left="7892" w:hanging="720"/>
      </w:pPr>
      <w:rPr>
        <w:rFonts w:hint="default"/>
        <w:lang w:val="en-US" w:eastAsia="en-US" w:bidi="ar-SA"/>
      </w:rPr>
    </w:lvl>
    <w:lvl w:ilvl="7">
      <w:start w:val="0"/>
      <w:numFmt w:val="bullet"/>
      <w:lvlText w:val="•"/>
      <w:lvlJc w:val="left"/>
      <w:pPr>
        <w:ind w:left="8474" w:hanging="720"/>
      </w:pPr>
      <w:rPr>
        <w:rFonts w:hint="default"/>
        <w:lang w:val="en-US" w:eastAsia="en-US" w:bidi="ar-SA"/>
      </w:rPr>
    </w:lvl>
    <w:lvl w:ilvl="8">
      <w:start w:val="0"/>
      <w:numFmt w:val="bullet"/>
      <w:lvlText w:val="•"/>
      <w:lvlJc w:val="left"/>
      <w:pPr>
        <w:ind w:left="9056" w:hanging="720"/>
      </w:pPr>
      <w:rPr>
        <w:rFonts w:hint="default"/>
        <w:lang w:val="en-US" w:eastAsia="en-US" w:bidi="ar-SA"/>
      </w:rPr>
    </w:lvl>
  </w:abstractNum>
  <w:abstractNum w:abstractNumId="9">
    <w:multiLevelType w:val="hybridMultilevel"/>
    <w:lvl w:ilvl="0">
      <w:start w:val="5"/>
      <w:numFmt w:val="lowerLetter"/>
      <w:lvlText w:val="%1"/>
      <w:lvlJc w:val="left"/>
      <w:pPr>
        <w:ind w:left="1736" w:hanging="1440"/>
        <w:jc w:val="left"/>
      </w:pPr>
      <w:rPr>
        <w:rFonts w:hint="default"/>
        <w:lang w:val="en-US" w:eastAsia="en-US" w:bidi="ar-SA"/>
      </w:rPr>
    </w:lvl>
    <w:lvl w:ilvl="1">
      <w:start w:val="7"/>
      <w:numFmt w:val="lowerLetter"/>
      <w:lvlText w:val="%1.%2."/>
      <w:lvlJc w:val="left"/>
      <w:pPr>
        <w:ind w:left="1736" w:hanging="1440"/>
        <w:jc w:val="left"/>
      </w:pPr>
      <w:rPr>
        <w:rFonts w:hint="default" w:ascii="Times New Roman" w:hAnsi="Times New Roman" w:eastAsia="Times New Roman" w:cs="Times New Roman"/>
        <w:b w:val="0"/>
        <w:bCs w:val="0"/>
        <w:i w:val="0"/>
        <w:iCs w:val="0"/>
        <w:spacing w:val="-3"/>
        <w:w w:val="100"/>
        <w:sz w:val="24"/>
        <w:szCs w:val="24"/>
        <w:lang w:val="en-US" w:eastAsia="en-US" w:bidi="ar-SA"/>
      </w:rPr>
    </w:lvl>
    <w:lvl w:ilvl="2">
      <w:start w:val="1"/>
      <w:numFmt w:val="decimal"/>
      <w:lvlText w:val="%3."/>
      <w:lvlJc w:val="left"/>
      <w:pPr>
        <w:ind w:left="101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24" w:hanging="360"/>
      </w:pPr>
      <w:rPr>
        <w:rFonts w:hint="default"/>
        <w:lang w:val="en-US" w:eastAsia="en-US" w:bidi="ar-SA"/>
      </w:rPr>
    </w:lvl>
    <w:lvl w:ilvl="4">
      <w:start w:val="0"/>
      <w:numFmt w:val="bullet"/>
      <w:lvlText w:val="•"/>
      <w:lvlJc w:val="left"/>
      <w:pPr>
        <w:ind w:left="4566" w:hanging="360"/>
      </w:pPr>
      <w:rPr>
        <w:rFonts w:hint="default"/>
        <w:lang w:val="en-US" w:eastAsia="en-US" w:bidi="ar-SA"/>
      </w:rPr>
    </w:lvl>
    <w:lvl w:ilvl="5">
      <w:start w:val="0"/>
      <w:numFmt w:val="bullet"/>
      <w:lvlText w:val="•"/>
      <w:lvlJc w:val="left"/>
      <w:pPr>
        <w:ind w:left="5508" w:hanging="360"/>
      </w:pPr>
      <w:rPr>
        <w:rFonts w:hint="default"/>
        <w:lang w:val="en-US" w:eastAsia="en-US" w:bidi="ar-SA"/>
      </w:rPr>
    </w:lvl>
    <w:lvl w:ilvl="6">
      <w:start w:val="0"/>
      <w:numFmt w:val="bullet"/>
      <w:lvlText w:val="•"/>
      <w:lvlJc w:val="left"/>
      <w:pPr>
        <w:ind w:left="6451" w:hanging="360"/>
      </w:pPr>
      <w:rPr>
        <w:rFonts w:hint="default"/>
        <w:lang w:val="en-US" w:eastAsia="en-US" w:bidi="ar-SA"/>
      </w:rPr>
    </w:lvl>
    <w:lvl w:ilvl="7">
      <w:start w:val="0"/>
      <w:numFmt w:val="bullet"/>
      <w:lvlText w:val="•"/>
      <w:lvlJc w:val="left"/>
      <w:pPr>
        <w:ind w:left="7393" w:hanging="360"/>
      </w:pPr>
      <w:rPr>
        <w:rFonts w:hint="default"/>
        <w:lang w:val="en-US" w:eastAsia="en-US" w:bidi="ar-SA"/>
      </w:rPr>
    </w:lvl>
    <w:lvl w:ilvl="8">
      <w:start w:val="0"/>
      <w:numFmt w:val="bullet"/>
      <w:lvlText w:val="•"/>
      <w:lvlJc w:val="left"/>
      <w:pPr>
        <w:ind w:left="8335" w:hanging="360"/>
      </w:pPr>
      <w:rPr>
        <w:rFonts w:hint="default"/>
        <w:lang w:val="en-US" w:eastAsia="en-US" w:bidi="ar-SA"/>
      </w:rPr>
    </w:lvl>
  </w:abstractNum>
  <w:abstractNum w:abstractNumId="8">
    <w:multiLevelType w:val="hybridMultilevel"/>
    <w:lvl w:ilvl="0">
      <w:start w:val="4"/>
      <w:numFmt w:val="decimal"/>
      <w:lvlText w:val="%1"/>
      <w:lvlJc w:val="left"/>
      <w:pPr>
        <w:ind w:left="1016" w:hanging="720"/>
        <w:jc w:val="left"/>
      </w:pPr>
      <w:rPr>
        <w:rFonts w:hint="default"/>
        <w:lang w:val="en-US" w:eastAsia="en-US" w:bidi="ar-SA"/>
      </w:rPr>
    </w:lvl>
    <w:lvl w:ilvl="1">
      <w:start w:val="1"/>
      <w:numFmt w:val="decimal"/>
      <w:lvlText w:val="%1.%2"/>
      <w:lvlJc w:val="left"/>
      <w:pPr>
        <w:ind w:left="101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upperRoman"/>
      <w:lvlText w:val="%3"/>
      <w:lvlJc w:val="left"/>
      <w:pPr>
        <w:ind w:left="1736" w:hanging="10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24" w:hanging="1080"/>
      </w:pPr>
      <w:rPr>
        <w:rFonts w:hint="default"/>
        <w:lang w:val="en-US" w:eastAsia="en-US" w:bidi="ar-SA"/>
      </w:rPr>
    </w:lvl>
    <w:lvl w:ilvl="4">
      <w:start w:val="0"/>
      <w:numFmt w:val="bullet"/>
      <w:lvlText w:val="•"/>
      <w:lvlJc w:val="left"/>
      <w:pPr>
        <w:ind w:left="4566" w:hanging="1080"/>
      </w:pPr>
      <w:rPr>
        <w:rFonts w:hint="default"/>
        <w:lang w:val="en-US" w:eastAsia="en-US" w:bidi="ar-SA"/>
      </w:rPr>
    </w:lvl>
    <w:lvl w:ilvl="5">
      <w:start w:val="0"/>
      <w:numFmt w:val="bullet"/>
      <w:lvlText w:val="•"/>
      <w:lvlJc w:val="left"/>
      <w:pPr>
        <w:ind w:left="5508" w:hanging="1080"/>
      </w:pPr>
      <w:rPr>
        <w:rFonts w:hint="default"/>
        <w:lang w:val="en-US" w:eastAsia="en-US" w:bidi="ar-SA"/>
      </w:rPr>
    </w:lvl>
    <w:lvl w:ilvl="6">
      <w:start w:val="0"/>
      <w:numFmt w:val="bullet"/>
      <w:lvlText w:val="•"/>
      <w:lvlJc w:val="left"/>
      <w:pPr>
        <w:ind w:left="6451" w:hanging="1080"/>
      </w:pPr>
      <w:rPr>
        <w:rFonts w:hint="default"/>
        <w:lang w:val="en-US" w:eastAsia="en-US" w:bidi="ar-SA"/>
      </w:rPr>
    </w:lvl>
    <w:lvl w:ilvl="7">
      <w:start w:val="0"/>
      <w:numFmt w:val="bullet"/>
      <w:lvlText w:val="•"/>
      <w:lvlJc w:val="left"/>
      <w:pPr>
        <w:ind w:left="7393" w:hanging="1080"/>
      </w:pPr>
      <w:rPr>
        <w:rFonts w:hint="default"/>
        <w:lang w:val="en-US" w:eastAsia="en-US" w:bidi="ar-SA"/>
      </w:rPr>
    </w:lvl>
    <w:lvl w:ilvl="8">
      <w:start w:val="0"/>
      <w:numFmt w:val="bullet"/>
      <w:lvlText w:val="•"/>
      <w:lvlJc w:val="left"/>
      <w:pPr>
        <w:ind w:left="8335" w:hanging="1080"/>
      </w:pPr>
      <w:rPr>
        <w:rFonts w:hint="default"/>
        <w:lang w:val="en-US" w:eastAsia="en-US" w:bidi="ar-SA"/>
      </w:rPr>
    </w:lvl>
  </w:abstractNum>
  <w:abstractNum w:abstractNumId="7">
    <w:multiLevelType w:val="hybridMultilevel"/>
    <w:lvl w:ilvl="0">
      <w:start w:val="1"/>
      <w:numFmt w:val="upperRoman"/>
      <w:lvlText w:val="%1"/>
      <w:lvlJc w:val="left"/>
      <w:pPr>
        <w:ind w:left="1016" w:hanging="67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40" w:hanging="675"/>
      </w:pPr>
      <w:rPr>
        <w:rFonts w:hint="default"/>
        <w:lang w:val="en-US" w:eastAsia="en-US" w:bidi="ar-SA"/>
      </w:rPr>
    </w:lvl>
    <w:lvl w:ilvl="2">
      <w:start w:val="0"/>
      <w:numFmt w:val="bullet"/>
      <w:lvlText w:val="•"/>
      <w:lvlJc w:val="left"/>
      <w:pPr>
        <w:ind w:left="2860" w:hanging="675"/>
      </w:pPr>
      <w:rPr>
        <w:rFonts w:hint="default"/>
        <w:lang w:val="en-US" w:eastAsia="en-US" w:bidi="ar-SA"/>
      </w:rPr>
    </w:lvl>
    <w:lvl w:ilvl="3">
      <w:start w:val="0"/>
      <w:numFmt w:val="bullet"/>
      <w:lvlText w:val="•"/>
      <w:lvlJc w:val="left"/>
      <w:pPr>
        <w:ind w:left="3780" w:hanging="675"/>
      </w:pPr>
      <w:rPr>
        <w:rFonts w:hint="default"/>
        <w:lang w:val="en-US" w:eastAsia="en-US" w:bidi="ar-SA"/>
      </w:rPr>
    </w:lvl>
    <w:lvl w:ilvl="4">
      <w:start w:val="0"/>
      <w:numFmt w:val="bullet"/>
      <w:lvlText w:val="•"/>
      <w:lvlJc w:val="left"/>
      <w:pPr>
        <w:ind w:left="4700" w:hanging="675"/>
      </w:pPr>
      <w:rPr>
        <w:rFonts w:hint="default"/>
        <w:lang w:val="en-US" w:eastAsia="en-US" w:bidi="ar-SA"/>
      </w:rPr>
    </w:lvl>
    <w:lvl w:ilvl="5">
      <w:start w:val="0"/>
      <w:numFmt w:val="bullet"/>
      <w:lvlText w:val="•"/>
      <w:lvlJc w:val="left"/>
      <w:pPr>
        <w:ind w:left="5620" w:hanging="675"/>
      </w:pPr>
      <w:rPr>
        <w:rFonts w:hint="default"/>
        <w:lang w:val="en-US" w:eastAsia="en-US" w:bidi="ar-SA"/>
      </w:rPr>
    </w:lvl>
    <w:lvl w:ilvl="6">
      <w:start w:val="0"/>
      <w:numFmt w:val="bullet"/>
      <w:lvlText w:val="•"/>
      <w:lvlJc w:val="left"/>
      <w:pPr>
        <w:ind w:left="6540" w:hanging="675"/>
      </w:pPr>
      <w:rPr>
        <w:rFonts w:hint="default"/>
        <w:lang w:val="en-US" w:eastAsia="en-US" w:bidi="ar-SA"/>
      </w:rPr>
    </w:lvl>
    <w:lvl w:ilvl="7">
      <w:start w:val="0"/>
      <w:numFmt w:val="bullet"/>
      <w:lvlText w:val="•"/>
      <w:lvlJc w:val="left"/>
      <w:pPr>
        <w:ind w:left="7460" w:hanging="675"/>
      </w:pPr>
      <w:rPr>
        <w:rFonts w:hint="default"/>
        <w:lang w:val="en-US" w:eastAsia="en-US" w:bidi="ar-SA"/>
      </w:rPr>
    </w:lvl>
    <w:lvl w:ilvl="8">
      <w:start w:val="0"/>
      <w:numFmt w:val="bullet"/>
      <w:lvlText w:val="•"/>
      <w:lvlJc w:val="left"/>
      <w:pPr>
        <w:ind w:left="8380" w:hanging="675"/>
      </w:pPr>
      <w:rPr>
        <w:rFonts w:hint="default"/>
        <w:lang w:val="en-US" w:eastAsia="en-US" w:bidi="ar-SA"/>
      </w:rPr>
    </w:lvl>
  </w:abstractNum>
  <w:abstractNum w:abstractNumId="6">
    <w:multiLevelType w:val="hybridMultilevel"/>
    <w:lvl w:ilvl="0">
      <w:start w:val="4"/>
      <w:numFmt w:val="decimal"/>
      <w:lvlText w:val="%1"/>
      <w:lvlJc w:val="left"/>
      <w:pPr>
        <w:ind w:left="1016" w:hanging="720"/>
        <w:jc w:val="left"/>
      </w:pPr>
      <w:rPr>
        <w:rFonts w:hint="default"/>
        <w:lang w:val="en-US" w:eastAsia="en-US" w:bidi="ar-SA"/>
      </w:rPr>
    </w:lvl>
    <w:lvl w:ilvl="1">
      <w:start w:val="1"/>
      <w:numFmt w:val="decimal"/>
      <w:lvlText w:val="%1.%2"/>
      <w:lvlJc w:val="left"/>
      <w:pPr>
        <w:ind w:left="101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60" w:hanging="720"/>
      </w:pPr>
      <w:rPr>
        <w:rFonts w:hint="default"/>
        <w:lang w:val="en-US" w:eastAsia="en-US" w:bidi="ar-SA"/>
      </w:rPr>
    </w:lvl>
    <w:lvl w:ilvl="3">
      <w:start w:val="0"/>
      <w:numFmt w:val="bullet"/>
      <w:lvlText w:val="•"/>
      <w:lvlJc w:val="left"/>
      <w:pPr>
        <w:ind w:left="3780" w:hanging="720"/>
      </w:pPr>
      <w:rPr>
        <w:rFonts w:hint="default"/>
        <w:lang w:val="en-US" w:eastAsia="en-US" w:bidi="ar-SA"/>
      </w:rPr>
    </w:lvl>
    <w:lvl w:ilvl="4">
      <w:start w:val="0"/>
      <w:numFmt w:val="bullet"/>
      <w:lvlText w:val="•"/>
      <w:lvlJc w:val="left"/>
      <w:pPr>
        <w:ind w:left="4700" w:hanging="720"/>
      </w:pPr>
      <w:rPr>
        <w:rFonts w:hint="default"/>
        <w:lang w:val="en-US" w:eastAsia="en-US" w:bidi="ar-SA"/>
      </w:rPr>
    </w:lvl>
    <w:lvl w:ilvl="5">
      <w:start w:val="0"/>
      <w:numFmt w:val="bullet"/>
      <w:lvlText w:val="•"/>
      <w:lvlJc w:val="left"/>
      <w:pPr>
        <w:ind w:left="5620" w:hanging="720"/>
      </w:pPr>
      <w:rPr>
        <w:rFonts w:hint="default"/>
        <w:lang w:val="en-US" w:eastAsia="en-US" w:bidi="ar-SA"/>
      </w:rPr>
    </w:lvl>
    <w:lvl w:ilvl="6">
      <w:start w:val="0"/>
      <w:numFmt w:val="bullet"/>
      <w:lvlText w:val="•"/>
      <w:lvlJc w:val="left"/>
      <w:pPr>
        <w:ind w:left="6540" w:hanging="720"/>
      </w:pPr>
      <w:rPr>
        <w:rFonts w:hint="default"/>
        <w:lang w:val="en-US" w:eastAsia="en-US" w:bidi="ar-SA"/>
      </w:rPr>
    </w:lvl>
    <w:lvl w:ilvl="7">
      <w:start w:val="0"/>
      <w:numFmt w:val="bullet"/>
      <w:lvlText w:val="•"/>
      <w:lvlJc w:val="left"/>
      <w:pPr>
        <w:ind w:left="7460" w:hanging="720"/>
      </w:pPr>
      <w:rPr>
        <w:rFonts w:hint="default"/>
        <w:lang w:val="en-US" w:eastAsia="en-US" w:bidi="ar-SA"/>
      </w:rPr>
    </w:lvl>
    <w:lvl w:ilvl="8">
      <w:start w:val="0"/>
      <w:numFmt w:val="bullet"/>
      <w:lvlText w:val="•"/>
      <w:lvlJc w:val="left"/>
      <w:pPr>
        <w:ind w:left="8380" w:hanging="720"/>
      </w:pPr>
      <w:rPr>
        <w:rFonts w:hint="default"/>
        <w:lang w:val="en-US" w:eastAsia="en-US" w:bidi="ar-SA"/>
      </w:rPr>
    </w:lvl>
  </w:abstractNum>
  <w:abstractNum w:abstractNumId="5">
    <w:multiLevelType w:val="hybridMultilevel"/>
    <w:lvl w:ilvl="0">
      <w:start w:val="6"/>
      <w:numFmt w:val="decimal"/>
      <w:lvlText w:val="%1"/>
      <w:lvlJc w:val="left"/>
      <w:pPr>
        <w:ind w:left="956" w:hanging="660"/>
        <w:jc w:val="left"/>
      </w:pPr>
      <w:rPr>
        <w:rFonts w:hint="default"/>
        <w:lang w:val="en-US" w:eastAsia="en-US" w:bidi="ar-SA"/>
      </w:rPr>
    </w:lvl>
    <w:lvl w:ilvl="1">
      <w:start w:val="2"/>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12" w:hanging="660"/>
      </w:pPr>
      <w:rPr>
        <w:rFonts w:hint="default"/>
        <w:lang w:val="en-US" w:eastAsia="en-US" w:bidi="ar-SA"/>
      </w:rPr>
    </w:lvl>
    <w:lvl w:ilvl="3">
      <w:start w:val="0"/>
      <w:numFmt w:val="bullet"/>
      <w:lvlText w:val="•"/>
      <w:lvlJc w:val="left"/>
      <w:pPr>
        <w:ind w:left="3738" w:hanging="660"/>
      </w:pPr>
      <w:rPr>
        <w:rFonts w:hint="default"/>
        <w:lang w:val="en-US" w:eastAsia="en-US" w:bidi="ar-SA"/>
      </w:rPr>
    </w:lvl>
    <w:lvl w:ilvl="4">
      <w:start w:val="0"/>
      <w:numFmt w:val="bullet"/>
      <w:lvlText w:val="•"/>
      <w:lvlJc w:val="left"/>
      <w:pPr>
        <w:ind w:left="4664" w:hanging="660"/>
      </w:pPr>
      <w:rPr>
        <w:rFonts w:hint="default"/>
        <w:lang w:val="en-US" w:eastAsia="en-US" w:bidi="ar-SA"/>
      </w:rPr>
    </w:lvl>
    <w:lvl w:ilvl="5">
      <w:start w:val="0"/>
      <w:numFmt w:val="bullet"/>
      <w:lvlText w:val="•"/>
      <w:lvlJc w:val="left"/>
      <w:pPr>
        <w:ind w:left="5590" w:hanging="660"/>
      </w:pPr>
      <w:rPr>
        <w:rFonts w:hint="default"/>
        <w:lang w:val="en-US" w:eastAsia="en-US" w:bidi="ar-SA"/>
      </w:rPr>
    </w:lvl>
    <w:lvl w:ilvl="6">
      <w:start w:val="0"/>
      <w:numFmt w:val="bullet"/>
      <w:lvlText w:val="•"/>
      <w:lvlJc w:val="left"/>
      <w:pPr>
        <w:ind w:left="6516" w:hanging="660"/>
      </w:pPr>
      <w:rPr>
        <w:rFonts w:hint="default"/>
        <w:lang w:val="en-US" w:eastAsia="en-US" w:bidi="ar-SA"/>
      </w:rPr>
    </w:lvl>
    <w:lvl w:ilvl="7">
      <w:start w:val="0"/>
      <w:numFmt w:val="bullet"/>
      <w:lvlText w:val="•"/>
      <w:lvlJc w:val="left"/>
      <w:pPr>
        <w:ind w:left="7442" w:hanging="660"/>
      </w:pPr>
      <w:rPr>
        <w:rFonts w:hint="default"/>
        <w:lang w:val="en-US" w:eastAsia="en-US" w:bidi="ar-SA"/>
      </w:rPr>
    </w:lvl>
    <w:lvl w:ilvl="8">
      <w:start w:val="0"/>
      <w:numFmt w:val="bullet"/>
      <w:lvlText w:val="•"/>
      <w:lvlJc w:val="left"/>
      <w:pPr>
        <w:ind w:left="8368" w:hanging="660"/>
      </w:pPr>
      <w:rPr>
        <w:rFonts w:hint="default"/>
        <w:lang w:val="en-US" w:eastAsia="en-US" w:bidi="ar-SA"/>
      </w:rPr>
    </w:lvl>
  </w:abstractNum>
  <w:abstractNum w:abstractNumId="4">
    <w:multiLevelType w:val="hybridMultilevel"/>
    <w:lvl w:ilvl="0">
      <w:start w:val="5"/>
      <w:numFmt w:val="decimal"/>
      <w:lvlText w:val="%1.0"/>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12" w:hanging="660"/>
      </w:pPr>
      <w:rPr>
        <w:rFonts w:hint="default"/>
        <w:lang w:val="en-US" w:eastAsia="en-US" w:bidi="ar-SA"/>
      </w:rPr>
    </w:lvl>
    <w:lvl w:ilvl="3">
      <w:start w:val="0"/>
      <w:numFmt w:val="bullet"/>
      <w:lvlText w:val="•"/>
      <w:lvlJc w:val="left"/>
      <w:pPr>
        <w:ind w:left="3738" w:hanging="660"/>
      </w:pPr>
      <w:rPr>
        <w:rFonts w:hint="default"/>
        <w:lang w:val="en-US" w:eastAsia="en-US" w:bidi="ar-SA"/>
      </w:rPr>
    </w:lvl>
    <w:lvl w:ilvl="4">
      <w:start w:val="0"/>
      <w:numFmt w:val="bullet"/>
      <w:lvlText w:val="•"/>
      <w:lvlJc w:val="left"/>
      <w:pPr>
        <w:ind w:left="4664" w:hanging="660"/>
      </w:pPr>
      <w:rPr>
        <w:rFonts w:hint="default"/>
        <w:lang w:val="en-US" w:eastAsia="en-US" w:bidi="ar-SA"/>
      </w:rPr>
    </w:lvl>
    <w:lvl w:ilvl="5">
      <w:start w:val="0"/>
      <w:numFmt w:val="bullet"/>
      <w:lvlText w:val="•"/>
      <w:lvlJc w:val="left"/>
      <w:pPr>
        <w:ind w:left="5590" w:hanging="660"/>
      </w:pPr>
      <w:rPr>
        <w:rFonts w:hint="default"/>
        <w:lang w:val="en-US" w:eastAsia="en-US" w:bidi="ar-SA"/>
      </w:rPr>
    </w:lvl>
    <w:lvl w:ilvl="6">
      <w:start w:val="0"/>
      <w:numFmt w:val="bullet"/>
      <w:lvlText w:val="•"/>
      <w:lvlJc w:val="left"/>
      <w:pPr>
        <w:ind w:left="6516" w:hanging="660"/>
      </w:pPr>
      <w:rPr>
        <w:rFonts w:hint="default"/>
        <w:lang w:val="en-US" w:eastAsia="en-US" w:bidi="ar-SA"/>
      </w:rPr>
    </w:lvl>
    <w:lvl w:ilvl="7">
      <w:start w:val="0"/>
      <w:numFmt w:val="bullet"/>
      <w:lvlText w:val="•"/>
      <w:lvlJc w:val="left"/>
      <w:pPr>
        <w:ind w:left="7442" w:hanging="660"/>
      </w:pPr>
      <w:rPr>
        <w:rFonts w:hint="default"/>
        <w:lang w:val="en-US" w:eastAsia="en-US" w:bidi="ar-SA"/>
      </w:rPr>
    </w:lvl>
    <w:lvl w:ilvl="8">
      <w:start w:val="0"/>
      <w:numFmt w:val="bullet"/>
      <w:lvlText w:val="•"/>
      <w:lvlJc w:val="left"/>
      <w:pPr>
        <w:ind w:left="8368" w:hanging="660"/>
      </w:pPr>
      <w:rPr>
        <w:rFonts w:hint="default"/>
        <w:lang w:val="en-US" w:eastAsia="en-US" w:bidi="ar-SA"/>
      </w:rPr>
    </w:lvl>
  </w:abstractNum>
  <w:abstractNum w:abstractNumId="3">
    <w:multiLevelType w:val="hybridMultilevel"/>
    <w:lvl w:ilvl="0">
      <w:start w:val="4"/>
      <w:numFmt w:val="decimal"/>
      <w:lvlText w:val="%1"/>
      <w:lvlJc w:val="left"/>
      <w:pPr>
        <w:ind w:left="956" w:hanging="660"/>
        <w:jc w:val="left"/>
      </w:pPr>
      <w:rPr>
        <w:rFonts w:hint="default"/>
        <w:lang w:val="en-US" w:eastAsia="en-US" w:bidi="ar-SA"/>
      </w:rPr>
    </w:lvl>
    <w:lvl w:ilvl="1">
      <w:start w:val="0"/>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77"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88" w:hanging="881"/>
      </w:pPr>
      <w:rPr>
        <w:rFonts w:hint="default"/>
        <w:lang w:val="en-US" w:eastAsia="en-US" w:bidi="ar-SA"/>
      </w:rPr>
    </w:lvl>
    <w:lvl w:ilvl="4">
      <w:start w:val="0"/>
      <w:numFmt w:val="bullet"/>
      <w:lvlText w:val="•"/>
      <w:lvlJc w:val="left"/>
      <w:pPr>
        <w:ind w:left="4193" w:hanging="881"/>
      </w:pPr>
      <w:rPr>
        <w:rFonts w:hint="default"/>
        <w:lang w:val="en-US" w:eastAsia="en-US" w:bidi="ar-SA"/>
      </w:rPr>
    </w:lvl>
    <w:lvl w:ilvl="5">
      <w:start w:val="0"/>
      <w:numFmt w:val="bullet"/>
      <w:lvlText w:val="•"/>
      <w:lvlJc w:val="left"/>
      <w:pPr>
        <w:ind w:left="5197" w:hanging="881"/>
      </w:pPr>
      <w:rPr>
        <w:rFonts w:hint="default"/>
        <w:lang w:val="en-US" w:eastAsia="en-US" w:bidi="ar-SA"/>
      </w:rPr>
    </w:lvl>
    <w:lvl w:ilvl="6">
      <w:start w:val="0"/>
      <w:numFmt w:val="bullet"/>
      <w:lvlText w:val="•"/>
      <w:lvlJc w:val="left"/>
      <w:pPr>
        <w:ind w:left="6202" w:hanging="881"/>
      </w:pPr>
      <w:rPr>
        <w:rFonts w:hint="default"/>
        <w:lang w:val="en-US" w:eastAsia="en-US" w:bidi="ar-SA"/>
      </w:rPr>
    </w:lvl>
    <w:lvl w:ilvl="7">
      <w:start w:val="0"/>
      <w:numFmt w:val="bullet"/>
      <w:lvlText w:val="•"/>
      <w:lvlJc w:val="left"/>
      <w:pPr>
        <w:ind w:left="7206" w:hanging="881"/>
      </w:pPr>
      <w:rPr>
        <w:rFonts w:hint="default"/>
        <w:lang w:val="en-US" w:eastAsia="en-US" w:bidi="ar-SA"/>
      </w:rPr>
    </w:lvl>
    <w:lvl w:ilvl="8">
      <w:start w:val="0"/>
      <w:numFmt w:val="bullet"/>
      <w:lvlText w:val="•"/>
      <w:lvlJc w:val="left"/>
      <w:pPr>
        <w:ind w:left="8211" w:hanging="881"/>
      </w:pPr>
      <w:rPr>
        <w:rFonts w:hint="default"/>
        <w:lang w:val="en-US" w:eastAsia="en-US" w:bidi="ar-SA"/>
      </w:rPr>
    </w:lvl>
  </w:abstractNum>
  <w:abstractNum w:abstractNumId="2">
    <w:multiLevelType w:val="hybridMultilevel"/>
    <w:lvl w:ilvl="0">
      <w:start w:val="3"/>
      <w:numFmt w:val="decimal"/>
      <w:lvlText w:val="%1"/>
      <w:lvlJc w:val="left"/>
      <w:pPr>
        <w:ind w:left="956" w:hanging="660"/>
        <w:jc w:val="left"/>
      </w:pPr>
      <w:rPr>
        <w:rFonts w:hint="default"/>
        <w:lang w:val="en-US" w:eastAsia="en-US" w:bidi="ar-SA"/>
      </w:rPr>
    </w:lvl>
    <w:lvl w:ilvl="1">
      <w:start w:val="0"/>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77"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88" w:hanging="881"/>
      </w:pPr>
      <w:rPr>
        <w:rFonts w:hint="default"/>
        <w:lang w:val="en-US" w:eastAsia="en-US" w:bidi="ar-SA"/>
      </w:rPr>
    </w:lvl>
    <w:lvl w:ilvl="4">
      <w:start w:val="0"/>
      <w:numFmt w:val="bullet"/>
      <w:lvlText w:val="•"/>
      <w:lvlJc w:val="left"/>
      <w:pPr>
        <w:ind w:left="4193" w:hanging="881"/>
      </w:pPr>
      <w:rPr>
        <w:rFonts w:hint="default"/>
        <w:lang w:val="en-US" w:eastAsia="en-US" w:bidi="ar-SA"/>
      </w:rPr>
    </w:lvl>
    <w:lvl w:ilvl="5">
      <w:start w:val="0"/>
      <w:numFmt w:val="bullet"/>
      <w:lvlText w:val="•"/>
      <w:lvlJc w:val="left"/>
      <w:pPr>
        <w:ind w:left="5197" w:hanging="881"/>
      </w:pPr>
      <w:rPr>
        <w:rFonts w:hint="default"/>
        <w:lang w:val="en-US" w:eastAsia="en-US" w:bidi="ar-SA"/>
      </w:rPr>
    </w:lvl>
    <w:lvl w:ilvl="6">
      <w:start w:val="0"/>
      <w:numFmt w:val="bullet"/>
      <w:lvlText w:val="•"/>
      <w:lvlJc w:val="left"/>
      <w:pPr>
        <w:ind w:left="6202" w:hanging="881"/>
      </w:pPr>
      <w:rPr>
        <w:rFonts w:hint="default"/>
        <w:lang w:val="en-US" w:eastAsia="en-US" w:bidi="ar-SA"/>
      </w:rPr>
    </w:lvl>
    <w:lvl w:ilvl="7">
      <w:start w:val="0"/>
      <w:numFmt w:val="bullet"/>
      <w:lvlText w:val="•"/>
      <w:lvlJc w:val="left"/>
      <w:pPr>
        <w:ind w:left="7206" w:hanging="881"/>
      </w:pPr>
      <w:rPr>
        <w:rFonts w:hint="default"/>
        <w:lang w:val="en-US" w:eastAsia="en-US" w:bidi="ar-SA"/>
      </w:rPr>
    </w:lvl>
    <w:lvl w:ilvl="8">
      <w:start w:val="0"/>
      <w:numFmt w:val="bullet"/>
      <w:lvlText w:val="•"/>
      <w:lvlJc w:val="left"/>
      <w:pPr>
        <w:ind w:left="8211" w:hanging="881"/>
      </w:pPr>
      <w:rPr>
        <w:rFonts w:hint="default"/>
        <w:lang w:val="en-US" w:eastAsia="en-US" w:bidi="ar-SA"/>
      </w:rPr>
    </w:lvl>
  </w:abstractNum>
  <w:abstractNum w:abstractNumId="1">
    <w:multiLevelType w:val="hybridMultilevel"/>
    <w:lvl w:ilvl="0">
      <w:start w:val="2"/>
      <w:numFmt w:val="decimal"/>
      <w:lvlText w:val="%1"/>
      <w:lvlJc w:val="left"/>
      <w:pPr>
        <w:ind w:left="956" w:hanging="660"/>
        <w:jc w:val="left"/>
      </w:pPr>
      <w:rPr>
        <w:rFonts w:hint="default"/>
        <w:lang w:val="en-US" w:eastAsia="en-US" w:bidi="ar-SA"/>
      </w:rPr>
    </w:lvl>
    <w:lvl w:ilvl="1">
      <w:start w:val="0"/>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177" w:hanging="8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310" w:hanging="881"/>
      </w:pPr>
      <w:rPr>
        <w:rFonts w:hint="default"/>
        <w:lang w:val="en-US" w:eastAsia="en-US" w:bidi="ar-SA"/>
      </w:rPr>
    </w:lvl>
    <w:lvl w:ilvl="4">
      <w:start w:val="0"/>
      <w:numFmt w:val="bullet"/>
      <w:lvlText w:val="•"/>
      <w:lvlJc w:val="left"/>
      <w:pPr>
        <w:ind w:left="3440" w:hanging="881"/>
      </w:pPr>
      <w:rPr>
        <w:rFonts w:hint="default"/>
        <w:lang w:val="en-US" w:eastAsia="en-US" w:bidi="ar-SA"/>
      </w:rPr>
    </w:lvl>
    <w:lvl w:ilvl="5">
      <w:start w:val="0"/>
      <w:numFmt w:val="bullet"/>
      <w:lvlText w:val="•"/>
      <w:lvlJc w:val="left"/>
      <w:pPr>
        <w:ind w:left="4570" w:hanging="881"/>
      </w:pPr>
      <w:rPr>
        <w:rFonts w:hint="default"/>
        <w:lang w:val="en-US" w:eastAsia="en-US" w:bidi="ar-SA"/>
      </w:rPr>
    </w:lvl>
    <w:lvl w:ilvl="6">
      <w:start w:val="0"/>
      <w:numFmt w:val="bullet"/>
      <w:lvlText w:val="•"/>
      <w:lvlJc w:val="left"/>
      <w:pPr>
        <w:ind w:left="5700" w:hanging="881"/>
      </w:pPr>
      <w:rPr>
        <w:rFonts w:hint="default"/>
        <w:lang w:val="en-US" w:eastAsia="en-US" w:bidi="ar-SA"/>
      </w:rPr>
    </w:lvl>
    <w:lvl w:ilvl="7">
      <w:start w:val="0"/>
      <w:numFmt w:val="bullet"/>
      <w:lvlText w:val="•"/>
      <w:lvlJc w:val="left"/>
      <w:pPr>
        <w:ind w:left="6830" w:hanging="881"/>
      </w:pPr>
      <w:rPr>
        <w:rFonts w:hint="default"/>
        <w:lang w:val="en-US" w:eastAsia="en-US" w:bidi="ar-SA"/>
      </w:rPr>
    </w:lvl>
    <w:lvl w:ilvl="8">
      <w:start w:val="0"/>
      <w:numFmt w:val="bullet"/>
      <w:lvlText w:val="•"/>
      <w:lvlJc w:val="left"/>
      <w:pPr>
        <w:ind w:left="7960" w:hanging="881"/>
      </w:pPr>
      <w:rPr>
        <w:rFonts w:hint="default"/>
        <w:lang w:val="en-US" w:eastAsia="en-US" w:bidi="ar-SA"/>
      </w:rPr>
    </w:lvl>
  </w:abstractNum>
  <w:abstractNum w:abstractNumId="0">
    <w:multiLevelType w:val="hybridMultilevel"/>
    <w:lvl w:ilvl="0">
      <w:start w:val="1"/>
      <w:numFmt w:val="decimal"/>
      <w:lvlText w:val="%1"/>
      <w:lvlJc w:val="left"/>
      <w:pPr>
        <w:ind w:left="956" w:hanging="660"/>
        <w:jc w:val="left"/>
      </w:pPr>
      <w:rPr>
        <w:rFonts w:hint="default"/>
        <w:lang w:val="en-US" w:eastAsia="en-US" w:bidi="ar-SA"/>
      </w:rPr>
    </w:lvl>
    <w:lvl w:ilvl="1">
      <w:start w:val="0"/>
      <w:numFmt w:val="decimal"/>
      <w:lvlText w:val="%1.%2"/>
      <w:lvlJc w:val="left"/>
      <w:pPr>
        <w:ind w:left="956"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12" w:hanging="660"/>
      </w:pPr>
      <w:rPr>
        <w:rFonts w:hint="default"/>
        <w:lang w:val="en-US" w:eastAsia="en-US" w:bidi="ar-SA"/>
      </w:rPr>
    </w:lvl>
    <w:lvl w:ilvl="3">
      <w:start w:val="0"/>
      <w:numFmt w:val="bullet"/>
      <w:lvlText w:val="•"/>
      <w:lvlJc w:val="left"/>
      <w:pPr>
        <w:ind w:left="3738" w:hanging="660"/>
      </w:pPr>
      <w:rPr>
        <w:rFonts w:hint="default"/>
        <w:lang w:val="en-US" w:eastAsia="en-US" w:bidi="ar-SA"/>
      </w:rPr>
    </w:lvl>
    <w:lvl w:ilvl="4">
      <w:start w:val="0"/>
      <w:numFmt w:val="bullet"/>
      <w:lvlText w:val="•"/>
      <w:lvlJc w:val="left"/>
      <w:pPr>
        <w:ind w:left="4664" w:hanging="660"/>
      </w:pPr>
      <w:rPr>
        <w:rFonts w:hint="default"/>
        <w:lang w:val="en-US" w:eastAsia="en-US" w:bidi="ar-SA"/>
      </w:rPr>
    </w:lvl>
    <w:lvl w:ilvl="5">
      <w:start w:val="0"/>
      <w:numFmt w:val="bullet"/>
      <w:lvlText w:val="•"/>
      <w:lvlJc w:val="left"/>
      <w:pPr>
        <w:ind w:left="5590" w:hanging="660"/>
      </w:pPr>
      <w:rPr>
        <w:rFonts w:hint="default"/>
        <w:lang w:val="en-US" w:eastAsia="en-US" w:bidi="ar-SA"/>
      </w:rPr>
    </w:lvl>
    <w:lvl w:ilvl="6">
      <w:start w:val="0"/>
      <w:numFmt w:val="bullet"/>
      <w:lvlText w:val="•"/>
      <w:lvlJc w:val="left"/>
      <w:pPr>
        <w:ind w:left="6516" w:hanging="660"/>
      </w:pPr>
      <w:rPr>
        <w:rFonts w:hint="default"/>
        <w:lang w:val="en-US" w:eastAsia="en-US" w:bidi="ar-SA"/>
      </w:rPr>
    </w:lvl>
    <w:lvl w:ilvl="7">
      <w:start w:val="0"/>
      <w:numFmt w:val="bullet"/>
      <w:lvlText w:val="•"/>
      <w:lvlJc w:val="left"/>
      <w:pPr>
        <w:ind w:left="7442" w:hanging="660"/>
      </w:pPr>
      <w:rPr>
        <w:rFonts w:hint="default"/>
        <w:lang w:val="en-US" w:eastAsia="en-US" w:bidi="ar-SA"/>
      </w:rPr>
    </w:lvl>
    <w:lvl w:ilvl="8">
      <w:start w:val="0"/>
      <w:numFmt w:val="bullet"/>
      <w:lvlText w:val="•"/>
      <w:lvlJc w:val="left"/>
      <w:pPr>
        <w:ind w:left="8368" w:hanging="660"/>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177" w:hanging="881"/>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76"/>
      <w:ind w:left="1177" w:hanging="881"/>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350" w:right="1802"/>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16" w:hanging="72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16"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hyperlink" Target="http://www.sciencedirect.com/science/article/pii/S0378517310004102?np=y" TargetMode="External"/><Relationship Id="rId42" Type="http://schemas.openxmlformats.org/officeDocument/2006/relationships/hyperlink" Target="http://www.ncbi.nlm.nih.gov/pubmed/?term=Bulgu%20Y%5Bauth%5D" TargetMode="External"/><Relationship Id="rId43" Type="http://schemas.openxmlformats.org/officeDocument/2006/relationships/hyperlink" Target="http://www.ncbi.nlm.nih.gov/pubmed/?term=Ozdemir%20S%5Bauth%5D" TargetMode="External"/><Relationship Id="rId44" Type="http://schemas.openxmlformats.org/officeDocument/2006/relationships/hyperlink" Target="http://www.ncbi.nlm.nih.gov/pubmed/?term=Topsakal%20S%5Bauth%5D" TargetMode="External"/><Relationship Id="rId45" Type="http://schemas.openxmlformats.org/officeDocument/2006/relationships/hyperlink" Target="http://www.ncbi.nlm.nih.gov/pubmed/?term=Ak%26%23x00131%3Bn%20F%5Bauth%5D" TargetMode="External"/><Relationship Id="rId46" Type="http://schemas.openxmlformats.org/officeDocument/2006/relationships/hyperlink" Target="http://www.ncbi.nlm.nih.gov/pubmed/?term=Aybek%20H%5Bauth%5D" TargetMode="External"/><Relationship Id="rId47" Type="http://schemas.openxmlformats.org/officeDocument/2006/relationships/hyperlink" Target="http://www.ncbi.nlm.nih.gov/pubmed/?term=Y%26%23x00131%3Bld%26%23x00131%3Br%26%23x00131%3Bm%20C%5Bauth%5D" TargetMode="External"/><Relationship Id="rId48" Type="http://schemas.openxmlformats.org/officeDocument/2006/relationships/hyperlink" Target="http://www.ncbi.nlm.nih.gov/pubmed/?term=Gopalakrishnan%20M%5Bauth%5D" TargetMode="External"/><Relationship Id="rId49" Type="http://schemas.openxmlformats.org/officeDocument/2006/relationships/hyperlink" Target="http://www.ncbi.nlm.nih.gov/pubmed/?term=Molinari%20EJ%5Bauth%5D" TargetMode="External"/><Relationship Id="rId50" Type="http://schemas.openxmlformats.org/officeDocument/2006/relationships/hyperlink" Target="http://www.ncbi.nlm.nih.gov/pubmed/?term=Shieh%20CC%5Bauth%5D" TargetMode="External"/><Relationship Id="rId51" Type="http://schemas.openxmlformats.org/officeDocument/2006/relationships/hyperlink" Target="http://www.ncbi.nlm.nih.gov/pubmed/?term=Monteggia%20LM%5Bauth%5D" TargetMode="External"/><Relationship Id="rId52" Type="http://schemas.openxmlformats.org/officeDocument/2006/relationships/hyperlink" Target="http://www.ncbi.nlm.nih.gov/pubmed/?term=Roch%20JM%5Bauth%5D" TargetMode="External"/><Relationship Id="rId53" Type="http://schemas.openxmlformats.org/officeDocument/2006/relationships/hyperlink" Target="http://www.ncbi.nlm.nih.gov/pubmed/?term=Whiteaker%20KL%5Bauth%5D" TargetMode="External"/><Relationship Id="rId54" Type="http://schemas.openxmlformats.org/officeDocument/2006/relationships/hyperlink" Target="http://www.ncbi.nlm.nih.gov/pubmed/?term=Scott%20VE%5Bauth%5D" TargetMode="External"/><Relationship Id="rId55" Type="http://schemas.openxmlformats.org/officeDocument/2006/relationships/hyperlink" Target="http://www.ncbi.nlm.nih.gov/pubmed/?term=Sullivan%20JP%5Bauth%5D" TargetMode="External"/><Relationship Id="rId56" Type="http://schemas.openxmlformats.org/officeDocument/2006/relationships/hyperlink" Target="http://www.ncbi.nlm.nih.gov/pubmed/?term=Brioni%20JD%5Bauth%5D" TargetMode="Externa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2023-11-04T07:38:12Z</dcterms:created>
  <dcterms:modified xsi:type="dcterms:W3CDTF">2023-11-04T07:38:12Z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2016-06-03T00:00:00Z</vt:filetime>
  </property>
  <property fmtid="{D5CDD505-2E9C-101B-9397-08002B2CF9AE}" pid="3" name="Creator">
    <vt:lpwstr>Microsoft® Office Word 2007</vt:lpwstr>
  </property>
  <property fmtid="{D5CDD505-2E9C-101B-9397-08002B2CF9AE}" pid="4" name="LastSaved">
    <vt:filetime>2023-11-04T00:00:00Z</vt:filetime>
  </property>
  <property fmtid="{D5CDD505-2E9C-101B-9397-08002B2CF9AE}" pid="5" name="Producer">
    <vt:lpwstr>Microsoft® Office Word 2007</vt:lpwstr>
  </property>
</Properties>
</file>